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6877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cs="方正仿宋_GBK"/>
                <w:sz w:val="30"/>
                <w:szCs w:val="30"/>
              </w:rPr>
              <w:t>东乌</w:t>
            </w:r>
            <w:r>
              <w:rPr>
                <w:rFonts w:ascii="方正仿宋_GBK" w:eastAsia="方正仿宋_GBK" w:cs="方正仿宋_GBK" w:hint="eastAsia"/>
                <w:sz w:val="30"/>
                <w:szCs w:val="30"/>
              </w:rPr>
              <w:t>海关</w:t>
            </w:r>
            <w:r>
              <w:rPr>
                <w:rFonts w:ascii="方正仿宋_GBK" w:eastAsia="方正仿宋_GBK" w:cs="方正仿宋_GBK"/>
                <w:sz w:val="30"/>
                <w:szCs w:val="30"/>
              </w:rPr>
              <w:t>公务用车维保服务</w:t>
            </w:r>
            <w:r>
              <w:rPr>
                <w:rFonts w:ascii="方正仿宋_GBK" w:eastAsia="方正仿宋_GBK" w:cs="方正仿宋_GBK" w:hint="eastAsia"/>
                <w:sz w:val="30"/>
                <w:szCs w:val="30"/>
              </w:rPr>
              <w:t>项目</w:t>
            </w:r>
            <w:r>
              <w:rPr>
                <w:rFonts w:ascii="方正仿宋_GBK" w:eastAsia="方正仿宋_GBK" w:cs="方正仿宋_GBK"/>
                <w:sz w:val="30"/>
                <w:szCs w:val="30"/>
              </w:rPr>
              <w:t>（锡林浩特市范围）</w:t>
            </w:r>
          </w:p>
        </w:tc>
      </w:tr>
      <w:t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——</w:t>
            </w:r>
          </w:p>
        </w:tc>
      </w:tr>
      <w:t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——</w:t>
            </w:r>
          </w:p>
        </w:tc>
      </w:tr>
      <w:t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财政拨款</w:t>
            </w:r>
          </w:p>
        </w:tc>
      </w:tr>
      <w:t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77" w:type="dxa"/>
            <w:vAlign w:val="center"/>
          </w:tcPr>
          <w:p>
            <w:pPr>
              <w:pStyle w:val="72"/>
              <w:spacing w:line="40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rPr>
          <w:trHeight w:val="815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楷体_GBK" w:eastAsia="方正楷体_GBK" w:cs="方正楷体_GBK"/>
                <w:sz w:val="32"/>
                <w:szCs w:val="32"/>
              </w:rPr>
            </w:pPr>
          </w:p>
        </w:tc>
      </w:tr>
      <w:tr>
        <w:trPr>
          <w:trHeight w:val="926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楷体_GBK" w:eastAsia="方正楷体_GBK" w:cs="方正楷体_GBK"/>
                <w:sz w:val="32"/>
                <w:szCs w:val="32"/>
              </w:rPr>
            </w:pPr>
          </w:p>
        </w:tc>
      </w:tr>
      <w:tr>
        <w:trPr>
          <w:trHeight w:val="926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（部门负责人）</w:t>
            </w:r>
          </w:p>
        </w:tc>
        <w:tc>
          <w:tcPr>
            <w:tcW w:w="6877" w:type="dxa"/>
            <w:vAlign w:val="center"/>
          </w:tcPr>
          <w:p>
            <w:pPr>
              <w:spacing w:line="560" w:lineRule="exact"/>
              <w:jc w:val="center"/>
              <w:rPr>
                <w:rFonts w:ascii="方正楷体_GBK" w:eastAsia="方正楷体_GBK" w:cs="方正楷体_GBK"/>
                <w:sz w:val="32"/>
                <w:szCs w:val="32"/>
              </w:rPr>
            </w:pP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77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</w:rPr>
              <w:t>2.</w:t>
            </w:r>
            <w:r>
              <w:rPr>
                <w:rFonts w:ascii="方正仿宋_GBK" w:eastAsia="方正仿宋_GBK" w:cs="方正仿宋_GBK" w:hint="eastAsia"/>
                <w:sz w:val="24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77" w:type="dxa"/>
            <w:vAlign w:val="center"/>
          </w:tcPr>
          <w:p>
            <w:pPr>
              <w:pStyle w:val="58"/>
              <w:rPr>
                <w:rFonts w:ascii="方正仿宋_GBK" w:eastAsia="方正仿宋_GBK" w:cs="方正仿宋_GBK"/>
                <w:szCs w:val="24"/>
              </w:rPr>
            </w:pPr>
            <w:r>
              <w:rPr>
                <w:rFonts w:ascii="方正仿宋_GBK" w:eastAsia="方正仿宋_GBK" w:cs="方正仿宋_GBK"/>
                <w:szCs w:val="24"/>
              </w:rPr>
              <w:t>1、</w:t>
            </w:r>
            <w:r>
              <w:rPr>
                <w:rFonts w:ascii="方正仿宋_GBK" w:eastAsia="方正仿宋_GBK" w:cs="方正仿宋_GBK" w:hint="eastAsia"/>
                <w:szCs w:val="24"/>
              </w:rPr>
              <w:t>具有独立承担民事责任的能力。</w:t>
              <w:br/>
              <w:t>2</w:t>
            </w:r>
            <w:r>
              <w:rPr>
                <w:rFonts w:ascii="方正仿宋_GBK" w:eastAsia="方正仿宋_GBK" w:cs="方正仿宋_GBK"/>
                <w:szCs w:val="24"/>
              </w:rPr>
              <w:t>、</w:t>
            </w:r>
            <w:r>
              <w:rPr>
                <w:rFonts w:ascii="方正仿宋_GBK" w:eastAsia="方正仿宋_GBK" w:cs="方正仿宋_GBK" w:hint="eastAsia"/>
                <w:szCs w:val="24"/>
              </w:rPr>
              <w:t>具备</w:t>
            </w:r>
            <w:r>
              <w:rPr>
                <w:rFonts w:ascii="方正仿宋_GBK" w:eastAsia="方正仿宋_GBK" w:cs="方正仿宋_GBK"/>
                <w:szCs w:val="24"/>
              </w:rPr>
              <w:t>汽车修理</w:t>
            </w:r>
            <w:r>
              <w:rPr>
                <w:rFonts w:ascii="方正仿宋_GBK" w:eastAsia="方正仿宋_GBK" w:cs="方正仿宋_GBK" w:hint="eastAsia"/>
                <w:szCs w:val="24"/>
              </w:rPr>
              <w:t>应具备的相应资质。</w:t>
              <w:br/>
              <w:t>3</w:t>
            </w:r>
            <w:r>
              <w:rPr>
                <w:rFonts w:ascii="方正仿宋_GBK" w:eastAsia="方正仿宋_GBK" w:cs="方正仿宋_GBK"/>
                <w:szCs w:val="24"/>
              </w:rPr>
              <w:t>、提供服务</w:t>
            </w:r>
            <w:r>
              <w:rPr>
                <w:rFonts w:ascii="方正仿宋_GBK" w:eastAsia="方正仿宋_GBK" w:cs="方正仿宋_GBK" w:hint="eastAsia"/>
                <w:szCs w:val="24"/>
              </w:rPr>
              <w:t>保证</w:t>
            </w:r>
            <w:r>
              <w:rPr>
                <w:rFonts w:ascii="方正仿宋_GBK" w:eastAsia="方正仿宋_GBK" w:cs="方正仿宋_GBK"/>
                <w:szCs w:val="24"/>
              </w:rPr>
              <w:t>承诺书</w:t>
            </w:r>
            <w:r>
              <w:rPr>
                <w:rFonts w:ascii="方正仿宋_GBK" w:eastAsia="方正仿宋_GBK" w:cs="方正仿宋_GBK" w:hint="eastAsia"/>
                <w:szCs w:val="24"/>
              </w:rPr>
              <w:t>。</w:t>
              <w:br/>
              <w:t>4</w:t>
            </w:r>
            <w:r>
              <w:rPr>
                <w:rFonts w:ascii="方正仿宋_GBK" w:eastAsia="方正仿宋_GBK" w:cs="方正仿宋_GBK"/>
                <w:szCs w:val="24"/>
              </w:rPr>
              <w:t>、</w:t>
            </w:r>
            <w:r>
              <w:rPr>
                <w:rFonts w:ascii="方正仿宋_GBK" w:eastAsia="方正仿宋_GBK" w:cs="方正仿宋_GBK" w:hint="eastAsia"/>
                <w:szCs w:val="24"/>
              </w:rPr>
              <w:t>提供相关营业执照、经办人授权等材料。</w:t>
            </w:r>
          </w:p>
          <w:p>
            <w:pPr>
              <w:pStyle w:val="63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Cs w:val="24"/>
              </w:rPr>
              <w:t>5、</w:t>
            </w:r>
            <w:r>
              <w:rPr>
                <w:rFonts w:ascii="方正仿宋_GBK" w:eastAsia="方正仿宋_GBK" w:cs="方正仿宋_GBK" w:hint="eastAsia"/>
                <w:szCs w:val="24"/>
              </w:rPr>
              <w:t>三年内在经营活动中没有重大违法记录的书面证明（须有“信用中国”或“中国政府采购网”等机构查询记录）</w:t>
            </w:r>
            <w:r>
              <w:rPr>
                <w:rFonts w:ascii="方正仿宋_GBK" w:eastAsia="方正仿宋_GBK" w:cs="方正仿宋_GBK"/>
                <w:szCs w:val="24"/>
              </w:rPr>
              <w:t>。</w:t>
            </w:r>
          </w:p>
        </w:tc>
      </w:tr>
      <w:tr>
        <w:trPr>
          <w:trHeight w:val="1082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★实质性要求</w:t>
            </w:r>
          </w:p>
        </w:tc>
        <w:tc>
          <w:tcPr>
            <w:tcW w:w="6877" w:type="dxa"/>
          </w:tcPr>
          <w:p>
            <w:pPr>
              <w:pStyle w:val="35"/>
              <w:spacing w:line="400" w:lineRule="exact"/>
              <w:ind w:firstLineChars="150" w:firstLine="360"/>
              <w:rPr>
                <w:rFonts w:ascii="Times New Roman" w:eastAsia="方正仿宋_GBK" w:cs="Times New Roman" w:hAnsi="Times New Roman"/>
                <w:sz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1、未列入失信被执行人、重大税收违法失信主体。</w:t>
            </w:r>
          </w:p>
          <w:p>
            <w:pPr>
              <w:pStyle w:val="35"/>
              <w:spacing w:line="400" w:lineRule="exact"/>
              <w:ind w:left="0" w:firstLineChars="150" w:firstLine="360"/>
              <w:rPr>
                <w:rFonts w:ascii="Times New Roman" w:eastAsia="方正仿宋_GBK" w:cs="Times New Roman" w:hAnsi="Times New Roman"/>
                <w:sz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2、在锡林浩特市所在地必须有实体门店。（营业时间5年以上）</w:t>
            </w:r>
          </w:p>
          <w:p>
            <w:pPr>
              <w:pStyle w:val="35"/>
              <w:spacing w:line="400" w:lineRule="exact"/>
              <w:ind w:left="0" w:firstLineChars="150" w:firstLine="360"/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3、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维修服务：</w:t>
            </w:r>
          </w:p>
          <w:p>
            <w:pPr>
              <w:pStyle w:val="35"/>
              <w:spacing w:line="400" w:lineRule="exact"/>
              <w:ind w:left="0" w:firstLineChars="200" w:firstLine="480"/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提供采购人指定范围的</w:t>
            </w:r>
            <w:r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  <w:t>公务用车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维修</w:t>
            </w:r>
            <w:r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  <w:t>（保养）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服务，及时响应各</w:t>
            </w:r>
            <w:r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  <w:t>公务用车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的故障报修需求，完成维修作业。</w:t>
            </w:r>
            <w:r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  <w:t>机动车配件不接受高于市场常规标准报价，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服务费用按照实际维修工单内容，结合双方约定的计价标准据实结算。</w:t>
            </w:r>
          </w:p>
          <w:p>
            <w:pPr>
              <w:pStyle w:val="35"/>
              <w:spacing w:line="400" w:lineRule="exact"/>
              <w:ind w:firstLineChars="150" w:firstLine="360"/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4</w:t>
            </w:r>
            <w:r>
              <w:rPr>
                <w:rFonts w:ascii="Times New Roman" w:eastAsia="方正仿宋_GBK" w:cs="Times New Roman" w:hAnsi="Times New Roman" w:hint="eastAsia"/>
                <w:sz w:val="24"/>
                <w:lang w:bidi="ar-SA"/>
              </w:rPr>
              <w:t>、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服务期限</w:t>
            </w:r>
            <w:r>
              <w:rPr>
                <w:rFonts w:ascii="Times New Roman" w:eastAsia="方正仿宋_GBK" w:cs="Times New Roman" w:hAnsi="Times New Roman" w:hint="eastAsia"/>
                <w:sz w:val="24"/>
                <w:lang w:bidi="ar-SA"/>
              </w:rPr>
              <w:t>：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自合同签订之日起</w:t>
            </w:r>
            <w:r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  <w:t>一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年，当期合同期满采购人按照</w:t>
            </w:r>
            <w:r>
              <w:rPr>
                <w:rFonts w:ascii="Times New Roman" w:eastAsia="方正仿宋_GBK" w:cs="Times New Roman" w:hAnsi="Times New Roman"/>
                <w:sz w:val="24"/>
                <w:lang w:val="en-US" w:eastAsia="zh-CN" w:bidi="ar-SA"/>
              </w:rPr>
              <w:t>采购需求</w:t>
            </w:r>
            <w:r>
              <w:rPr>
                <w:rFonts w:ascii="Times New Roman" w:eastAsia="方正仿宋_GBK" w:cs="Times New Roman" w:hAnsi="Times New Roman" w:hint="eastAsia"/>
                <w:sz w:val="24"/>
                <w:lang w:val="en-US" w:eastAsia="zh-CN" w:bidi="ar-SA"/>
              </w:rPr>
              <w:t>和合同中约定的内容进行考核，如考核合格后可直接续签下一年度的合同。</w:t>
            </w:r>
          </w:p>
          <w:p>
            <w:pPr>
              <w:pStyle w:val="67"/>
              <w:spacing w:beforeAutospacing="0" w:afterAutospacing="0" w:line="400" w:lineRule="exact"/>
              <w:ind w:firstLineChars="150" w:firstLine="360"/>
              <w:rPr>
                <w:rFonts w:ascii="Times New Roman" w:eastAsia="方正仿宋_GBK" w:cs="Times New Roman" w:hAnsi="Times New Roman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Cs w:val="24"/>
                <w:lang w:bidi="ar-SA"/>
              </w:rPr>
              <w:t>5</w:t>
            </w:r>
            <w:r>
              <w:rPr>
                <w:rFonts w:ascii="Times New Roman" w:eastAsia="方正仿宋_GBK" w:cs="Times New Roman" w:hAnsi="Times New Roman" w:hint="eastAsia"/>
                <w:szCs w:val="24"/>
                <w:lang w:bidi="ar-SA"/>
              </w:rPr>
              <w:t>、</w:t>
            </w:r>
            <w:r>
              <w:rPr>
                <w:rFonts w:ascii="Times New Roman" w:eastAsia="方正仿宋_GBK" w:cs="Times New Roman" w:hAnsi="Times New Roman"/>
                <w:szCs w:val="24"/>
                <w:lang w:bidi="ar-SA"/>
              </w:rPr>
              <w:t>必要时</w:t>
            </w:r>
            <w:r>
              <w:rPr>
                <w:rFonts w:ascii="Times New Roman" w:eastAsia="方正仿宋_GBK" w:cs="Times New Roman" w:hAnsi="Times New Roman" w:hint="eastAsia"/>
                <w:szCs w:val="24"/>
                <w:lang w:bidi="ar-SA"/>
              </w:rPr>
              <w:t>“</w:t>
            </w:r>
            <w:r>
              <w:rPr>
                <w:rFonts w:ascii="Times New Roman" w:eastAsia="方正仿宋_GBK" w:cs="Times New Roman" w:hAnsi="Times New Roman"/>
                <w:szCs w:val="24"/>
                <w:lang w:bidi="ar-SA"/>
              </w:rPr>
              <w:t>随叫随到</w:t>
            </w:r>
            <w:r>
              <w:rPr>
                <w:rFonts w:ascii="Times New Roman" w:eastAsia="方正仿宋_GBK" w:cs="Times New Roman" w:hAnsi="Times New Roman" w:hint="eastAsia"/>
                <w:szCs w:val="24"/>
                <w:lang w:bidi="ar-SA"/>
              </w:rPr>
              <w:t>”</w:t>
            </w:r>
            <w:r>
              <w:rPr>
                <w:rFonts w:ascii="Times New Roman" w:eastAsia="方正仿宋_GBK" w:cs="Times New Roman" w:hAnsi="Times New Roman"/>
                <w:szCs w:val="24"/>
                <w:lang w:bidi="ar-SA"/>
              </w:rPr>
              <w:t>，及时赶赴现场进行车辆救援，排除公车安全隐患，按时维保。</w:t>
            </w:r>
          </w:p>
          <w:p>
            <w:pPr>
              <w:pStyle w:val="35"/>
              <w:spacing w:line="400" w:lineRule="exact"/>
              <w:ind w:firstLineChars="150" w:firstLine="360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4"/>
                <w:lang w:bidi="ar-SA"/>
              </w:rPr>
              <w:t>、成交条件</w:t>
            </w: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：采用综合评分法比选，根据评审因素最高分</w:t>
            </w:r>
            <w:r>
              <w:rPr>
                <w:rFonts w:ascii="Times New Roman" w:eastAsia="方正仿宋_GBK" w:cs="Times New Roman" w:hAnsi="Times New Roman" w:hint="eastAsia"/>
                <w:sz w:val="24"/>
                <w:lang w:bidi="ar-SA"/>
              </w:rPr>
              <w:t>的供应商为成交供应商。成交供应商应在规定时间内与采购人签订合同</w:t>
            </w: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，</w:t>
            </w:r>
            <w:r>
              <w:rPr>
                <w:rFonts w:ascii="Times New Roman" w:eastAsia="方正仿宋_GBK" w:cs="Times New Roman" w:hAnsi="Times New Roman" w:hint="eastAsia"/>
                <w:sz w:val="24"/>
                <w:lang w:bidi="ar-SA"/>
              </w:rPr>
              <w:t>若成交供应商无正当理由放弃成交、未按时签订合同构成违约的，采购人有权取消其成交资格，并可按</w:t>
            </w:r>
            <w:r>
              <w:rPr>
                <w:rFonts w:ascii="Times New Roman" w:eastAsia="方正仿宋_GBK" w:cs="Times New Roman" w:hAnsi="Times New Roman"/>
                <w:sz w:val="24"/>
                <w:lang w:bidi="ar-SA"/>
              </w:rPr>
              <w:t>得分</w:t>
            </w:r>
            <w:r>
              <w:rPr>
                <w:rFonts w:ascii="Times New Roman" w:eastAsia="方正仿宋_GBK" w:cs="Times New Roman" w:hAnsi="Times New Roman" w:hint="eastAsia"/>
                <w:sz w:val="24"/>
                <w:lang w:bidi="ar-SA"/>
              </w:rPr>
              <w:t>由低到高的顺序顺延确定下一候选供应商为成交供应商。</w:t>
            </w:r>
          </w:p>
        </w:tc>
      </w:tr>
      <w:tr>
        <w:trPr>
          <w:trHeight w:val="3753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77" w:type="dxa"/>
          </w:tcPr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b/>
                <w:bCs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/>
                <w:b/>
                <w:bCs/>
                <w:color w:val="auto"/>
                <w:sz w:val="24"/>
                <w:lang w:val="en-US" w:eastAsia="zh-CN"/>
                <w:highlight w:val="auto"/>
              </w:rPr>
              <w:t>一</w:t>
            </w:r>
            <w:r>
              <w:rPr>
                <w:rFonts w:ascii="方正仿宋_GBK" w:eastAsia="方正仿宋_GBK" w:cs="方正仿宋_GBK" w:hint="eastAsia"/>
                <w:b/>
                <w:bCs/>
                <w:color w:val="auto"/>
                <w:sz w:val="24"/>
                <w:lang w:val="en-US" w:eastAsia="zh-CN"/>
                <w:highlight w:val="auto"/>
              </w:rPr>
              <w:t>、</w:t>
            </w:r>
            <w:r>
              <w:rPr>
                <w:rFonts w:ascii="方正仿宋_GBK" w:eastAsia="方正仿宋_GBK" w:cs="方正仿宋_GBK"/>
                <w:b/>
                <w:bCs/>
                <w:color w:val="auto"/>
                <w:sz w:val="24"/>
                <w:highlight w:val="auto"/>
              </w:rPr>
              <w:t>商务部分</w:t>
            </w:r>
            <w:r>
              <w:rPr>
                <w:rFonts w:ascii="方正仿宋_GBK" w:eastAsia="方正仿宋_GBK" w:cs="方正仿宋_GBK"/>
                <w:b/>
                <w:bCs/>
                <w:color w:val="auto"/>
                <w:sz w:val="24"/>
                <w:lang w:val="en-US" w:eastAsia="zh-CN"/>
                <w:highlight w:val="auto"/>
              </w:rPr>
              <w:t>47</w:t>
            </w:r>
            <w:r>
              <w:rPr>
                <w:rFonts w:ascii="方正仿宋_GBK" w:eastAsia="方正仿宋_GBK" w:cs="方正仿宋_GBK"/>
                <w:b/>
                <w:bCs/>
                <w:color w:val="auto"/>
                <w:sz w:val="24"/>
                <w:highlight w:val="auto"/>
              </w:rPr>
              <w:t>分：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1、企业资质条件（3分）：具备三类及以上机动车维修备案资质得3分，无有效备案证明不得分。</w:t>
            </w:r>
          </w:p>
          <w:p>
            <w:pPr>
              <w:pStyle w:val="74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2、企业信用状况（4分）：近3年无安全生产处罚、市场监管行政处罚被执行人记录得4分；如有处罚本项目得0分。（提供信用中国、国家企业信用信息公示系统截图）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3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、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企业业绩（25分）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：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近三年内（202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3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年1月至今、以合同签署日期为准）类似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的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汽车维修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服务业绩，每项业绩得5分，最高25分（要求提供合同复印件加盖公章，复印件须包含合同关键内容、签章、日期）。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4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、售后保障（4分）：建立售后回访机制（每月回访率≥90%）、质量问题 24 小时内响应并免费返修得 4 分；回访机制不健全或返修响应超时得 1 分。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5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、设备与人员配置（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11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分）：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（1）设备配置：具备汽车检测、维修核心设备（如电脑诊断仪、举升机、四轮定位仪等），齐全且为近5年购置（提供发票或验收证明），每有一项得1分，本项最高得5分。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（2）人员配置：专职维修人员≥6 人得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6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 xml:space="preserve">分，3-5 人得 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3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分，＜3 人得 1 分，本项最高得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6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分。</w:t>
            </w:r>
          </w:p>
          <w:p>
            <w:pPr>
              <w:pStyle w:val="71"/>
              <w:spacing w:line="400" w:lineRule="exact"/>
              <w:jc w:val="left"/>
              <w:rPr>
                <w:rFonts w:ascii="方正仿宋_GBK" w:eastAsia="方正仿宋_GBK" w:cs="方正仿宋_GBK"/>
                <w:b/>
                <w:bCs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/>
                <w:b/>
                <w:bCs/>
                <w:color w:val="auto"/>
                <w:sz w:val="24"/>
                <w:lang w:val="en-US" w:eastAsia="zh-CN"/>
                <w:highlight w:val="auto"/>
              </w:rPr>
              <w:t>二</w:t>
            </w:r>
            <w:r>
              <w:rPr>
                <w:rFonts w:ascii="方正仿宋_GBK" w:eastAsia="方正仿宋_GBK" w:cs="方正仿宋_GBK" w:hint="eastAsia"/>
                <w:b/>
                <w:bCs/>
                <w:color w:val="auto"/>
                <w:sz w:val="24"/>
                <w:lang w:val="en-US" w:eastAsia="zh-CN"/>
                <w:highlight w:val="auto"/>
              </w:rPr>
              <w:t>、</w:t>
            </w:r>
            <w:r>
              <w:rPr>
                <w:rFonts w:ascii="方正仿宋_GBK" w:eastAsia="方正仿宋_GBK" w:cs="方正仿宋_GBK"/>
                <w:b/>
                <w:bCs/>
                <w:color w:val="auto"/>
                <w:sz w:val="24"/>
                <w:highlight w:val="auto"/>
              </w:rPr>
              <w:t>技术部分</w:t>
            </w:r>
            <w:r>
              <w:rPr>
                <w:rFonts w:ascii="方正仿宋_GBK" w:eastAsia="方正仿宋_GBK" w:cs="方正仿宋_GBK" w:hint="eastAsia"/>
                <w:b/>
                <w:bCs/>
                <w:color w:val="auto"/>
                <w:sz w:val="24"/>
                <w:lang w:val="en-US" w:eastAsia="zh-CN"/>
                <w:highlight w:val="auto"/>
              </w:rPr>
              <w:t>53</w:t>
            </w:r>
            <w:r>
              <w:rPr>
                <w:rFonts w:ascii="方正仿宋_GBK" w:eastAsia="方正仿宋_GBK" w:cs="方正仿宋_GBK"/>
                <w:b/>
                <w:bCs/>
                <w:color w:val="auto"/>
                <w:sz w:val="24"/>
                <w:highlight w:val="auto"/>
              </w:rPr>
              <w:t>分：</w:t>
            </w:r>
          </w:p>
          <w:p>
            <w:pPr>
              <w:pStyle w:val="70"/>
              <w:spacing w:line="400" w:lineRule="exact"/>
              <w:ind w:firstLineChars="50" w:firstLine="120"/>
              <w:jc w:val="left"/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1、服务响应与保障（12分）：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（1）响应时间：承诺紧急维修（如故障救援）≤1 小时到达现场得 4 分，1-2 小时得 2 分，＞2 小时得 1 分；​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（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2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）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 xml:space="preserve">维修时效：常规保养≤2 小时完成、一般故障≤24 小时修复得 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4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 xml:space="preserve"> 分，超时但≤48 小时得 1 分；​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（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3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）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备用方案：提供维修期间应急车辆（≥2 辆）或替代出行方案得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4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分，仅提供1辆应急车辆得1分，无备用方案不得分。</w:t>
            </w:r>
          </w:p>
          <w:p>
            <w:pPr>
              <w:pStyle w:val="70"/>
              <w:spacing w:line="400" w:lineRule="exact"/>
              <w:ind w:firstLineChars="50" w:firstLine="120"/>
              <w:jc w:val="left"/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2、维修服务方案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（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16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分）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（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1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）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 xml:space="preserve">方案完整性：涵盖维修流程、质量管控、安全保障、客户回访等内容，逻辑清晰、针对性强得 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8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 xml:space="preserve"> 分；内容基本完整但针对性一般得 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5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>分；方案简陋、缺核心模块得 1 分；​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（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2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eastAsia="zh-CN"/>
                <w:highlight w:val="auto"/>
              </w:rPr>
              <w:t>）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 xml:space="preserve">个性化服务：针对采购单位车辆类型（如公务车、特种作业车等）制定专项维修方案，提供定制化保养计划得 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8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 xml:space="preserve"> 分；无专项方案但能满足基本维修需求得 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2</w:t>
            </w:r>
            <w:r>
              <w:rPr>
                <w:rFonts w:ascii="方正仿宋_GBK" w:eastAsia="方正仿宋_GBK" w:cs="方正仿宋_GBK"/>
                <w:color w:val="auto"/>
                <w:sz w:val="24"/>
                <w:highlight w:val="auto"/>
              </w:rPr>
              <w:t xml:space="preserve"> 分。</w:t>
            </w:r>
          </w:p>
          <w:p>
            <w:pPr>
              <w:pStyle w:val="46"/>
              <w:numPr>
                <w:ilvl w:val="0"/>
                <w:numId w:val="1"/>
              </w:numP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重点难点分析（10分）</w:t>
            </w:r>
          </w:p>
          <w:p>
            <w:pPr>
              <w:pStyle w:val="70"/>
              <w:spacing w:line="400" w:lineRule="exact"/>
              <w:ind w:firstLineChars="100" w:firstLine="240"/>
              <w:jc w:val="left"/>
              <w:rPr>
                <w:rFonts w:ascii="方正仿宋_GBK" w:eastAsia="方正仿宋_GBK" w:cs="方正仿宋_GBK" w:hint="eastAsia"/>
                <w:sz w:val="24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根据投标供应商对本项目的重点难点分析进行评审：（1）投标供应商对实 施本项目的重点、难点分析透彻、把握准确的得10分； （2）投标供应商对实施本项目的重点、难点分析较透彻、把握较准确的得7分；（3）投标供应商对实施本项目的重点、难点分析把握一般的得4分；（4）投标供应商对实 施本项目重点、难点分析把握不完善、不合理，不满足采购需求得1分 , 未提供不得分。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4、质量保障措施（15分）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（1）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质量保障体系完善，涵盖原厂配件使用、维修流程管控、竣工检测、质保承诺、维修档案追溯全环节，措施全面、具体、可操作性强得15分；​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（2）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质量保障体系较为完善，核心措施（配件质量、维修流程、质保追溯）齐全，部分细节需补充得11分；​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（3）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质量保障体系基本完整，关键措施明确，但全面性或可操作性一般得7分；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（4）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质量保障体系不够完善，仅提供部分核心措施，缺乏具</w:t>
            </w:r>
          </w:p>
          <w:p>
            <w:pPr>
              <w:pStyle w:val="70"/>
              <w:spacing w:line="400" w:lineRule="exact"/>
              <w:jc w:val="left"/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</w:pP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体执行要求得3分；</w:t>
            </w: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（5）</w:t>
            </w:r>
            <w:r>
              <w:rPr>
                <w:rFonts w:ascii="方正仿宋_GBK" w:eastAsia="方正仿宋_GBK" w:cs="方正仿宋_GBK"/>
                <w:color w:val="auto"/>
                <w:sz w:val="24"/>
                <w:lang w:val="en-US" w:eastAsia="zh-CN"/>
                <w:highlight w:val="auto"/>
              </w:rPr>
              <w:t>未提供质量保障体系及相关措施</w:t>
            </w:r>
            <w:r>
              <w:rPr>
                <w:rFonts w:ascii="方正仿宋_GBK" w:eastAsia="方正仿宋_GBK" w:cs="方正仿宋_GBK" w:hint="eastAsia"/>
                <w:color w:val="auto"/>
                <w:sz w:val="24"/>
                <w:lang w:val="en-US" w:eastAsia="zh-CN"/>
                <w:highlight w:val="auto"/>
              </w:rPr>
              <w:t>不得分。</w:t>
            </w:r>
          </w:p>
        </w:tc>
      </w:tr>
      <w:tr>
        <w:trPr>
          <w:trHeight w:val="2545"/>
        </w:trPr>
        <w:tc>
          <w:tcPr>
            <w:tcW w:w="218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77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1、公告期限（3个工作日）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4"/>
              </w:rPr>
              <w:t>2、响应文件份数（</w:t>
            </w:r>
            <w:r>
              <w:rPr>
                <w:rFonts w:ascii="方正仿宋_GBK" w:eastAsia="方正仿宋_GBK" w:cs="方正仿宋_GBK"/>
                <w:sz w:val="24"/>
              </w:rPr>
              <w:t>2</w:t>
            </w:r>
            <w:r>
              <w:rPr>
                <w:rFonts w:ascii="方正仿宋_GBK" w:eastAsia="方正仿宋_GBK" w:cs="方正仿宋_GBK" w:hint="eastAsia"/>
                <w:sz w:val="24"/>
              </w:rPr>
              <w:t>份）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7" w:h="16840"/>
      <w:pgMar w:top="1440" w:right="1797" w:bottom="1440" w:left="1797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4EB689A"/>
    <w:multiLevelType w:val="singleLevel"/>
    <w:tmpl w:val="24EB689A"/>
    <w:lvl w:ilvl="0">
      <w:start w:val="3"/>
      <w:numFmt w:val="decimal"/>
      <w:lvlRestart w:val="0"/>
      <w:suff w:val="nothing"/>
      <w:lvlText w:val="%1、"/>
      <w:lvlJc w:val="left"/>
      <w:pPr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next w:val="46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next w:val="6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61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">
    <w:name w:val="样式 34 10 磅"/>
    <w:next w:val="6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4 小四"/>
    <w:next w:val="46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68">
    <w:name w:val="index 7"/>
    <w:basedOn w:val="0"/>
    <w:autoRedefine/>
    <w:next w:val="0"/>
    <w:pPr>
      <w:ind w:left="2520"/>
    </w:pPr>
  </w:style>
  <w:style w:type="paragraph" w:styleId="69">
    <w:name w:val="Salutation"/>
    <w:basedOn w:val="0"/>
    <w:next w:val="0"/>
  </w:style>
  <w:style w:type="paragraph" w:customStyle="1" w:styleId="70">
    <w:name w:val="样式 39 10 磅"/>
    <w:next w:val="6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1">
    <w:name w:val="样式 55 10 磅"/>
    <w:next w:val="6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2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609</TotalTime>
  <Application>Yozo_Office</Application>
  <Pages>4</Pages>
  <Words>1898</Words>
  <Characters>1923</Characters>
  <Lines>92</Lines>
  <Paragraphs>62</Paragraphs>
  <CharactersWithSpaces>1974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2025-09-19T07:23:13Z</cp:lastPrinted>
  <dcterms:created xsi:type="dcterms:W3CDTF">2025-05-16T10:09:00Z</dcterms:created>
  <dcterms:modified xsi:type="dcterms:W3CDTF">2026-07-23T08:46:45Z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