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rPr>
          <w:rFonts w:eastAsia="方正黑体_GBK"/>
          <w:sz w:val="32"/>
          <w:szCs w:val="32"/>
        </w:rPr>
      </w:pPr>
      <w:bookmarkStart w:id="0" w:name="_GoBack"/>
      <w:bookmarkEnd w:id="0"/>
    </w:p>
    <w:p>
      <w:pPr>
        <w:autoSpaceDN w:val="0"/>
        <w:rPr>
          <w:rFonts w:eastAsia="方正黑体_GBK"/>
          <w:sz w:val="32"/>
          <w:szCs w:val="32"/>
        </w:rPr>
      </w:pPr>
    </w:p>
    <w:p>
      <w:pPr>
        <w:autoSpaceDN w:val="0"/>
        <w:rPr>
          <w:rFonts w:eastAsia="方正黑体_GBK"/>
          <w:sz w:val="32"/>
          <w:szCs w:val="32"/>
        </w:rPr>
      </w:pPr>
    </w:p>
    <w:p>
      <w:pPr>
        <w:autoSpaceDN w:val="0"/>
        <w:rPr>
          <w:b/>
          <w:bCs/>
          <w:sz w:val="84"/>
          <w:szCs w:val="84"/>
        </w:rPr>
      </w:pPr>
    </w:p>
    <w:p>
      <w:pPr>
        <w:autoSpaceDN w:val="0"/>
        <w:rPr>
          <w:b/>
          <w:bCs/>
          <w:sz w:val="84"/>
          <w:szCs w:val="84"/>
        </w:rPr>
      </w:pPr>
    </w:p>
    <w:p>
      <w:pPr>
        <w:autoSpaceDN w:val="0"/>
        <w:jc w:val="center"/>
        <w:rPr>
          <w:rFonts w:eastAsia="方正小标宋_GBK"/>
          <w:sz w:val="84"/>
          <w:szCs w:val="84"/>
        </w:rPr>
      </w:pPr>
      <w:r>
        <w:rPr>
          <w:rFonts w:eastAsia="方正小标宋_GBK"/>
          <w:sz w:val="84"/>
          <w:szCs w:val="84"/>
        </w:rPr>
        <w:t>2025年度</w:t>
      </w:r>
    </w:p>
    <w:p>
      <w:pPr>
        <w:autoSpaceDN w:val="0"/>
        <w:jc w:val="center"/>
        <w:rPr>
          <w:rFonts w:eastAsia="方正小标宋_GBK"/>
          <w:sz w:val="84"/>
          <w:szCs w:val="84"/>
        </w:rPr>
      </w:pPr>
      <w:r>
        <w:rPr>
          <w:rFonts w:eastAsia="方正小标宋_GBK"/>
          <w:sz w:val="84"/>
          <w:szCs w:val="84"/>
        </w:rPr>
        <w:t>东乌海关单位</w:t>
      </w:r>
    </w:p>
    <w:p>
      <w:pPr>
        <w:pStyle w:val="1170"/>
        <w:autoSpaceDN w:val="0"/>
        <w:jc w:val="center"/>
        <w:rPr>
          <w:sz w:val="36"/>
          <w:szCs w:val="36"/>
        </w:rPr>
      </w:pPr>
      <w:r>
        <w:rPr>
          <w:rFonts w:eastAsia="方正小标宋_GBK"/>
          <w:sz w:val="84"/>
          <w:szCs w:val="84"/>
        </w:rPr>
        <w:t>部门决算</w:t>
      </w:r>
      <w:r>
        <w:rPr>
          <w:rFonts w:eastAsia="方正小标宋_GBK"/>
          <w:sz w:val="44"/>
          <w:szCs w:val="44"/>
        </w:rPr>
        <w:br w:type="page"/>
      </w:r>
      <w:r>
        <w:rPr>
          <w:rFonts w:eastAsia="方正黑体_GBK"/>
          <w:sz w:val="36"/>
          <w:szCs w:val="36"/>
          <w:lang w:val="zh-CN"/>
        </w:rPr>
        <w:t>目录</w:t>
      </w:r>
    </w:p>
    <w:p>
      <w:pPr>
        <w:pStyle w:val="61"/>
        <w:tabs>
          <w:tab w:val="right" w:leader="dot" w:pos="8303"/>
        </w:tabs>
      </w:pPr>
    </w:p>
    <w:p>
      <w:pPr>
        <w:pStyle w:val="61"/>
        <w:tabs>
          <w:tab w:val="right" w:leader="dot" w:pos="8312"/>
        </w:tabs>
      </w:pPr>
      <w:r>
        <w:rPr>
          <w:rFonts w:eastAsia="方正仿宋_GBK"/>
          <w:sz w:val="32"/>
          <w:szCs w:val="32"/>
        </w:rPr>
        <w:t xml:space="preserve">第一部分 </w:t>
      </w:r>
    </w:p>
    <w:p>
      <w:pPr>
        <w:pStyle w:val="61"/>
        <w:tabs>
          <w:tab w:val="right" w:leader="dot" w:pos="8312"/>
        </w:tabs>
      </w:pPr>
      <w:r>
        <w:rPr>
          <w:rFonts w:eastAsia="方正仿宋_GBK"/>
          <w:sz w:val="32"/>
          <w:szCs w:val="32"/>
        </w:rPr>
        <w:fldChar w:fldCharType="begin"/>
      </w:r>
      <w:r>
        <w:rPr>
          <w:rFonts w:eastAsia="方正仿宋_GBK"/>
          <w:sz w:val="32"/>
          <w:szCs w:val="32"/>
        </w:rPr>
        <w:instrText xml:space="preserve"> TOC \o "1-3" \h \z \u </w:instrText>
      </w:r>
      <w:r>
        <w:rPr>
          <w:rFonts w:eastAsia="方正仿宋_GBK"/>
          <w:sz w:val="32"/>
          <w:szCs w:val="32"/>
        </w:rPr>
        <w:fldChar w:fldCharType="separate"/>
      </w:r>
      <w:r>
        <w:fldChar w:fldCharType="begin"/>
      </w:r>
      <w:r>
        <w:instrText>Hyperlink \l "_Toc44862947"</w:instrText>
      </w:r>
      <w:r>
        <w:fldChar w:fldCharType="separate"/>
      </w:r>
      <w:r>
        <w:rPr>
          <w:rFonts w:eastAsia="方正黑体_GBK"/>
          <w:bCs w:val="0"/>
        </w:rPr>
        <w:t>第一部分</w:t>
      </w:r>
      <w:r>
        <w:tab/>
      </w:r>
      <w:r>
        <w:fldChar w:fldCharType="begin"/>
      </w:r>
      <w:r>
        <w:instrText>PageRef _Toc44862947 \h</w:instrText>
      </w:r>
      <w:r>
        <w:fldChar w:fldCharType="separate"/>
      </w:r>
      <w:r>
        <w:t>1</w:t>
      </w:r>
      <w:r>
        <w:fldChar w:fldCharType="end"/>
      </w:r>
      <w:r>
        <w:fldChar w:fldCharType="end"/>
      </w:r>
    </w:p>
    <w:p>
      <w:pPr>
        <w:pStyle w:val="61"/>
        <w:tabs>
          <w:tab w:val="right" w:leader="dot" w:pos="8312"/>
        </w:tabs>
      </w:pPr>
      <w:r>
        <w:fldChar w:fldCharType="begin"/>
      </w:r>
      <w:r>
        <w:instrText>Hyperlink \l "_Toc44862948"</w:instrText>
      </w:r>
      <w:r>
        <w:fldChar w:fldCharType="separate"/>
      </w:r>
      <w:r>
        <w:rPr>
          <w:rFonts w:eastAsia="方正黑体_GBK"/>
          <w:bCs w:val="0"/>
        </w:rPr>
        <w:t>东乌海关概况</w:t>
      </w:r>
      <w:r>
        <w:tab/>
      </w:r>
      <w:r>
        <w:fldChar w:fldCharType="begin"/>
      </w:r>
      <w:r>
        <w:instrText>PageRef _Toc44862948 \h</w:instrText>
      </w:r>
      <w:r>
        <w:fldChar w:fldCharType="separate"/>
      </w:r>
      <w:r>
        <w:t>1</w:t>
      </w:r>
      <w:r>
        <w:fldChar w:fldCharType="end"/>
      </w:r>
      <w:r>
        <w:fldChar w:fldCharType="end"/>
      </w:r>
    </w:p>
    <w:p>
      <w:pPr>
        <w:pStyle w:val="62"/>
        <w:tabs>
          <w:tab w:val="right" w:leader="dot" w:pos="8303"/>
          <w:tab w:val="right" w:leader="dot" w:pos="8312"/>
        </w:tabs>
      </w:pPr>
      <w:r>
        <w:fldChar w:fldCharType="begin"/>
      </w:r>
      <w:r>
        <w:instrText>Hyperlink \l "_Toc44862949"</w:instrText>
      </w:r>
      <w:r>
        <w:fldChar w:fldCharType="separate"/>
      </w:r>
      <w:r>
        <w:rPr>
          <w:rFonts w:ascii="Times New Roman" w:eastAsia="方正黑体_GBK" w:cs="Times New Roman" w:hAnsi="Times New Roman"/>
          <w:bCs w:val="0"/>
        </w:rPr>
        <w:t>一、部门职责</w:t>
      </w:r>
      <w:r>
        <w:tab/>
      </w:r>
      <w:r>
        <w:fldChar w:fldCharType="begin"/>
      </w:r>
      <w:r>
        <w:instrText>PageRef _Toc44862949 \h</w:instrText>
      </w:r>
      <w:r>
        <w:fldChar w:fldCharType="separate"/>
      </w:r>
      <w:r>
        <w:t>2</w:t>
      </w:r>
      <w:r>
        <w:fldChar w:fldCharType="end"/>
      </w:r>
      <w:r>
        <w:fldChar w:fldCharType="end"/>
      </w:r>
    </w:p>
    <w:p>
      <w:pPr>
        <w:pStyle w:val="62"/>
        <w:tabs>
          <w:tab w:val="right" w:leader="dot" w:pos="8303"/>
          <w:tab w:val="right" w:leader="dot" w:pos="8312"/>
        </w:tabs>
      </w:pPr>
      <w:r>
        <w:fldChar w:fldCharType="begin"/>
      </w:r>
      <w:r>
        <w:instrText>Hyperlink \l "_Toc44862950"</w:instrText>
      </w:r>
      <w:r>
        <w:fldChar w:fldCharType="separate"/>
      </w:r>
      <w:r>
        <w:rPr>
          <w:rFonts w:ascii="Times New Roman" w:eastAsia="方正黑体_GBK" w:cs="Times New Roman" w:hAnsi="Times New Roman"/>
          <w:bCs w:val="0"/>
        </w:rPr>
        <w:t>二、机构设置</w:t>
      </w:r>
      <w:r>
        <w:tab/>
      </w:r>
      <w:r>
        <w:fldChar w:fldCharType="begin"/>
      </w:r>
      <w:r>
        <w:instrText>PageRef _Toc44862950 \h</w:instrText>
      </w:r>
      <w:r>
        <w:fldChar w:fldCharType="separate"/>
      </w:r>
      <w:r>
        <w:t>2</w:t>
      </w:r>
      <w:r>
        <w:fldChar w:fldCharType="end"/>
      </w:r>
      <w:r>
        <w:fldChar w:fldCharType="end"/>
      </w:r>
    </w:p>
    <w:p>
      <w:pPr>
        <w:pStyle w:val="61"/>
        <w:tabs>
          <w:tab w:val="right" w:leader="dot" w:pos="8312"/>
        </w:tabs>
      </w:pPr>
      <w:r>
        <w:fldChar w:fldCharType="begin"/>
      </w:r>
      <w:r>
        <w:instrText>Hyperlink \l "_Toc44862951"</w:instrText>
      </w:r>
      <w:r>
        <w:fldChar w:fldCharType="separate"/>
      </w:r>
      <w:r>
        <w:rPr>
          <w:rFonts w:eastAsia="方正黑体_GBK"/>
          <w:bCs w:val="0"/>
          <w:kern w:val="0"/>
        </w:rPr>
        <w:t>第二部分</w:t>
      </w:r>
      <w:r>
        <w:tab/>
      </w:r>
      <w:r>
        <w:fldChar w:fldCharType="begin"/>
      </w:r>
      <w:r>
        <w:instrText>PageRef _Toc44862951 \h</w:instrText>
      </w:r>
      <w:r>
        <w:fldChar w:fldCharType="separate"/>
      </w:r>
      <w:r>
        <w:t>3</w:t>
      </w:r>
      <w:r>
        <w:fldChar w:fldCharType="end"/>
      </w:r>
      <w:r>
        <w:fldChar w:fldCharType="end"/>
      </w:r>
    </w:p>
    <w:p>
      <w:pPr>
        <w:pStyle w:val="61"/>
        <w:tabs>
          <w:tab w:val="right" w:leader="dot" w:pos="8312"/>
        </w:tabs>
      </w:pPr>
      <w:r>
        <w:fldChar w:fldCharType="begin"/>
      </w:r>
      <w:r>
        <w:instrText>Hyperlink \l "_Toc44862952"</w:instrText>
      </w:r>
      <w:r>
        <w:fldChar w:fldCharType="separate"/>
      </w:r>
      <w:r>
        <w:rPr>
          <w:rFonts w:eastAsia="方正黑体_GBK"/>
          <w:bCs w:val="0"/>
          <w:kern w:val="0"/>
        </w:rPr>
        <w:t>2025年度部门决算表</w:t>
      </w:r>
      <w:r>
        <w:tab/>
      </w:r>
      <w:r>
        <w:fldChar w:fldCharType="begin"/>
      </w:r>
      <w:r>
        <w:instrText>PageRef _Toc44862952 \h</w:instrText>
      </w:r>
      <w:r>
        <w:fldChar w:fldCharType="separate"/>
      </w:r>
      <w:r>
        <w:t>3</w:t>
      </w:r>
      <w:r>
        <w:fldChar w:fldCharType="end"/>
      </w:r>
      <w:r>
        <w:fldChar w:fldCharType="end"/>
      </w:r>
    </w:p>
    <w:p>
      <w:pPr>
        <w:pStyle w:val="62"/>
        <w:tabs>
          <w:tab w:val="right" w:leader="dot" w:pos="8303"/>
          <w:tab w:val="right" w:leader="dot" w:pos="8312"/>
        </w:tabs>
      </w:pPr>
      <w:r>
        <w:fldChar w:fldCharType="begin"/>
      </w:r>
      <w:r>
        <w:instrText>Hyperlink \l "_Toc44862953"</w:instrText>
      </w:r>
      <w:r>
        <w:fldChar w:fldCharType="separate"/>
      </w:r>
      <w:r>
        <w:rPr>
          <w:rFonts w:ascii="Times New Roman" w:cs="Times New Roman" w:hAnsi="Times New Roman"/>
          <w:kern w:val="0"/>
        </w:rPr>
        <w:t>收入支出决算总表</w:t>
      </w:r>
      <w:r>
        <w:tab/>
      </w:r>
      <w:r>
        <w:fldChar w:fldCharType="begin"/>
      </w:r>
      <w:r>
        <w:instrText>PageRef _Toc44862953 \h</w:instrText>
      </w:r>
      <w:r>
        <w:fldChar w:fldCharType="separate"/>
      </w:r>
      <w:r>
        <w:t>4</w:t>
      </w:r>
      <w:r>
        <w:fldChar w:fldCharType="end"/>
      </w:r>
      <w:r>
        <w:fldChar w:fldCharType="end"/>
      </w:r>
    </w:p>
    <w:p>
      <w:pPr>
        <w:pStyle w:val="62"/>
        <w:tabs>
          <w:tab w:val="right" w:leader="dot" w:pos="8303"/>
          <w:tab w:val="right" w:leader="dot" w:pos="8312"/>
        </w:tabs>
      </w:pPr>
      <w:r>
        <w:fldChar w:fldCharType="begin"/>
      </w:r>
      <w:r>
        <w:instrText>Hyperlink \l "_Toc44862954"</w:instrText>
      </w:r>
      <w:r>
        <w:fldChar w:fldCharType="separate"/>
      </w:r>
      <w:r>
        <w:rPr>
          <w:rFonts w:ascii="Times New Roman" w:cs="Times New Roman" w:hAnsi="Times New Roman"/>
          <w:kern w:val="0"/>
        </w:rPr>
        <w:t>收入决算表</w:t>
      </w:r>
      <w:r>
        <w:tab/>
      </w:r>
      <w:r>
        <w:fldChar w:fldCharType="begin"/>
      </w:r>
      <w:r>
        <w:instrText>PageRef _Toc44862954 \h</w:instrText>
      </w:r>
      <w:r>
        <w:fldChar w:fldCharType="separate"/>
      </w:r>
      <w:r>
        <w:t>5</w:t>
      </w:r>
      <w:r>
        <w:fldChar w:fldCharType="end"/>
      </w:r>
      <w:r>
        <w:fldChar w:fldCharType="end"/>
      </w:r>
    </w:p>
    <w:p>
      <w:pPr>
        <w:pStyle w:val="62"/>
        <w:tabs>
          <w:tab w:val="right" w:leader="dot" w:pos="8303"/>
          <w:tab w:val="right" w:leader="dot" w:pos="8312"/>
        </w:tabs>
      </w:pPr>
      <w:r>
        <w:fldChar w:fldCharType="begin"/>
      </w:r>
      <w:r>
        <w:instrText>Hyperlink \l "_Toc44862955"</w:instrText>
      </w:r>
      <w:r>
        <w:fldChar w:fldCharType="separate"/>
      </w:r>
      <w:r>
        <w:rPr>
          <w:rFonts w:ascii="Times New Roman" w:cs="Times New Roman" w:hAnsi="Times New Roman"/>
          <w:kern w:val="0"/>
        </w:rPr>
        <w:t>支出决算表</w:t>
      </w:r>
      <w:r>
        <w:tab/>
      </w:r>
      <w:r>
        <w:fldChar w:fldCharType="begin"/>
      </w:r>
      <w:r>
        <w:instrText>PageRef _Toc44862955 \h</w:instrText>
      </w:r>
      <w:r>
        <w:fldChar w:fldCharType="separate"/>
      </w:r>
      <w:r>
        <w:t>7</w:t>
      </w:r>
      <w:r>
        <w:fldChar w:fldCharType="end"/>
      </w:r>
      <w:r>
        <w:fldChar w:fldCharType="end"/>
      </w:r>
    </w:p>
    <w:p>
      <w:pPr>
        <w:pStyle w:val="62"/>
        <w:tabs>
          <w:tab w:val="right" w:leader="dot" w:pos="8303"/>
          <w:tab w:val="right" w:leader="dot" w:pos="8312"/>
        </w:tabs>
      </w:pPr>
      <w:r>
        <w:fldChar w:fldCharType="begin"/>
      </w:r>
      <w:r>
        <w:instrText>Hyperlink \l "_Toc44862956"</w:instrText>
      </w:r>
      <w:r>
        <w:fldChar w:fldCharType="separate"/>
      </w:r>
      <w:r>
        <w:rPr>
          <w:rFonts w:ascii="Times New Roman" w:cs="Times New Roman" w:hAnsi="Times New Roman"/>
        </w:rPr>
        <w:t>财政拨款收入支出决算总表</w:t>
      </w:r>
      <w:r>
        <w:tab/>
      </w:r>
      <w:r>
        <w:fldChar w:fldCharType="begin"/>
      </w:r>
      <w:r>
        <w:instrText>PageRef _Toc44862956 \h</w:instrText>
      </w:r>
      <w:r>
        <w:fldChar w:fldCharType="separate"/>
      </w:r>
      <w:r>
        <w:t>9</w:t>
      </w:r>
      <w:r>
        <w:fldChar w:fldCharType="end"/>
      </w:r>
      <w:r>
        <w:fldChar w:fldCharType="end"/>
      </w:r>
    </w:p>
    <w:p>
      <w:pPr>
        <w:pStyle w:val="62"/>
        <w:tabs>
          <w:tab w:val="right" w:leader="dot" w:pos="8303"/>
          <w:tab w:val="right" w:leader="dot" w:pos="8312"/>
        </w:tabs>
      </w:pPr>
      <w:r>
        <w:fldChar w:fldCharType="begin"/>
      </w:r>
      <w:r>
        <w:instrText>Hyperlink \l "_Toc44862957"</w:instrText>
      </w:r>
      <w:r>
        <w:fldChar w:fldCharType="separate"/>
      </w:r>
      <w:r>
        <w:rPr>
          <w:rFonts w:ascii="Times New Roman" w:cs="Times New Roman" w:hAnsi="Times New Roman"/>
        </w:rPr>
        <w:t>一般公共预算财政拨款支出决算表</w:t>
      </w:r>
      <w:r>
        <w:tab/>
      </w:r>
      <w:r>
        <w:fldChar w:fldCharType="begin"/>
      </w:r>
      <w:r>
        <w:instrText>PageRef _Toc44862957 \h</w:instrText>
      </w:r>
      <w:r>
        <w:fldChar w:fldCharType="separate"/>
      </w:r>
      <w:r>
        <w:t>10</w:t>
      </w:r>
      <w:r>
        <w:fldChar w:fldCharType="end"/>
      </w:r>
      <w:r>
        <w:fldChar w:fldCharType="end"/>
      </w:r>
    </w:p>
    <w:p>
      <w:pPr>
        <w:pStyle w:val="62"/>
        <w:tabs>
          <w:tab w:val="right" w:leader="dot" w:pos="8303"/>
          <w:tab w:val="right" w:leader="dot" w:pos="8312"/>
        </w:tabs>
      </w:pPr>
      <w:r>
        <w:fldChar w:fldCharType="begin"/>
      </w:r>
      <w:r>
        <w:instrText>Hyperlink \l "_Toc44862958"</w:instrText>
      </w:r>
      <w:r>
        <w:fldChar w:fldCharType="separate"/>
      </w:r>
      <w:r>
        <w:rPr>
          <w:rFonts w:ascii="Times New Roman" w:cs="Times New Roman" w:hAnsi="Times New Roman"/>
        </w:rPr>
        <w:t>一般公共预算财政拨款基本支出决算明细表</w:t>
      </w:r>
      <w:r>
        <w:tab/>
      </w:r>
      <w:r>
        <w:fldChar w:fldCharType="begin"/>
      </w:r>
      <w:r>
        <w:instrText>PageRef _Toc44862958 \h</w:instrText>
      </w:r>
      <w:r>
        <w:fldChar w:fldCharType="separate"/>
      </w:r>
      <w:r>
        <w:t>12</w:t>
      </w:r>
      <w:r>
        <w:fldChar w:fldCharType="end"/>
      </w:r>
      <w:r>
        <w:fldChar w:fldCharType="end"/>
      </w:r>
    </w:p>
    <w:p>
      <w:pPr>
        <w:pStyle w:val="62"/>
        <w:tabs>
          <w:tab w:val="right" w:leader="dot" w:pos="8303"/>
          <w:tab w:val="right" w:leader="dot" w:pos="8312"/>
        </w:tabs>
      </w:pPr>
      <w:r>
        <w:fldChar w:fldCharType="begin"/>
      </w:r>
      <w:r>
        <w:instrText>Hyperlink \l "_Toc44862959"</w:instrText>
      </w:r>
      <w:r>
        <w:fldChar w:fldCharType="separate"/>
      </w:r>
      <w:r>
        <w:rPr>
          <w:rFonts w:ascii="Times New Roman" w:cs="Times New Roman" w:hAnsi="Times New Roman"/>
          <w:kern w:val="0"/>
        </w:rPr>
        <w:t>政府性基金预算财政拨款收入支出决算表</w:t>
      </w:r>
      <w:r>
        <w:tab/>
      </w:r>
      <w:r>
        <w:fldChar w:fldCharType="begin"/>
      </w:r>
      <w:r>
        <w:instrText>PageRef _Toc44862959 \h</w:instrText>
      </w:r>
      <w:r>
        <w:fldChar w:fldCharType="separate"/>
      </w:r>
      <w:r>
        <w:t>14</w:t>
      </w:r>
      <w:r>
        <w:fldChar w:fldCharType="end"/>
      </w:r>
      <w:r>
        <w:fldChar w:fldCharType="end"/>
      </w:r>
    </w:p>
    <w:p>
      <w:pPr>
        <w:pStyle w:val="62"/>
        <w:tabs>
          <w:tab w:val="right" w:leader="dot" w:pos="8303"/>
          <w:tab w:val="right" w:leader="dot" w:pos="8312"/>
        </w:tabs>
      </w:pPr>
      <w:r>
        <w:fldChar w:fldCharType="begin"/>
      </w:r>
      <w:r>
        <w:instrText>Hyperlink \l "_Toc44862960"</w:instrText>
      </w:r>
      <w:r>
        <w:fldChar w:fldCharType="separate"/>
      </w:r>
      <w:r>
        <w:rPr>
          <w:rFonts w:ascii="Times New Roman" w:cs="Times New Roman" w:hAnsi="Times New Roman"/>
          <w:kern w:val="0"/>
        </w:rPr>
        <w:t>国有资本经营预算财政拨款支出决算表</w:t>
      </w:r>
      <w:r>
        <w:tab/>
      </w:r>
      <w:r>
        <w:fldChar w:fldCharType="begin"/>
      </w:r>
      <w:r>
        <w:instrText>PageRef _Toc44862960 \h</w:instrText>
      </w:r>
      <w:r>
        <w:fldChar w:fldCharType="separate"/>
      </w:r>
      <w:r>
        <w:t>15</w:t>
      </w:r>
      <w:r>
        <w:fldChar w:fldCharType="end"/>
      </w:r>
      <w:r>
        <w:fldChar w:fldCharType="end"/>
      </w:r>
    </w:p>
    <w:p>
      <w:pPr>
        <w:pStyle w:val="62"/>
        <w:tabs>
          <w:tab w:val="right" w:leader="dot" w:pos="8303"/>
          <w:tab w:val="right" w:leader="dot" w:pos="8312"/>
        </w:tabs>
      </w:pPr>
      <w:r>
        <w:fldChar w:fldCharType="begin"/>
      </w:r>
      <w:r>
        <w:instrText>Hyperlink \l "_Toc44862961"</w:instrText>
      </w:r>
      <w:r>
        <w:fldChar w:fldCharType="separate"/>
      </w:r>
      <w:r>
        <w:rPr>
          <w:rFonts w:ascii="Times New Roman" w:cs="Times New Roman" w:hAnsi="Times New Roman"/>
          <w:kern w:val="0"/>
        </w:rPr>
        <w:t>财政拨款“三公”经费支出决算表</w:t>
      </w:r>
      <w:r>
        <w:tab/>
      </w:r>
      <w:r>
        <w:fldChar w:fldCharType="begin"/>
      </w:r>
      <w:r>
        <w:instrText>PageRef _Toc44862961 \h</w:instrText>
      </w:r>
      <w:r>
        <w:fldChar w:fldCharType="separate"/>
      </w:r>
      <w:r>
        <w:t>16</w:t>
      </w:r>
      <w:r>
        <w:fldChar w:fldCharType="end"/>
      </w:r>
      <w:r>
        <w:fldChar w:fldCharType="end"/>
      </w:r>
    </w:p>
    <w:p>
      <w:pPr>
        <w:pStyle w:val="61"/>
        <w:tabs>
          <w:tab w:val="right" w:leader="dot" w:pos="8312"/>
        </w:tabs>
      </w:pPr>
      <w:r>
        <w:fldChar w:fldCharType="begin"/>
      </w:r>
      <w:r>
        <w:instrText>Hyperlink \l "_Toc44862962"</w:instrText>
      </w:r>
      <w:r>
        <w:fldChar w:fldCharType="separate"/>
      </w:r>
      <w:r>
        <w:rPr>
          <w:rFonts w:eastAsia="方正黑体_GBK"/>
          <w:bCs w:val="0"/>
        </w:rPr>
        <w:t>第三部分</w:t>
      </w:r>
      <w:r>
        <w:tab/>
      </w:r>
      <w:r>
        <w:fldChar w:fldCharType="begin"/>
      </w:r>
      <w:r>
        <w:instrText>PageRef _Toc44862962 \h</w:instrText>
      </w:r>
      <w:r>
        <w:fldChar w:fldCharType="separate"/>
      </w:r>
      <w:r>
        <w:t>17</w:t>
      </w:r>
      <w:r>
        <w:fldChar w:fldCharType="end"/>
      </w:r>
      <w:r>
        <w:fldChar w:fldCharType="end"/>
      </w:r>
    </w:p>
    <w:p>
      <w:pPr>
        <w:pStyle w:val="61"/>
        <w:tabs>
          <w:tab w:val="right" w:leader="dot" w:pos="8312"/>
        </w:tabs>
      </w:pPr>
      <w:r>
        <w:fldChar w:fldCharType="begin"/>
      </w:r>
      <w:r>
        <w:instrText>Hyperlink \l "_Toc44862963"</w:instrText>
      </w:r>
      <w:r>
        <w:fldChar w:fldCharType="separate"/>
      </w:r>
      <w:r>
        <w:rPr>
          <w:rFonts w:eastAsia="方正黑体_GBK"/>
          <w:bCs w:val="0"/>
        </w:rPr>
        <w:t>2025年度部门决算表</w:t>
      </w:r>
      <w:r>
        <w:tab/>
      </w:r>
      <w:r>
        <w:fldChar w:fldCharType="begin"/>
      </w:r>
      <w:r>
        <w:instrText>PageRef _Toc44862963 \h</w:instrText>
      </w:r>
      <w:r>
        <w:fldChar w:fldCharType="separate"/>
      </w:r>
      <w:r>
        <w:t>17</w:t>
      </w:r>
      <w:r>
        <w:fldChar w:fldCharType="end"/>
      </w:r>
      <w:r>
        <w:fldChar w:fldCharType="end"/>
      </w:r>
    </w:p>
    <w:p>
      <w:pPr>
        <w:pStyle w:val="61"/>
        <w:tabs>
          <w:tab w:val="right" w:leader="dot" w:pos="8312"/>
        </w:tabs>
      </w:pPr>
      <w:r>
        <w:fldChar w:fldCharType="begin"/>
      </w:r>
      <w:r>
        <w:instrText>Hyperlink \l "_Toc44862964"</w:instrText>
      </w:r>
      <w:r>
        <w:fldChar w:fldCharType="separate"/>
      </w:r>
      <w:r>
        <w:rPr>
          <w:rFonts w:eastAsia="方正黑体_GBK"/>
          <w:bCs w:val="0"/>
        </w:rPr>
        <w:t>情况说明</w:t>
      </w:r>
      <w:r>
        <w:tab/>
      </w:r>
      <w:r>
        <w:fldChar w:fldCharType="begin"/>
      </w:r>
      <w:r>
        <w:instrText>PageRef _Toc44862964 \h</w:instrText>
      </w:r>
      <w:r>
        <w:fldChar w:fldCharType="separate"/>
      </w:r>
      <w:r>
        <w:t>17</w:t>
      </w:r>
      <w:r>
        <w:fldChar w:fldCharType="end"/>
      </w:r>
      <w:r>
        <w:fldChar w:fldCharType="end"/>
      </w:r>
    </w:p>
    <w:p>
      <w:pPr>
        <w:pStyle w:val="62"/>
        <w:tabs>
          <w:tab w:val="right" w:leader="dot" w:pos="8303"/>
          <w:tab w:val="right" w:leader="dot" w:pos="8312"/>
        </w:tabs>
      </w:pPr>
      <w:r>
        <w:fldChar w:fldCharType="begin"/>
      </w:r>
      <w:r>
        <w:instrText>Hyperlink \l "_Toc44862965"</w:instrText>
      </w:r>
      <w:r>
        <w:fldChar w:fldCharType="separate"/>
      </w:r>
      <w:r>
        <w:rPr>
          <w:rFonts w:ascii="Times New Roman" w:eastAsia="方正黑体_GBK" w:cs="Times New Roman" w:hAnsi="Times New Roman"/>
          <w:bCs w:val="0"/>
        </w:rPr>
        <w:t>一、收入支出决算总体情况说明</w:t>
      </w:r>
      <w:r>
        <w:tab/>
      </w:r>
      <w:r>
        <w:fldChar w:fldCharType="begin"/>
      </w:r>
      <w:r>
        <w:instrText>PageRef _Toc44862965 \h</w:instrText>
      </w:r>
      <w:r>
        <w:fldChar w:fldCharType="separate"/>
      </w:r>
      <w:r>
        <w:t>18</w:t>
      </w:r>
      <w:r>
        <w:fldChar w:fldCharType="end"/>
      </w:r>
      <w:r>
        <w:fldChar w:fldCharType="end"/>
      </w:r>
    </w:p>
    <w:p>
      <w:pPr>
        <w:pStyle w:val="62"/>
        <w:tabs>
          <w:tab w:val="right" w:leader="dot" w:pos="8303"/>
          <w:tab w:val="right" w:leader="dot" w:pos="8312"/>
        </w:tabs>
      </w:pPr>
      <w:r>
        <w:fldChar w:fldCharType="begin"/>
      </w:r>
      <w:r>
        <w:instrText>Hyperlink \l "_Toc44862966"</w:instrText>
      </w:r>
      <w:r>
        <w:fldChar w:fldCharType="separate"/>
      </w:r>
      <w:r>
        <w:rPr>
          <w:rFonts w:ascii="Times New Roman" w:eastAsia="方正黑体_GBK" w:cs="Times New Roman" w:hAnsi="Times New Roman"/>
          <w:bCs w:val="0"/>
        </w:rPr>
        <w:t>二、收入决算情况说明</w:t>
      </w:r>
      <w:r>
        <w:tab/>
      </w:r>
      <w:r>
        <w:fldChar w:fldCharType="begin"/>
      </w:r>
      <w:r>
        <w:instrText>PageRef _Toc44862966 \h</w:instrText>
      </w:r>
      <w:r>
        <w:fldChar w:fldCharType="separate"/>
      </w:r>
      <w:r>
        <w:t>18</w:t>
      </w:r>
      <w:r>
        <w:fldChar w:fldCharType="end"/>
      </w:r>
      <w:r>
        <w:fldChar w:fldCharType="end"/>
      </w:r>
    </w:p>
    <w:p>
      <w:pPr>
        <w:pStyle w:val="62"/>
        <w:tabs>
          <w:tab w:val="right" w:leader="dot" w:pos="8303"/>
          <w:tab w:val="right" w:leader="dot" w:pos="8312"/>
        </w:tabs>
      </w:pPr>
      <w:r>
        <w:fldChar w:fldCharType="begin"/>
      </w:r>
      <w:r>
        <w:instrText>Hyperlink \l "_Toc44862967"</w:instrText>
      </w:r>
      <w:r>
        <w:fldChar w:fldCharType="separate"/>
      </w:r>
      <w:r>
        <w:rPr>
          <w:rFonts w:ascii="Times New Roman" w:eastAsia="方正黑体_GBK" w:cs="Times New Roman" w:hAnsi="Times New Roman"/>
          <w:bCs w:val="0"/>
        </w:rPr>
        <w:t>四、财政拨款收入支出决算总体情况说明</w:t>
      </w:r>
      <w:r>
        <w:tab/>
      </w:r>
      <w:r>
        <w:fldChar w:fldCharType="begin"/>
      </w:r>
      <w:r>
        <w:instrText>PageRef _Toc44862967 \h</w:instrText>
      </w:r>
      <w:r>
        <w:fldChar w:fldCharType="separate"/>
      </w:r>
      <w:r>
        <w:t>20</w:t>
      </w:r>
      <w:r>
        <w:fldChar w:fldCharType="end"/>
      </w:r>
      <w:r>
        <w:fldChar w:fldCharType="end"/>
      </w:r>
    </w:p>
    <w:p>
      <w:pPr>
        <w:pStyle w:val="62"/>
        <w:tabs>
          <w:tab w:val="right" w:leader="dot" w:pos="8303"/>
          <w:tab w:val="right" w:leader="dot" w:pos="8312"/>
        </w:tabs>
      </w:pPr>
      <w:r>
        <w:fldChar w:fldCharType="begin"/>
      </w:r>
      <w:r>
        <w:instrText>Hyperlink \l "_Toc44862968"</w:instrText>
      </w:r>
      <w:r>
        <w:fldChar w:fldCharType="separate"/>
      </w:r>
      <w:r>
        <w:rPr>
          <w:rFonts w:ascii="Times New Roman" w:eastAsia="方正黑体_GBK" w:cs="Times New Roman" w:hAnsi="Times New Roman"/>
          <w:bCs w:val="0"/>
        </w:rPr>
        <w:t>五、一般公共预算财政拨款支出决算情况说明</w:t>
      </w:r>
      <w:r>
        <w:tab/>
      </w:r>
      <w:r>
        <w:fldChar w:fldCharType="begin"/>
      </w:r>
      <w:r>
        <w:instrText>PageRef _Toc44862968 \h</w:instrText>
      </w:r>
      <w:r>
        <w:fldChar w:fldCharType="separate"/>
      </w:r>
      <w:r>
        <w:t>21</w:t>
      </w:r>
      <w:r>
        <w:fldChar w:fldCharType="end"/>
      </w:r>
      <w:r>
        <w:fldChar w:fldCharType="end"/>
      </w:r>
    </w:p>
    <w:p>
      <w:pPr>
        <w:pStyle w:val="62"/>
        <w:tabs>
          <w:tab w:val="right" w:leader="dot" w:pos="8303"/>
          <w:tab w:val="right" w:leader="dot" w:pos="8312"/>
        </w:tabs>
      </w:pPr>
      <w:r>
        <w:fldChar w:fldCharType="begin"/>
      </w:r>
      <w:r>
        <w:instrText>Hyperlink \l "_Toc44862969"</w:instrText>
      </w:r>
      <w:r>
        <w:fldChar w:fldCharType="separate"/>
      </w:r>
      <w:r>
        <w:rPr>
          <w:rFonts w:ascii="Times New Roman" w:eastAsia="方正黑体_GBK" w:cs="Times New Roman" w:hAnsi="Times New Roman"/>
          <w:bCs w:val="0"/>
        </w:rPr>
        <w:t>六、一般公共预算财政拨款基本支出决算情况说明</w:t>
      </w:r>
      <w:r>
        <w:tab/>
      </w:r>
      <w:r>
        <w:fldChar w:fldCharType="begin"/>
      </w:r>
      <w:r>
        <w:instrText>PageRef _Toc44862969 \h</w:instrText>
      </w:r>
      <w:r>
        <w:fldChar w:fldCharType="separate"/>
      </w:r>
      <w:r>
        <w:t>23</w:t>
      </w:r>
      <w:r>
        <w:fldChar w:fldCharType="end"/>
      </w:r>
      <w:r>
        <w:fldChar w:fldCharType="end"/>
      </w:r>
    </w:p>
    <w:p>
      <w:pPr>
        <w:pStyle w:val="62"/>
        <w:tabs>
          <w:tab w:val="right" w:leader="dot" w:pos="8303"/>
          <w:tab w:val="right" w:leader="dot" w:pos="8312"/>
        </w:tabs>
      </w:pPr>
      <w:r>
        <w:fldChar w:fldCharType="begin"/>
      </w:r>
      <w:r>
        <w:instrText>Hyperlink \l "_Toc44862970"</w:instrText>
      </w:r>
      <w:r>
        <w:fldChar w:fldCharType="separate"/>
      </w:r>
      <w:r>
        <w:rPr>
          <w:rFonts w:ascii="Times New Roman" w:eastAsia="方正黑体_GBK" w:cs="Times New Roman" w:hAnsi="Times New Roman"/>
          <w:bCs w:val="0"/>
        </w:rPr>
        <w:t>七、财政拨款“三公”经费支出决算情况说明</w:t>
      </w:r>
      <w:r>
        <w:tab/>
      </w:r>
      <w:r>
        <w:fldChar w:fldCharType="begin"/>
      </w:r>
      <w:r>
        <w:instrText>PageRef _Toc44862970 \h</w:instrText>
      </w:r>
      <w:r>
        <w:fldChar w:fldCharType="separate"/>
      </w:r>
      <w:r>
        <w:t>24</w:t>
      </w:r>
      <w:r>
        <w:fldChar w:fldCharType="end"/>
      </w:r>
      <w:r>
        <w:fldChar w:fldCharType="end"/>
      </w:r>
    </w:p>
    <w:p>
      <w:pPr>
        <w:pStyle w:val="62"/>
        <w:tabs>
          <w:tab w:val="right" w:leader="dot" w:pos="8303"/>
          <w:tab w:val="right" w:leader="dot" w:pos="8312"/>
        </w:tabs>
      </w:pPr>
      <w:r>
        <w:fldChar w:fldCharType="begin"/>
      </w:r>
      <w:r>
        <w:instrText>Hyperlink \l "_Toc44862971"</w:instrText>
      </w:r>
      <w:r>
        <w:fldChar w:fldCharType="separate"/>
      </w:r>
      <w:r>
        <w:rPr>
          <w:rFonts w:ascii="Times New Roman" w:eastAsia="方正黑体_GBK" w:cs="Times New Roman" w:hAnsi="Times New Roman"/>
          <w:bCs w:val="0"/>
        </w:rPr>
        <w:t>八、机关运行经费支出说明</w:t>
      </w:r>
      <w:r>
        <w:tab/>
      </w:r>
      <w:r>
        <w:fldChar w:fldCharType="begin"/>
      </w:r>
      <w:r>
        <w:instrText>PageRef _Toc44862971 \h</w:instrText>
      </w:r>
      <w:r>
        <w:fldChar w:fldCharType="separate"/>
      </w:r>
      <w:r>
        <w:t>24</w:t>
      </w:r>
      <w:r>
        <w:fldChar w:fldCharType="end"/>
      </w:r>
      <w:r>
        <w:fldChar w:fldCharType="end"/>
      </w:r>
    </w:p>
    <w:p>
      <w:pPr>
        <w:pStyle w:val="62"/>
        <w:tabs>
          <w:tab w:val="right" w:leader="dot" w:pos="8303"/>
          <w:tab w:val="right" w:leader="dot" w:pos="8312"/>
        </w:tabs>
      </w:pPr>
      <w:r>
        <w:fldChar w:fldCharType="begin"/>
      </w:r>
      <w:r>
        <w:instrText>Hyperlink \l "_Toc44862972"</w:instrText>
      </w:r>
      <w:r>
        <w:fldChar w:fldCharType="separate"/>
      </w:r>
      <w:r>
        <w:rPr>
          <w:rFonts w:ascii="Times New Roman" w:eastAsia="方正黑体_GBK" w:cs="Times New Roman" w:hAnsi="Times New Roman"/>
          <w:bCs w:val="0"/>
        </w:rPr>
        <w:t>九、政府采购支出说明</w:t>
      </w:r>
      <w:r>
        <w:tab/>
      </w:r>
      <w:r>
        <w:fldChar w:fldCharType="begin"/>
      </w:r>
      <w:r>
        <w:instrText>PageRef _Toc44862972 \h</w:instrText>
      </w:r>
      <w:r>
        <w:fldChar w:fldCharType="separate"/>
      </w:r>
      <w:r>
        <w:t>25</w:t>
      </w:r>
      <w:r>
        <w:fldChar w:fldCharType="end"/>
      </w:r>
      <w:r>
        <w:fldChar w:fldCharType="end"/>
      </w:r>
    </w:p>
    <w:p>
      <w:pPr>
        <w:pStyle w:val="62"/>
        <w:tabs>
          <w:tab w:val="right" w:leader="dot" w:pos="8303"/>
          <w:tab w:val="right" w:leader="dot" w:pos="8312"/>
        </w:tabs>
      </w:pPr>
      <w:r>
        <w:fldChar w:fldCharType="begin"/>
      </w:r>
      <w:r>
        <w:instrText>Hyperlink \l "_Toc44862973"</w:instrText>
      </w:r>
      <w:r>
        <w:fldChar w:fldCharType="separate"/>
      </w:r>
      <w:r>
        <w:rPr>
          <w:rFonts w:ascii="Times New Roman" w:eastAsia="方正黑体_GBK" w:cs="Times New Roman" w:hAnsi="Times New Roman"/>
          <w:bCs w:val="0"/>
        </w:rPr>
        <w:t>十、国有资产占用情况说明</w:t>
      </w:r>
      <w:r>
        <w:tab/>
      </w:r>
      <w:r>
        <w:fldChar w:fldCharType="begin"/>
      </w:r>
      <w:r>
        <w:instrText>PageRef _Toc44862973 \h</w:instrText>
      </w:r>
      <w:r>
        <w:fldChar w:fldCharType="separate"/>
      </w:r>
      <w:r>
        <w:t>25</w:t>
      </w:r>
      <w:r>
        <w:fldChar w:fldCharType="end"/>
      </w:r>
      <w:r>
        <w:fldChar w:fldCharType="end"/>
      </w:r>
    </w:p>
    <w:p>
      <w:pPr>
        <w:pStyle w:val="62"/>
        <w:tabs>
          <w:tab w:val="right" w:leader="dot" w:pos="8303"/>
          <w:tab w:val="right" w:leader="dot" w:pos="8312"/>
        </w:tabs>
      </w:pPr>
      <w:r>
        <w:fldChar w:fldCharType="begin"/>
      </w:r>
      <w:r>
        <w:instrText>Hyperlink \l "_Toc44862974"</w:instrText>
      </w:r>
      <w:r>
        <w:fldChar w:fldCharType="separate"/>
      </w:r>
      <w:r>
        <w:rPr>
          <w:rFonts w:ascii="Times New Roman" w:eastAsia="方正黑体_GBK" w:cs="Times New Roman" w:hAnsi="Times New Roman"/>
          <w:bCs w:val="0"/>
        </w:rPr>
        <w:t>十一、关于2025年度预算绩效情况说明</w:t>
      </w:r>
      <w:r>
        <w:tab/>
      </w:r>
      <w:r>
        <w:fldChar w:fldCharType="begin"/>
      </w:r>
      <w:r>
        <w:instrText>PageRef _Toc44862974 \h</w:instrText>
      </w:r>
      <w:r>
        <w:fldChar w:fldCharType="separate"/>
      </w:r>
      <w:r>
        <w:t>25</w:t>
      </w:r>
      <w:r>
        <w:fldChar w:fldCharType="end"/>
      </w:r>
      <w:r>
        <w:fldChar w:fldCharType="end"/>
      </w:r>
    </w:p>
    <w:p>
      <w:pPr>
        <w:pStyle w:val="61"/>
        <w:tabs>
          <w:tab w:val="right" w:leader="dot" w:pos="8312"/>
        </w:tabs>
      </w:pPr>
      <w:r>
        <w:fldChar w:fldCharType="begin"/>
      </w:r>
      <w:r>
        <w:instrText>Hyperlink \l "_Toc44862975"</w:instrText>
      </w:r>
      <w:r>
        <w:fldChar w:fldCharType="separate"/>
      </w:r>
      <w:r>
        <w:rPr>
          <w:rFonts w:eastAsia="方正黑体_GBK"/>
          <w:bCs w:val="0"/>
          <w:kern w:val="0"/>
        </w:rPr>
        <w:t>第四部分 名词解释</w:t>
      </w:r>
      <w:r>
        <w:tab/>
      </w:r>
      <w:r>
        <w:fldChar w:fldCharType="begin"/>
      </w:r>
      <w:r>
        <w:instrText>PageRef _Toc44862975 \h</w:instrText>
      </w:r>
      <w:r>
        <w:fldChar w:fldCharType="separate"/>
      </w:r>
      <w:r>
        <w:t>26</w:t>
      </w:r>
      <w:r>
        <w:fldChar w:fldCharType="end"/>
      </w:r>
      <w:r>
        <w:fldChar w:fldCharType="end"/>
      </w:r>
    </w:p>
    <w:p>
      <w:pPr>
        <w:pStyle w:val="61"/>
        <w:tabs>
          <w:tab w:val="right" w:leader="dot" w:pos="8312"/>
        </w:tabs>
      </w:pPr>
      <w:r>
        <w:fldChar w:fldCharType="begin"/>
      </w:r>
      <w:r>
        <w:instrText>Hyperlink \l "_Toc44862976"</w:instrText>
      </w:r>
      <w:r>
        <w:fldChar w:fldCharType="separate"/>
      </w:r>
      <w:r>
        <w:rPr>
          <w:rFonts w:eastAsia="方正黑体_GBK"/>
          <w:bCs w:val="0"/>
          <w:kern w:val="0"/>
        </w:rPr>
        <w:t>第五部分    附件</w:t>
      </w:r>
      <w:r>
        <w:tab/>
      </w:r>
      <w:r>
        <w:fldChar w:fldCharType="begin"/>
      </w:r>
      <w:r>
        <w:instrText>PageRef _Toc44862976 \h</w:instrText>
      </w:r>
      <w:r>
        <w:fldChar w:fldCharType="separate"/>
      </w:r>
      <w:r>
        <w:t>33</w:t>
      </w:r>
      <w:r>
        <w:fldChar w:fldCharType="end"/>
      </w:r>
      <w:r>
        <w:fldChar w:fldCharType="end"/>
      </w:r>
    </w:p>
    <w:p>
      <w:pPr>
        <w:rPr>
          <w:rFonts w:eastAsia="方正仿宋_GBK"/>
          <w:sz w:val="32"/>
          <w:szCs w:val="32"/>
        </w:rPr>
      </w:pPr>
      <w:r>
        <w:rPr>
          <w:rFonts w:eastAsia="方正仿宋_GBK"/>
          <w:sz w:val="32"/>
          <w:szCs w:val="32"/>
        </w:rPr>
        <w:fldChar w:fldCharType="end"/>
      </w:r>
    </w:p>
    <w:p>
      <w:pPr>
        <w:autoSpaceDN w:val="0"/>
        <w:rPr>
          <w:rFonts w:eastAsia="方正仿宋_GBK"/>
          <w:sz w:val="32"/>
          <w:szCs w:val="32"/>
        </w:rPr>
        <w:sectPr>
          <w:headerReference w:type="default" r:id="rId2"/>
          <w:footerReference w:type="default" r:id="rId3"/>
          <w:footerReference w:type="even" r:id="rId4"/>
          <w:pgSz w:w="11907" w:h="16840"/>
          <w:pgMar w:top="1440" w:right="1797" w:bottom="1440" w:left="1797" w:header="851" w:footer="992" w:gutter="0"/>
          <w:pgNumType w:start="1"/>
          <w:titlePg/>
          <w:docGrid w:type="lines" w:linePitch="312" w:charSpace="0"/>
        </w:sectPr>
      </w:pPr>
    </w:p>
    <w:p>
      <w:pPr>
        <w:pStyle w:val="1"/>
        <w:jc w:val="center"/>
        <w:rPr>
          <w:rFonts w:eastAsia="方正黑体_GBK"/>
          <w:b w:val="0"/>
          <w:bCs w:val="0"/>
          <w:sz w:val="84"/>
          <w:szCs w:val="84"/>
        </w:rPr>
      </w:pPr>
      <w:bookmarkStart w:id="1" w:name="_Toc142905244"/>
      <w:bookmarkStart w:id="2" w:name="_Toc21085165"/>
      <w:bookmarkStart w:id="3" w:name="_Toc73694367"/>
    </w:p>
    <w:p>
      <w:pPr>
        <w:pStyle w:val="1"/>
        <w:jc w:val="center"/>
        <w:rPr>
          <w:rFonts w:eastAsia="方正黑体_GBK"/>
          <w:b w:val="0"/>
          <w:bCs w:val="0"/>
          <w:sz w:val="84"/>
          <w:szCs w:val="84"/>
        </w:rPr>
      </w:pPr>
    </w:p>
    <w:p>
      <w:pPr>
        <w:pStyle w:val="1"/>
        <w:jc w:val="center"/>
        <w:rPr>
          <w:rFonts w:eastAsia="方正黑体_GBK"/>
          <w:b w:val="0"/>
          <w:bCs w:val="0"/>
          <w:sz w:val="84"/>
          <w:szCs w:val="84"/>
        </w:rPr>
      </w:pPr>
    </w:p>
    <w:p>
      <w:pPr>
        <w:pStyle w:val="1"/>
        <w:jc w:val="center"/>
        <w:rPr>
          <w:rFonts w:eastAsia="方正黑体_GBK"/>
          <w:b w:val="0"/>
          <w:bCs w:val="0"/>
          <w:sz w:val="84"/>
          <w:szCs w:val="84"/>
        </w:rPr>
      </w:pPr>
      <w:bookmarkStart w:id="4" w:name="_Toc44862947"/>
      <w:r>
        <w:rPr>
          <w:rFonts w:eastAsia="方正黑体_GBK"/>
          <w:b w:val="0"/>
          <w:bCs w:val="0"/>
          <w:sz w:val="84"/>
          <w:szCs w:val="84"/>
        </w:rPr>
        <w:t>第一部分</w:t>
      </w:r>
      <w:bookmarkEnd w:id="1"/>
      <w:bookmarkEnd w:id="2"/>
      <w:bookmarkEnd w:id="3"/>
      <w:bookmarkEnd w:id="4"/>
    </w:p>
    <w:p>
      <w:pPr>
        <w:pStyle w:val="1"/>
        <w:jc w:val="center"/>
        <w:rPr>
          <w:rFonts w:eastAsia="方正黑体_GBK"/>
          <w:b w:val="0"/>
          <w:bCs w:val="0"/>
          <w:sz w:val="84"/>
          <w:szCs w:val="84"/>
        </w:rPr>
      </w:pPr>
      <w:bookmarkStart w:id="5" w:name="_Toc44862948"/>
      <w:r>
        <w:rPr>
          <w:rFonts w:eastAsia="方正黑体_GBK"/>
          <w:b w:val="0"/>
          <w:bCs w:val="0"/>
          <w:sz w:val="84"/>
          <w:szCs w:val="84"/>
        </w:rPr>
        <w:t>东乌海关概况</w:t>
      </w:r>
      <w:bookmarkEnd w:id="5"/>
    </w:p>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pStyle w:val="2"/>
        <w:snapToGrid w:val="0"/>
        <w:spacing w:before="0" w:after="0" w:line="560" w:lineRule="exact"/>
        <w:ind w:firstLineChars="200" w:firstLine="640"/>
        <w:rPr>
          <w:rFonts w:ascii="Times New Roman" w:eastAsia="方正黑体_GBK" w:cs="Times New Roman" w:hAnsi="Times New Roman"/>
          <w:b w:val="0"/>
          <w:bCs w:val="0"/>
        </w:rPr>
      </w:pPr>
      <w:bookmarkStart w:id="6" w:name="_Toc142903790"/>
      <w:bookmarkStart w:id="7" w:name="_Toc142904094"/>
      <w:bookmarkStart w:id="8" w:name="_Toc44862949"/>
      <w:r>
        <w:rPr>
          <w:rFonts w:ascii="Times New Roman" w:eastAsia="方正黑体_GBK" w:cs="Times New Roman" w:hAnsi="Times New Roman"/>
          <w:b w:val="0"/>
          <w:bCs w:val="0"/>
        </w:rPr>
        <w:t>一、部门职责</w:t>
      </w:r>
      <w:bookmarkEnd w:id="6"/>
      <w:bookmarkEnd w:id="7"/>
      <w:bookmarkEnd w:id="8"/>
    </w:p>
    <w:p>
      <w:pPr>
        <w:pStyle w:val="66"/>
        <w:autoSpaceDN w:val="0"/>
        <w:spacing w:line="360" w:lineRule="auto"/>
        <w:ind w:firstLineChars="200" w:firstLine="640"/>
        <w:rPr>
          <w:rFonts w:eastAsia="方正黑体_GBK"/>
        </w:rPr>
      </w:pPr>
      <w:bookmarkStart w:id="9" w:name="_Toc142903791"/>
      <w:bookmarkStart w:id="10" w:name="_Toc142904095"/>
      <w:r>
        <w:rPr>
          <w:rFonts w:eastAsia="方正仿宋_GBK"/>
          <w:sz w:val="32"/>
          <w:szCs w:val="32"/>
        </w:rPr>
        <w:t>东乌海关是隶属呼和浩特海关的正处级海关单位，辖区内珠恩嘎达布其口岸位于东乌珠穆沁旗嘎达布其镇中蒙边境1046号界碑处，距驻地300公里，是一个以原油、原煤等矿能产品进口为主，建材、机电产品出口为辅，屠宰用活马、牧草、绒毛、矿石进口为补充的国际性常年开放边境公路口岸。 业务范围辖东乌旗、西乌旗、阿巴嘎旗、乌拉盖管理区、蓝旗、黄旗、白旗、多伦、太仆寺旗和锡林浩特市，负责本关区征税、监管、缉私、出入境检验检疫、统计等工作。</w:t>
      </w:r>
    </w:p>
    <w:p>
      <w:pPr>
        <w:pStyle w:val="2"/>
        <w:snapToGrid w:val="0"/>
        <w:spacing w:before="0" w:after="0" w:line="560" w:lineRule="exact"/>
        <w:ind w:firstLineChars="200" w:firstLine="640"/>
        <w:rPr>
          <w:rFonts w:ascii="Times New Roman" w:eastAsia="方正黑体_GBK" w:cs="Times New Roman" w:hAnsi="Times New Roman"/>
          <w:b w:val="0"/>
          <w:bCs w:val="0"/>
        </w:rPr>
      </w:pPr>
      <w:bookmarkStart w:id="11" w:name="_Toc44862950"/>
      <w:r>
        <w:rPr>
          <w:rFonts w:ascii="Times New Roman" w:eastAsia="方正黑体_GBK" w:cs="Times New Roman" w:hAnsi="Times New Roman"/>
          <w:b w:val="0"/>
          <w:bCs w:val="0"/>
        </w:rPr>
        <w:t>二、机构设置</w:t>
      </w:r>
      <w:bookmarkEnd w:id="9"/>
      <w:bookmarkEnd w:id="10"/>
      <w:bookmarkEnd w:id="11"/>
    </w:p>
    <w:p>
      <w:pPr>
        <w:pStyle w:val="1243"/>
        <w:autoSpaceDN w:val="0"/>
        <w:spacing w:line="560" w:lineRule="exact"/>
        <w:ind w:firstLineChars="200" w:firstLine="640"/>
        <w:rPr>
          <w:rFonts w:eastAsia="方正仿宋_GBK"/>
          <w:sz w:val="32"/>
          <w:szCs w:val="32"/>
        </w:rPr>
      </w:pPr>
      <w:r>
        <w:rPr>
          <w:rFonts w:eastAsia="方正仿宋_GBK"/>
          <w:sz w:val="32"/>
          <w:szCs w:val="32"/>
        </w:rPr>
        <w:t>东乌海关现有6个内设科室，包括：</w:t>
      </w:r>
    </w:p>
    <w:p>
      <w:pPr>
        <w:pStyle w:val="82"/>
        <w:numPr>
          <w:ilvl w:val="0"/>
          <w:numId w:val="0"/>
        </w:numPr>
        <w:snapToGrid w:val="0"/>
        <w:spacing w:line="560" w:lineRule="exact"/>
        <w:ind w:left="0" w:firstLineChars="150" w:firstLine="480"/>
      </w:pPr>
      <w:r>
        <w:rPr>
          <w:rFonts w:eastAsia="方正仿宋_GBK"/>
          <w:sz w:val="32"/>
          <w:szCs w:val="32"/>
        </w:rPr>
        <w:t>纳入东乌海关2025年部门决算编制范围的单位为1个，单位名称为东乌海关。</w:t>
      </w:r>
    </w:p>
    <w:p>
      <w:pPr>
        <w:pStyle w:val="1258"/>
        <w:widowControl/>
        <w:autoSpaceDN w:val="0"/>
        <w:jc w:val="left"/>
        <w:sectPr>
          <w:pgSz w:w="11907" w:h="16840"/>
          <w:pgMar w:top="1440" w:right="1797" w:bottom="1440" w:left="1797" w:header="851" w:footer="992" w:gutter="0"/>
          <w:pgNumType w:start="1"/>
          <w:docGrid w:type="lines" w:linePitch="312" w:charSpace="0"/>
        </w:sectPr>
      </w:pPr>
    </w:p>
    <w:p>
      <w:pPr>
        <w:pStyle w:val="1216"/>
        <w:autoSpaceDN w:val="0"/>
        <w:spacing w:line="560" w:lineRule="exact"/>
        <w:ind w:firstLineChars="200" w:firstLine="640"/>
        <w:rPr>
          <w:rFonts w:eastAsia="方正黑体_GBK"/>
          <w:kern w:val="0"/>
          <w:sz w:val="32"/>
          <w:szCs w:val="32"/>
        </w:rPr>
      </w:pPr>
      <w:bookmarkStart w:id="12" w:name="_Toc142905248"/>
      <w:bookmarkStart w:id="13" w:name="_Toc21085169"/>
      <w:bookmarkStart w:id="14" w:name="_Toc73694371"/>
    </w:p>
    <w:p>
      <w:pPr>
        <w:pStyle w:val="1"/>
        <w:spacing w:line="1200" w:lineRule="exact"/>
        <w:ind w:firstLineChars="600" w:firstLine="5040"/>
        <w:rPr>
          <w:rFonts w:eastAsia="方正小标宋_GBK"/>
          <w:b w:val="0"/>
          <w:bCs w:val="0"/>
          <w:kern w:val="0"/>
          <w:sz w:val="84"/>
          <w:szCs w:val="84"/>
        </w:rPr>
      </w:pPr>
    </w:p>
    <w:p>
      <w:pPr>
        <w:pStyle w:val="1"/>
        <w:spacing w:line="1200" w:lineRule="exact"/>
        <w:ind w:firstLineChars="600" w:firstLine="5040"/>
        <w:rPr>
          <w:rFonts w:eastAsia="方正黑体_GBK"/>
          <w:b w:val="0"/>
          <w:bCs w:val="0"/>
          <w:kern w:val="0"/>
          <w:sz w:val="84"/>
          <w:szCs w:val="84"/>
        </w:rPr>
      </w:pPr>
      <w:bookmarkStart w:id="15" w:name="_Toc44862951"/>
      <w:r>
        <w:rPr>
          <w:rFonts w:eastAsia="方正黑体_GBK"/>
          <w:b w:val="0"/>
          <w:bCs w:val="0"/>
          <w:kern w:val="0"/>
          <w:sz w:val="84"/>
          <w:szCs w:val="84"/>
        </w:rPr>
        <w:t>第二部分</w:t>
      </w:r>
      <w:bookmarkEnd w:id="12"/>
      <w:bookmarkEnd w:id="13"/>
      <w:bookmarkEnd w:id="14"/>
      <w:bookmarkEnd w:id="15"/>
    </w:p>
    <w:p>
      <w:pPr>
        <w:pStyle w:val="1"/>
        <w:spacing w:line="1200" w:lineRule="exact"/>
        <w:ind w:firstLineChars="300" w:firstLine="2520"/>
        <w:rPr>
          <w:rFonts w:eastAsia="方正黑体_GBK"/>
          <w:b w:val="0"/>
          <w:bCs w:val="0"/>
          <w:kern w:val="0"/>
          <w:sz w:val="84"/>
          <w:szCs w:val="84"/>
        </w:rPr>
      </w:pPr>
      <w:bookmarkStart w:id="16" w:name="_Toc44862952"/>
      <w:r>
        <w:rPr>
          <w:rFonts w:eastAsia="方正黑体_GBK"/>
          <w:b w:val="0"/>
          <w:bCs w:val="0"/>
          <w:kern w:val="0"/>
          <w:sz w:val="84"/>
          <w:szCs w:val="84"/>
        </w:rPr>
        <w:t>2025年度部门决算表</w:t>
      </w:r>
      <w:bookmarkEnd w:id="16"/>
    </w:p>
    <w:p>
      <w:pPr>
        <w:pStyle w:val="1173"/>
        <w:widowControl/>
        <w:autoSpaceDN w:val="0"/>
        <w:ind w:firstLineChars="700" w:firstLine="5880"/>
        <w:jc w:val="left"/>
        <w:rPr>
          <w:rFonts w:eastAsia="方正小标宋_GBK"/>
          <w:color w:val="000000"/>
          <w:kern w:val="0"/>
          <w:sz w:val="84"/>
          <w:szCs w:val="84"/>
        </w:rPr>
      </w:pPr>
    </w:p>
    <w:p>
      <w:pPr>
        <w:autoSpaceDN w:val="0"/>
        <w:spacing w:line="560" w:lineRule="exact"/>
        <w:ind w:firstLineChars="200" w:firstLine="640"/>
        <w:rPr>
          <w:rFonts w:eastAsia="方正黑体_GBK"/>
          <w:kern w:val="0"/>
          <w:sz w:val="32"/>
          <w:szCs w:val="32"/>
        </w:rPr>
      </w:pPr>
    </w:p>
    <w:p>
      <w:pPr>
        <w:autoSpaceDN w:val="0"/>
        <w:spacing w:line="560" w:lineRule="exact"/>
        <w:rPr>
          <w:rFonts w:eastAsia="方正黑体_GBK"/>
          <w:kern w:val="0"/>
          <w:sz w:val="32"/>
          <w:szCs w:val="32"/>
        </w:rPr>
      </w:pPr>
    </w:p>
    <w:tbl>
      <w:tblPr>
        <w:jc w:val="left"/>
        <w:tblInd w:w="93" w:type="dxa"/>
        <w:tblW w:w="14083"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4633"/>
        <w:gridCol w:w="704"/>
        <w:gridCol w:w="2014"/>
        <w:gridCol w:w="3652"/>
        <w:gridCol w:w="704"/>
        <w:gridCol w:w="2376"/>
      </w:tblGrid>
      <w:tr>
        <w:trPr>
          <w:trHeight w:val="345"/>
        </w:trPr>
        <w:tc>
          <w:tcPr>
            <w:tcW w:w="14083" w:type="dxa"/>
            <w:gridSpan w:val="6"/>
            <w:tcBorders>
              <w:top w:val="nil"/>
              <w:left w:val="nil"/>
              <w:bottom w:val="nil"/>
              <w:right w:val="nil"/>
            </w:tcBorders>
            <w:shd w:val="clear" w:color="auto" w:fill="auto"/>
            <w:noWrap/>
            <w:vAlign w:val="bottom"/>
          </w:tcPr>
          <w:p>
            <w:pPr>
              <w:widowControl/>
              <w:jc w:val="center"/>
              <w:rPr>
                <w:rFonts w:eastAsia="方正仿宋_GBK"/>
                <w:kern w:val="0"/>
                <w:sz w:val="32"/>
                <w:szCs w:val="32"/>
              </w:rPr>
            </w:pPr>
          </w:p>
          <w:p>
            <w:pPr>
              <w:pStyle w:val="2"/>
              <w:jc w:val="center"/>
              <w:rPr>
                <w:rFonts w:ascii="Times New Roman" w:cs="Times New Roman" w:hAnsi="Times New Roman"/>
                <w:kern w:val="0"/>
              </w:rPr>
            </w:pPr>
            <w:bookmarkStart w:id="17" w:name="_Toc44862953"/>
            <w:r>
              <w:rPr>
                <w:rFonts w:ascii="Times New Roman" w:cs="Times New Roman" w:hAnsi="Times New Roman"/>
                <w:kern w:val="0"/>
              </w:rPr>
              <w:t>收入支出决算总表</w:t>
            </w:r>
            <w:bookmarkEnd w:id="17"/>
          </w:p>
        </w:tc>
      </w:tr>
      <w:tr>
        <w:trPr>
          <w:trHeight w:val="255"/>
        </w:trPr>
        <w:tc>
          <w:tcPr>
            <w:tcW w:w="4633" w:type="dxa"/>
            <w:tcBorders>
              <w:top w:val="nil"/>
              <w:left w:val="nil"/>
              <w:bottom w:val="nil"/>
              <w:right w:val="nil"/>
            </w:tcBorders>
            <w:shd w:val="clear" w:color="auto" w:fill="auto"/>
            <w:noWrap/>
            <w:vAlign w:val="bottom"/>
          </w:tcPr>
          <w:p>
            <w:pPr>
              <w:widowControl/>
              <w:jc w:val="left"/>
              <w:rPr>
                <w:kern w:val="0"/>
                <w:sz w:val="20"/>
                <w:szCs w:val="20"/>
              </w:rPr>
            </w:pPr>
          </w:p>
        </w:tc>
        <w:tc>
          <w:tcPr>
            <w:tcW w:w="704" w:type="dxa"/>
            <w:tcBorders>
              <w:top w:val="nil"/>
              <w:left w:val="nil"/>
              <w:bottom w:val="nil"/>
              <w:right w:val="nil"/>
            </w:tcBorders>
            <w:shd w:val="clear" w:color="auto" w:fill="auto"/>
            <w:noWrap/>
            <w:vAlign w:val="bottom"/>
          </w:tcPr>
          <w:p>
            <w:pPr>
              <w:widowControl/>
              <w:jc w:val="left"/>
              <w:rPr>
                <w:kern w:val="0"/>
                <w:sz w:val="20"/>
                <w:szCs w:val="20"/>
              </w:rPr>
            </w:pPr>
          </w:p>
        </w:tc>
        <w:tc>
          <w:tcPr>
            <w:tcW w:w="2014" w:type="dxa"/>
            <w:tcBorders>
              <w:top w:val="nil"/>
              <w:left w:val="nil"/>
              <w:bottom w:val="nil"/>
              <w:right w:val="nil"/>
            </w:tcBorders>
            <w:shd w:val="clear" w:color="auto" w:fill="auto"/>
            <w:noWrap/>
            <w:vAlign w:val="bottom"/>
          </w:tcPr>
          <w:p>
            <w:pPr>
              <w:widowControl/>
              <w:jc w:val="left"/>
              <w:rPr>
                <w:kern w:val="0"/>
                <w:sz w:val="20"/>
                <w:szCs w:val="20"/>
              </w:rPr>
            </w:pPr>
          </w:p>
        </w:tc>
        <w:tc>
          <w:tcPr>
            <w:tcW w:w="3652" w:type="dxa"/>
            <w:tcBorders>
              <w:top w:val="nil"/>
              <w:left w:val="nil"/>
              <w:bottom w:val="nil"/>
              <w:right w:val="nil"/>
            </w:tcBorders>
            <w:shd w:val="clear" w:color="auto" w:fill="auto"/>
            <w:noWrap/>
            <w:vAlign w:val="bottom"/>
          </w:tcPr>
          <w:p>
            <w:pPr>
              <w:widowControl/>
              <w:jc w:val="left"/>
              <w:rPr>
                <w:kern w:val="0"/>
                <w:sz w:val="20"/>
                <w:szCs w:val="20"/>
              </w:rPr>
            </w:pPr>
          </w:p>
        </w:tc>
        <w:tc>
          <w:tcPr>
            <w:tcW w:w="704" w:type="dxa"/>
            <w:tcBorders>
              <w:top w:val="nil"/>
              <w:left w:val="nil"/>
              <w:bottom w:val="nil"/>
              <w:right w:val="nil"/>
            </w:tcBorders>
            <w:shd w:val="clear" w:color="auto" w:fill="auto"/>
            <w:noWrap/>
            <w:vAlign w:val="bottom"/>
          </w:tcPr>
          <w:p>
            <w:pPr>
              <w:widowControl/>
              <w:jc w:val="left"/>
              <w:rPr>
                <w:kern w:val="0"/>
                <w:sz w:val="20"/>
                <w:szCs w:val="20"/>
              </w:rPr>
            </w:pPr>
          </w:p>
        </w:tc>
        <w:tc>
          <w:tcPr>
            <w:tcW w:w="2376" w:type="dxa"/>
            <w:tcBorders>
              <w:top w:val="nil"/>
              <w:left w:val="nil"/>
              <w:bottom w:val="nil"/>
              <w:right w:val="nil"/>
            </w:tcBorders>
            <w:shd w:val="clear" w:color="auto" w:fill="auto"/>
            <w:noWrap/>
            <w:vAlign w:val="bottom"/>
          </w:tcPr>
          <w:p>
            <w:pPr>
              <w:widowControl/>
              <w:jc w:val="right"/>
              <w:rPr>
                <w:kern w:val="0"/>
                <w:sz w:val="20"/>
                <w:szCs w:val="20"/>
              </w:rPr>
            </w:pPr>
            <w:r>
              <w:rPr>
                <w:kern w:val="0"/>
                <w:sz w:val="20"/>
                <w:szCs w:val="20"/>
              </w:rPr>
              <w:t>公开01表</w:t>
            </w:r>
          </w:p>
        </w:tc>
      </w:tr>
      <w:tr>
        <w:trPr>
          <w:trHeight w:val="255"/>
        </w:trPr>
        <w:tc>
          <w:tcPr>
            <w:tcW w:w="4633" w:type="dxa"/>
            <w:tcBorders>
              <w:top w:val="nil"/>
              <w:left w:val="nil"/>
              <w:bottom w:val="nil"/>
              <w:right w:val="nil"/>
            </w:tcBorders>
            <w:shd w:val="clear" w:color="auto" w:fill="auto"/>
            <w:noWrap/>
            <w:vAlign w:val="bottom"/>
          </w:tcPr>
          <w:p>
            <w:pPr>
              <w:widowControl/>
              <w:jc w:val="left"/>
              <w:rPr>
                <w:kern w:val="0"/>
                <w:sz w:val="20"/>
                <w:szCs w:val="20"/>
              </w:rPr>
            </w:pPr>
            <w:r>
              <w:rPr>
                <w:kern w:val="0"/>
                <w:sz w:val="20"/>
                <w:szCs w:val="20"/>
              </w:rPr>
              <w:t>单位：中华人民共和国东乌海关</w:t>
            </w:r>
          </w:p>
        </w:tc>
        <w:tc>
          <w:tcPr>
            <w:tcW w:w="704" w:type="dxa"/>
            <w:tcBorders>
              <w:top w:val="nil"/>
              <w:left w:val="nil"/>
              <w:bottom w:val="nil"/>
              <w:right w:val="nil"/>
            </w:tcBorders>
            <w:shd w:val="clear" w:color="auto" w:fill="auto"/>
            <w:noWrap/>
            <w:vAlign w:val="bottom"/>
          </w:tcPr>
          <w:p>
            <w:pPr>
              <w:widowControl/>
              <w:jc w:val="left"/>
              <w:rPr>
                <w:kern w:val="0"/>
                <w:sz w:val="20"/>
                <w:szCs w:val="20"/>
              </w:rPr>
            </w:pPr>
          </w:p>
        </w:tc>
        <w:tc>
          <w:tcPr>
            <w:tcW w:w="2014" w:type="dxa"/>
            <w:tcBorders>
              <w:top w:val="nil"/>
              <w:left w:val="nil"/>
              <w:bottom w:val="nil"/>
              <w:right w:val="nil"/>
            </w:tcBorders>
            <w:shd w:val="clear" w:color="auto" w:fill="auto"/>
            <w:noWrap/>
            <w:vAlign w:val="bottom"/>
          </w:tcPr>
          <w:p>
            <w:pPr>
              <w:widowControl/>
              <w:jc w:val="left"/>
              <w:rPr>
                <w:kern w:val="0"/>
                <w:sz w:val="20"/>
                <w:szCs w:val="20"/>
              </w:rPr>
            </w:pPr>
          </w:p>
        </w:tc>
        <w:tc>
          <w:tcPr>
            <w:tcW w:w="3652" w:type="dxa"/>
            <w:tcBorders>
              <w:top w:val="nil"/>
              <w:left w:val="nil"/>
              <w:bottom w:val="nil"/>
              <w:right w:val="nil"/>
            </w:tcBorders>
            <w:shd w:val="clear" w:color="auto" w:fill="auto"/>
            <w:noWrap/>
            <w:vAlign w:val="bottom"/>
          </w:tcPr>
          <w:p>
            <w:pPr>
              <w:widowControl/>
              <w:jc w:val="left"/>
              <w:rPr>
                <w:kern w:val="0"/>
                <w:sz w:val="20"/>
                <w:szCs w:val="20"/>
              </w:rPr>
            </w:pPr>
          </w:p>
        </w:tc>
        <w:tc>
          <w:tcPr>
            <w:tcW w:w="704" w:type="dxa"/>
            <w:tcBorders>
              <w:top w:val="nil"/>
              <w:left w:val="nil"/>
              <w:bottom w:val="nil"/>
              <w:right w:val="nil"/>
            </w:tcBorders>
            <w:shd w:val="clear" w:color="auto" w:fill="auto"/>
            <w:noWrap/>
            <w:vAlign w:val="bottom"/>
          </w:tcPr>
          <w:p>
            <w:pPr>
              <w:widowControl/>
              <w:jc w:val="left"/>
              <w:rPr>
                <w:kern w:val="0"/>
                <w:sz w:val="20"/>
                <w:szCs w:val="20"/>
              </w:rPr>
            </w:pPr>
          </w:p>
        </w:tc>
        <w:tc>
          <w:tcPr>
            <w:tcW w:w="2376" w:type="dxa"/>
            <w:tcBorders>
              <w:top w:val="nil"/>
              <w:left w:val="nil"/>
              <w:bottom w:val="nil"/>
              <w:right w:val="nil"/>
            </w:tcBorders>
            <w:shd w:val="clear" w:color="auto" w:fill="auto"/>
            <w:noWrap/>
            <w:vAlign w:val="bottom"/>
          </w:tcPr>
          <w:p>
            <w:pPr>
              <w:widowControl/>
              <w:jc w:val="right"/>
              <w:rPr>
                <w:kern w:val="0"/>
                <w:sz w:val="20"/>
                <w:szCs w:val="20"/>
              </w:rPr>
            </w:pPr>
            <w:r>
              <w:rPr>
                <w:kern w:val="0"/>
                <w:sz w:val="20"/>
                <w:szCs w:val="20"/>
              </w:rPr>
              <w:t>金额单位：万元</w:t>
            </w:r>
          </w:p>
        </w:tc>
      </w:tr>
      <w:tr>
        <w:trPr>
          <w:trHeight w:val="315"/>
        </w:trPr>
        <w:tc>
          <w:tcPr>
            <w:tcW w:w="7351" w:type="dxa"/>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收入</w:t>
            </w:r>
          </w:p>
        </w:tc>
        <w:tc>
          <w:tcPr>
            <w:tcW w:w="6732" w:type="dxa"/>
            <w:gridSpan w:val="3"/>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支出</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项目</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行次</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金额</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项目</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行次</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金额</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栏次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　</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栏次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　</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一、一般公共预算财政拨款收入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kern w:val="0"/>
                <w:sz w:val="22"/>
                <w:szCs w:val="22"/>
              </w:rPr>
            </w:pPr>
            <w:r>
              <w:rPr>
                <w:kern w:val="0"/>
                <w:sz w:val="22"/>
                <w:szCs w:val="22"/>
              </w:rPr>
              <w:t>1510.04</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一、一般公共服务支出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13</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1315.44</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二、政府性基金预算财政拨款收入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kern w:val="0"/>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二、外交支出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14</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三、国有资本经营预算财政拨款收入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3</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kern w:val="0"/>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三、公共安全支出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15</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四、上级补助收入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4</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kern w:val="0"/>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四、教育支出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16</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五、事业收入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5</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五、社会保障和就业支出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17</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113.291</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六、经营收入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6</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六、卫生健康支出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18</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37.06</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七、附属单位上缴收入　</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7</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七、节能环保支出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19</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八、其他收入　</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8</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114.34</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八、住房保障支出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20</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133.79</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b/>
                <w:bCs/>
                <w:kern w:val="0"/>
                <w:sz w:val="22"/>
                <w:szCs w:val="22"/>
              </w:rPr>
            </w:pPr>
            <w:r>
              <w:rPr>
                <w:b/>
                <w:bCs/>
                <w:kern w:val="0"/>
                <w:sz w:val="22"/>
                <w:szCs w:val="22"/>
              </w:rPr>
              <w:t>本年收入合计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9</w:t>
            </w:r>
          </w:p>
        </w:tc>
        <w:tc>
          <w:tcPr>
            <w:tcW w:w="2014" w:type="dxa"/>
            <w:tcBorders>
              <w:top w:val="nil"/>
              <w:left w:val="nil"/>
              <w:bottom w:val="single" w:sz="6" w:space="0" w:color="000000"/>
              <w:right w:val="single" w:sz="6" w:space="0" w:color="000000"/>
            </w:tcBorders>
            <w:shd w:val="clear" w:color="auto" w:fill="auto"/>
            <w:noWrap/>
            <w:vAlign w:val="center"/>
          </w:tcPr>
          <w:p>
            <w:pPr>
              <w:widowControl/>
              <w:wordWrap w:val="0"/>
              <w:jc w:val="right"/>
              <w:rPr>
                <w:sz w:val="22"/>
                <w:szCs w:val="22"/>
              </w:rPr>
            </w:pPr>
            <w:r>
              <w:rPr>
                <w:sz w:val="22"/>
                <w:szCs w:val="22"/>
              </w:rPr>
              <w:t>1624.38</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b/>
                <w:bCs/>
                <w:kern w:val="0"/>
                <w:sz w:val="22"/>
                <w:szCs w:val="22"/>
              </w:rPr>
            </w:pPr>
            <w:r>
              <w:rPr>
                <w:b/>
                <w:bCs/>
                <w:kern w:val="0"/>
                <w:sz w:val="22"/>
                <w:szCs w:val="22"/>
              </w:rPr>
              <w:t>本年支出合计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21</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1599.58</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使用非财政拨款结余</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10</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结余分配</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22</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年初结转和结余</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11</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40.12</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kern w:val="0"/>
                <w:sz w:val="22"/>
                <w:szCs w:val="22"/>
              </w:rPr>
            </w:pPr>
            <w:r>
              <w:rPr>
                <w:kern w:val="0"/>
                <w:sz w:val="22"/>
                <w:szCs w:val="22"/>
              </w:rPr>
              <w:t>年末结转和结余</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23</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64.92</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b/>
                <w:bCs/>
                <w:kern w:val="0"/>
                <w:sz w:val="22"/>
                <w:szCs w:val="22"/>
              </w:rPr>
            </w:pPr>
            <w:r>
              <w:rPr>
                <w:b/>
                <w:bCs/>
                <w:kern w:val="0"/>
                <w:sz w:val="22"/>
                <w:szCs w:val="22"/>
              </w:rPr>
              <w:t>总计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12</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1664.50</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b/>
                <w:bCs/>
                <w:kern w:val="0"/>
                <w:sz w:val="22"/>
                <w:szCs w:val="22"/>
              </w:rPr>
            </w:pPr>
            <w:r>
              <w:rPr>
                <w:b/>
                <w:bCs/>
                <w:kern w:val="0"/>
                <w:sz w:val="22"/>
                <w:szCs w:val="22"/>
              </w:rPr>
              <w:t>总计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24</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sz w:val="22"/>
                <w:szCs w:val="22"/>
              </w:rPr>
            </w:pPr>
            <w:r>
              <w:rPr>
                <w:sz w:val="22"/>
                <w:szCs w:val="22"/>
              </w:rPr>
              <w:t>1664.5</w:t>
            </w:r>
          </w:p>
        </w:tc>
      </w:tr>
      <w:tr>
        <w:trPr>
          <w:trHeight w:val="315"/>
        </w:trPr>
        <w:tc>
          <w:tcPr>
            <w:tcW w:w="14083" w:type="dxa"/>
            <w:gridSpan w:val="6"/>
            <w:tcBorders>
              <w:top w:val="single" w:sz="6" w:space="0" w:color="000000"/>
              <w:left w:val="nil"/>
              <w:bottom w:val="nil"/>
              <w:right w:val="nil"/>
            </w:tcBorders>
            <w:shd w:val="clear" w:color="auto" w:fill="auto"/>
            <w:noWrap/>
            <w:vAlign w:val="center"/>
          </w:tcPr>
          <w:p>
            <w:pPr>
              <w:widowControl/>
              <w:jc w:val="left"/>
              <w:rPr>
                <w:kern w:val="0"/>
                <w:sz w:val="22"/>
                <w:szCs w:val="22"/>
              </w:rPr>
            </w:pPr>
            <w:r>
              <w:rPr>
                <w:kern w:val="0"/>
                <w:sz w:val="22"/>
                <w:szCs w:val="22"/>
              </w:rPr>
              <w:t>注：1.本表反映单位本年度的总收支和年末结转结余情况。</w:t>
            </w:r>
          </w:p>
          <w:p>
            <w:pPr>
              <w:widowControl/>
              <w:ind w:firstLineChars="200" w:firstLine="440"/>
              <w:jc w:val="left"/>
              <w:rPr>
                <w:kern w:val="0"/>
                <w:sz w:val="22"/>
                <w:szCs w:val="22"/>
              </w:rPr>
            </w:pPr>
            <w:r>
              <w:rPr>
                <w:kern w:val="0"/>
                <w:sz w:val="22"/>
                <w:szCs w:val="22"/>
              </w:rPr>
              <w:t>2.本套报表金额单位转换时可能存在尾数误差。</w:t>
            </w:r>
          </w:p>
        </w:tc>
      </w:tr>
    </w:tbl>
    <w:p/>
    <w:p/>
    <w:p/>
    <w:tbl>
      <w:tblPr>
        <w:jc w:val="left"/>
        <w:tblW w:w="5322"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477"/>
        <w:gridCol w:w="347"/>
        <w:gridCol w:w="328"/>
        <w:gridCol w:w="3209"/>
        <w:gridCol w:w="1843"/>
        <w:gridCol w:w="1275"/>
        <w:gridCol w:w="1276"/>
        <w:gridCol w:w="1346"/>
        <w:gridCol w:w="1206"/>
        <w:gridCol w:w="1275"/>
        <w:gridCol w:w="354"/>
        <w:gridCol w:w="1277"/>
        <w:gridCol w:w="354"/>
        <w:gridCol w:w="522"/>
      </w:tblGrid>
      <w:tr>
        <w:trPr>
          <w:trHeight w:val="345"/>
        </w:trPr>
        <w:tc>
          <w:tcPr>
            <w:tcW w:w="15089" w:type="dxa"/>
            <w:gridSpan w:val="14"/>
            <w:tcBorders>
              <w:top w:val="nil"/>
              <w:left w:val="nil"/>
              <w:bottom w:val="nil"/>
              <w:right w:val="nil"/>
            </w:tcBorders>
            <w:shd w:val="clear" w:color="auto" w:fill="auto"/>
            <w:noWrap/>
            <w:vAlign w:val="bottom"/>
          </w:tcPr>
          <w:p>
            <w:pPr>
              <w:pStyle w:val="2"/>
              <w:jc w:val="center"/>
              <w:rPr>
                <w:rFonts w:ascii="Times New Roman" w:cs="Times New Roman" w:hAnsi="Times New Roman"/>
                <w:kern w:val="0"/>
              </w:rPr>
            </w:pPr>
            <w:bookmarkStart w:id="18" w:name="_Toc44862954"/>
            <w:r>
              <w:rPr>
                <w:rFonts w:ascii="Times New Roman" w:cs="Times New Roman" w:hAnsi="Times New Roman"/>
                <w:kern w:val="0"/>
              </w:rPr>
              <w:t>收入决算表</w:t>
            </w:r>
            <w:bookmarkEnd w:id="18"/>
          </w:p>
        </w:tc>
      </w:tr>
      <w:tr>
        <w:trPr>
          <w:trHeight w:val="264"/>
          <w:gridAfter w:val="2"/>
          <w:wAfter w:w="876" w:type="dxa"/>
        </w:trPr>
        <w:tc>
          <w:tcPr>
            <w:tcW w:w="477" w:type="dxa"/>
            <w:tcBorders>
              <w:top w:val="nil"/>
              <w:left w:val="nil"/>
              <w:bottom w:val="nil"/>
              <w:right w:val="nil"/>
            </w:tcBorders>
            <w:shd w:val="clear" w:color="auto" w:fill="auto"/>
            <w:noWrap/>
            <w:vAlign w:val="bottom"/>
          </w:tcPr>
          <w:p>
            <w:pPr>
              <w:widowControl/>
              <w:jc w:val="left"/>
              <w:rPr>
                <w:kern w:val="0"/>
                <w:sz w:val="20"/>
                <w:szCs w:val="20"/>
              </w:rPr>
            </w:pPr>
          </w:p>
        </w:tc>
        <w:tc>
          <w:tcPr>
            <w:tcW w:w="347" w:type="dxa"/>
            <w:tcBorders>
              <w:top w:val="nil"/>
              <w:left w:val="nil"/>
              <w:bottom w:val="nil"/>
              <w:right w:val="nil"/>
            </w:tcBorders>
            <w:shd w:val="clear" w:color="auto" w:fill="auto"/>
            <w:noWrap/>
            <w:vAlign w:val="bottom"/>
          </w:tcPr>
          <w:p>
            <w:pPr>
              <w:widowControl/>
              <w:jc w:val="left"/>
              <w:rPr>
                <w:kern w:val="0"/>
                <w:sz w:val="20"/>
                <w:szCs w:val="20"/>
              </w:rPr>
            </w:pPr>
          </w:p>
        </w:tc>
        <w:tc>
          <w:tcPr>
            <w:tcW w:w="328" w:type="dxa"/>
            <w:tcBorders>
              <w:top w:val="nil"/>
              <w:left w:val="nil"/>
              <w:bottom w:val="nil"/>
              <w:right w:val="nil"/>
            </w:tcBorders>
            <w:shd w:val="clear" w:color="auto" w:fill="auto"/>
            <w:noWrap/>
            <w:vAlign w:val="bottom"/>
          </w:tcPr>
          <w:p>
            <w:pPr>
              <w:widowControl/>
              <w:jc w:val="left"/>
              <w:rPr>
                <w:kern w:val="0"/>
                <w:sz w:val="20"/>
                <w:szCs w:val="20"/>
              </w:rPr>
            </w:pPr>
          </w:p>
        </w:tc>
        <w:tc>
          <w:tcPr>
            <w:tcW w:w="3209" w:type="dxa"/>
            <w:tcBorders>
              <w:top w:val="nil"/>
              <w:left w:val="nil"/>
              <w:bottom w:val="nil"/>
              <w:right w:val="nil"/>
            </w:tcBorders>
            <w:shd w:val="clear" w:color="auto" w:fill="auto"/>
            <w:noWrap/>
            <w:vAlign w:val="bottom"/>
          </w:tcPr>
          <w:p>
            <w:pPr>
              <w:widowControl/>
              <w:jc w:val="left"/>
              <w:rPr>
                <w:kern w:val="0"/>
                <w:sz w:val="20"/>
                <w:szCs w:val="20"/>
              </w:rPr>
            </w:pPr>
          </w:p>
        </w:tc>
        <w:tc>
          <w:tcPr>
            <w:tcW w:w="1843" w:type="dxa"/>
            <w:tcBorders>
              <w:top w:val="nil"/>
              <w:left w:val="nil"/>
              <w:bottom w:val="nil"/>
              <w:right w:val="nil"/>
            </w:tcBorders>
            <w:shd w:val="clear" w:color="auto" w:fill="auto"/>
            <w:noWrap/>
            <w:vAlign w:val="bottom"/>
          </w:tcPr>
          <w:p>
            <w:pPr>
              <w:widowControl/>
              <w:jc w:val="left"/>
              <w:rPr>
                <w:kern w:val="0"/>
                <w:sz w:val="20"/>
                <w:szCs w:val="20"/>
              </w:rPr>
            </w:pPr>
          </w:p>
        </w:tc>
        <w:tc>
          <w:tcPr>
            <w:tcW w:w="1275" w:type="dxa"/>
            <w:tcBorders>
              <w:top w:val="nil"/>
              <w:left w:val="nil"/>
              <w:bottom w:val="nil"/>
              <w:right w:val="nil"/>
            </w:tcBorders>
            <w:shd w:val="clear" w:color="auto" w:fill="auto"/>
            <w:noWrap/>
            <w:vAlign w:val="bottom"/>
          </w:tcPr>
          <w:p>
            <w:pPr>
              <w:widowControl/>
              <w:jc w:val="left"/>
              <w:rPr>
                <w:kern w:val="0"/>
                <w:sz w:val="20"/>
                <w:szCs w:val="20"/>
              </w:rPr>
            </w:pPr>
          </w:p>
        </w:tc>
        <w:tc>
          <w:tcPr>
            <w:tcW w:w="1276" w:type="dxa"/>
            <w:tcBorders>
              <w:top w:val="nil"/>
              <w:left w:val="nil"/>
              <w:bottom w:val="nil"/>
              <w:right w:val="nil"/>
            </w:tcBorders>
            <w:shd w:val="clear" w:color="auto" w:fill="auto"/>
            <w:noWrap/>
            <w:vAlign w:val="bottom"/>
          </w:tcPr>
          <w:p>
            <w:pPr>
              <w:widowControl/>
              <w:jc w:val="left"/>
              <w:rPr>
                <w:kern w:val="0"/>
                <w:sz w:val="20"/>
                <w:szCs w:val="20"/>
              </w:rPr>
            </w:pPr>
          </w:p>
        </w:tc>
        <w:tc>
          <w:tcPr>
            <w:tcW w:w="1346" w:type="dxa"/>
            <w:tcBorders>
              <w:top w:val="nil"/>
              <w:left w:val="nil"/>
              <w:bottom w:val="nil"/>
              <w:right w:val="nil"/>
            </w:tcBorders>
            <w:shd w:val="clear" w:color="auto" w:fill="auto"/>
            <w:noWrap/>
            <w:vAlign w:val="bottom"/>
          </w:tcPr>
          <w:p>
            <w:pPr>
              <w:widowControl/>
              <w:jc w:val="left"/>
              <w:rPr>
                <w:kern w:val="0"/>
                <w:sz w:val="20"/>
                <w:szCs w:val="20"/>
              </w:rPr>
            </w:pPr>
          </w:p>
        </w:tc>
        <w:tc>
          <w:tcPr>
            <w:tcW w:w="1206" w:type="dxa"/>
            <w:tcBorders>
              <w:top w:val="nil"/>
              <w:left w:val="nil"/>
              <w:bottom w:val="nil"/>
              <w:right w:val="nil"/>
            </w:tcBorders>
            <w:shd w:val="clear" w:color="auto" w:fill="auto"/>
            <w:noWrap/>
            <w:vAlign w:val="bottom"/>
          </w:tcPr>
          <w:p>
            <w:pPr>
              <w:widowControl/>
              <w:jc w:val="left"/>
              <w:rPr>
                <w:kern w:val="0"/>
                <w:sz w:val="20"/>
                <w:szCs w:val="20"/>
              </w:rPr>
            </w:pPr>
          </w:p>
        </w:tc>
        <w:tc>
          <w:tcPr>
            <w:tcW w:w="1275" w:type="dxa"/>
            <w:tcBorders>
              <w:top w:val="nil"/>
              <w:left w:val="nil"/>
              <w:bottom w:val="nil"/>
              <w:right w:val="nil"/>
            </w:tcBorders>
            <w:shd w:val="clear" w:color="auto" w:fill="auto"/>
            <w:noWrap/>
            <w:vAlign w:val="bottom"/>
          </w:tcPr>
          <w:p>
            <w:pPr>
              <w:widowControl/>
              <w:jc w:val="left"/>
              <w:rPr>
                <w:kern w:val="0"/>
                <w:sz w:val="20"/>
                <w:szCs w:val="20"/>
              </w:rPr>
            </w:pPr>
          </w:p>
        </w:tc>
        <w:tc>
          <w:tcPr>
            <w:tcW w:w="1631" w:type="dxa"/>
            <w:gridSpan w:val="2"/>
            <w:tcBorders>
              <w:top w:val="nil"/>
              <w:left w:val="nil"/>
              <w:bottom w:val="nil"/>
              <w:right w:val="nil"/>
            </w:tcBorders>
            <w:shd w:val="clear" w:color="auto" w:fill="auto"/>
            <w:noWrap/>
            <w:vAlign w:val="bottom"/>
          </w:tcPr>
          <w:p>
            <w:pPr>
              <w:widowControl/>
              <w:jc w:val="right"/>
              <w:rPr>
                <w:kern w:val="0"/>
                <w:sz w:val="20"/>
                <w:szCs w:val="20"/>
              </w:rPr>
            </w:pPr>
            <w:r>
              <w:rPr>
                <w:kern w:val="0"/>
                <w:sz w:val="20"/>
                <w:szCs w:val="20"/>
              </w:rPr>
              <w:t>公开02表</w:t>
            </w:r>
          </w:p>
        </w:tc>
      </w:tr>
      <w:tr>
        <w:trPr>
          <w:trHeight w:val="264"/>
          <w:gridAfter w:val="1"/>
          <w:wAfter w:w="522" w:type="dxa"/>
        </w:trPr>
        <w:tc>
          <w:tcPr>
            <w:tcW w:w="4361" w:type="dxa"/>
            <w:gridSpan w:val="4"/>
            <w:tcBorders>
              <w:top w:val="nil"/>
              <w:left w:val="nil"/>
              <w:bottom w:val="nil"/>
              <w:right w:val="nil"/>
            </w:tcBorders>
            <w:shd w:val="clear" w:color="auto" w:fill="auto"/>
            <w:noWrap/>
            <w:vAlign w:val="bottom"/>
          </w:tcPr>
          <w:p>
            <w:pPr>
              <w:widowControl/>
              <w:jc w:val="left"/>
              <w:rPr>
                <w:kern w:val="0"/>
                <w:sz w:val="20"/>
                <w:szCs w:val="20"/>
              </w:rPr>
            </w:pPr>
            <w:r>
              <w:rPr>
                <w:kern w:val="0"/>
                <w:sz w:val="20"/>
                <w:szCs w:val="20"/>
              </w:rPr>
              <w:t>部门：中华人民共和国东乌海关</w:t>
            </w:r>
          </w:p>
        </w:tc>
        <w:tc>
          <w:tcPr>
            <w:tcW w:w="1843" w:type="dxa"/>
            <w:tcBorders>
              <w:top w:val="nil"/>
              <w:left w:val="nil"/>
              <w:bottom w:val="nil"/>
              <w:right w:val="nil"/>
            </w:tcBorders>
            <w:shd w:val="clear" w:color="auto" w:fill="auto"/>
            <w:noWrap/>
            <w:vAlign w:val="bottom"/>
          </w:tcPr>
          <w:p>
            <w:pPr>
              <w:widowControl/>
              <w:jc w:val="left"/>
              <w:rPr>
                <w:kern w:val="0"/>
                <w:sz w:val="20"/>
                <w:szCs w:val="20"/>
              </w:rPr>
            </w:pPr>
          </w:p>
        </w:tc>
        <w:tc>
          <w:tcPr>
            <w:tcW w:w="1275" w:type="dxa"/>
            <w:tcBorders>
              <w:top w:val="nil"/>
              <w:left w:val="nil"/>
              <w:bottom w:val="nil"/>
              <w:right w:val="nil"/>
            </w:tcBorders>
            <w:shd w:val="clear" w:color="auto" w:fill="auto"/>
            <w:noWrap/>
            <w:vAlign w:val="bottom"/>
          </w:tcPr>
          <w:p>
            <w:pPr>
              <w:widowControl/>
              <w:jc w:val="left"/>
              <w:rPr>
                <w:kern w:val="0"/>
                <w:sz w:val="20"/>
                <w:szCs w:val="20"/>
              </w:rPr>
            </w:pPr>
          </w:p>
        </w:tc>
        <w:tc>
          <w:tcPr>
            <w:tcW w:w="1276" w:type="dxa"/>
            <w:tcBorders>
              <w:top w:val="nil"/>
              <w:left w:val="nil"/>
              <w:bottom w:val="nil"/>
              <w:right w:val="nil"/>
            </w:tcBorders>
            <w:shd w:val="clear" w:color="auto" w:fill="auto"/>
            <w:noWrap/>
            <w:vAlign w:val="bottom"/>
          </w:tcPr>
          <w:p>
            <w:pPr>
              <w:widowControl/>
              <w:jc w:val="left"/>
              <w:rPr>
                <w:kern w:val="0"/>
                <w:sz w:val="20"/>
                <w:szCs w:val="20"/>
              </w:rPr>
            </w:pPr>
          </w:p>
        </w:tc>
        <w:tc>
          <w:tcPr>
            <w:tcW w:w="1346" w:type="dxa"/>
            <w:tcBorders>
              <w:top w:val="nil"/>
              <w:left w:val="nil"/>
              <w:bottom w:val="nil"/>
              <w:right w:val="nil"/>
            </w:tcBorders>
            <w:shd w:val="clear" w:color="auto" w:fill="auto"/>
            <w:noWrap/>
            <w:vAlign w:val="bottom"/>
          </w:tcPr>
          <w:p>
            <w:pPr>
              <w:widowControl/>
              <w:jc w:val="left"/>
              <w:rPr>
                <w:kern w:val="0"/>
                <w:sz w:val="20"/>
                <w:szCs w:val="20"/>
              </w:rPr>
            </w:pPr>
          </w:p>
        </w:tc>
        <w:tc>
          <w:tcPr>
            <w:tcW w:w="1206" w:type="dxa"/>
            <w:tcBorders>
              <w:top w:val="nil"/>
              <w:left w:val="nil"/>
              <w:bottom w:val="nil"/>
              <w:right w:val="nil"/>
            </w:tcBorders>
            <w:shd w:val="clear" w:color="auto" w:fill="auto"/>
            <w:noWrap/>
            <w:vAlign w:val="bottom"/>
          </w:tcPr>
          <w:p>
            <w:pPr>
              <w:widowControl/>
              <w:jc w:val="left"/>
              <w:rPr>
                <w:kern w:val="0"/>
                <w:sz w:val="20"/>
                <w:szCs w:val="20"/>
              </w:rPr>
            </w:pPr>
          </w:p>
        </w:tc>
        <w:tc>
          <w:tcPr>
            <w:tcW w:w="1275" w:type="dxa"/>
            <w:tcBorders>
              <w:top w:val="nil"/>
              <w:left w:val="nil"/>
              <w:bottom w:val="nil"/>
              <w:right w:val="nil"/>
            </w:tcBorders>
            <w:shd w:val="clear" w:color="auto" w:fill="auto"/>
            <w:noWrap/>
            <w:vAlign w:val="bottom"/>
          </w:tcPr>
          <w:p>
            <w:pPr>
              <w:widowControl/>
              <w:jc w:val="left"/>
              <w:rPr>
                <w:kern w:val="0"/>
                <w:sz w:val="20"/>
                <w:szCs w:val="20"/>
              </w:rPr>
            </w:pPr>
          </w:p>
        </w:tc>
        <w:tc>
          <w:tcPr>
            <w:tcW w:w="1985" w:type="dxa"/>
            <w:gridSpan w:val="3"/>
            <w:tcBorders>
              <w:top w:val="nil"/>
              <w:left w:val="nil"/>
              <w:bottom w:val="nil"/>
              <w:right w:val="nil"/>
            </w:tcBorders>
            <w:shd w:val="clear" w:color="auto" w:fill="auto"/>
            <w:noWrap/>
            <w:vAlign w:val="bottom"/>
          </w:tcPr>
          <w:p>
            <w:pPr>
              <w:widowControl/>
              <w:ind w:right="400"/>
              <w:rPr>
                <w:kern w:val="0"/>
                <w:sz w:val="20"/>
                <w:szCs w:val="20"/>
              </w:rPr>
            </w:pPr>
            <w:r>
              <w:rPr>
                <w:kern w:val="0"/>
                <w:sz w:val="20"/>
                <w:szCs w:val="20"/>
              </w:rPr>
              <w:t>金额单位：万元</w:t>
            </w:r>
          </w:p>
        </w:tc>
      </w:tr>
      <w:tr>
        <w:trPr>
          <w:trHeight w:val="234"/>
          <w:gridAfter w:val="2"/>
          <w:wAfter w:w="876" w:type="dxa"/>
        </w:trPr>
        <w:tc>
          <w:tcPr>
            <w:tcW w:w="436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项目</w:t>
            </w:r>
          </w:p>
        </w:tc>
        <w:tc>
          <w:tcPr>
            <w:tcW w:w="1843"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本年收入合计</w:t>
            </w:r>
          </w:p>
        </w:tc>
        <w:tc>
          <w:tcPr>
            <w:tcW w:w="1275"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财政拨款收入</w:t>
            </w:r>
          </w:p>
        </w:tc>
        <w:tc>
          <w:tcPr>
            <w:tcW w:w="1276"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上级补助收入</w:t>
            </w:r>
          </w:p>
        </w:tc>
        <w:tc>
          <w:tcPr>
            <w:tcW w:w="1346"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事业收入</w:t>
            </w:r>
          </w:p>
        </w:tc>
        <w:tc>
          <w:tcPr>
            <w:tcW w:w="1206"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经营收入</w:t>
            </w:r>
          </w:p>
        </w:tc>
        <w:tc>
          <w:tcPr>
            <w:tcW w:w="1275"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附属单位上缴收入</w:t>
            </w:r>
          </w:p>
        </w:tc>
        <w:tc>
          <w:tcPr>
            <w:tcW w:w="1631"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其他收入</w:t>
            </w:r>
          </w:p>
        </w:tc>
      </w:tr>
      <w:tr>
        <w:trPr>
          <w:trHeight w:val="285"/>
          <w:gridAfter w:val="2"/>
          <w:wAfter w:w="876" w:type="dxa"/>
        </w:trPr>
        <w:tc>
          <w:tcPr>
            <w:tcW w:w="1152" w:type="dxa"/>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功能分类科目编码</w:t>
            </w:r>
          </w:p>
        </w:tc>
        <w:tc>
          <w:tcPr>
            <w:tcW w:w="3209"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科目名称</w:t>
            </w:r>
          </w:p>
        </w:tc>
        <w:tc>
          <w:tcPr>
            <w:tcW w:w="1843"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4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0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6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85"/>
          <w:gridAfter w:val="2"/>
          <w:wAfter w:w="876" w:type="dxa"/>
        </w:trPr>
        <w:tc>
          <w:tcPr>
            <w:tcW w:w="1152" w:type="dxa"/>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3209" w:type="dxa"/>
            <w:vMerge/>
            <w:tcBorders>
              <w:top w:val="nil"/>
              <w:left w:val="nil"/>
              <w:bottom w:val="single" w:sz="4" w:space="0" w:color="000000"/>
              <w:right w:val="single" w:sz="4" w:space="0" w:color="000000"/>
            </w:tcBorders>
            <w:shd w:val="clear" w:color="auto" w:fill="auto"/>
            <w:noWrap/>
            <w:vAlign w:val="center"/>
          </w:tcPr>
          <w:p/>
        </w:tc>
        <w:tc>
          <w:tcPr>
            <w:tcW w:w="1843"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4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0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6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85"/>
          <w:gridAfter w:val="2"/>
          <w:wAfter w:w="876" w:type="dxa"/>
        </w:trPr>
        <w:tc>
          <w:tcPr>
            <w:tcW w:w="1152" w:type="dxa"/>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3209" w:type="dxa"/>
            <w:vMerge/>
            <w:tcBorders>
              <w:top w:val="nil"/>
              <w:left w:val="nil"/>
              <w:bottom w:val="single" w:sz="4" w:space="0" w:color="000000"/>
              <w:right w:val="single" w:sz="4" w:space="0" w:color="000000"/>
            </w:tcBorders>
            <w:shd w:val="clear" w:color="auto" w:fill="auto"/>
            <w:noWrap/>
            <w:vAlign w:val="center"/>
          </w:tcPr>
          <w:p/>
        </w:tc>
        <w:tc>
          <w:tcPr>
            <w:tcW w:w="1843"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4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06" w:type="dxa"/>
            <w:vMerge/>
            <w:tcBorders>
              <w:top w:val="single" w:sz="4" w:space="0" w:color="000000"/>
              <w:left w:val="nil"/>
              <w:bottom w:val="single" w:sz="4" w:space="0" w:color="000000"/>
              <w:right w:val="single" w:sz="4" w:space="0" w:color="000000"/>
            </w:tcBorders>
            <w:shd w:val="clear" w:color="auto" w:fill="auto"/>
            <w:noWrap/>
            <w:vAlign w:val="center"/>
          </w:tcPr>
          <w:p/>
        </w:tc>
        <w:tc>
          <w:tcPr>
            <w:tcW w:w="12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6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34"/>
          <w:gridAfter w:val="2"/>
          <w:wAfter w:w="876" w:type="dxa"/>
        </w:trPr>
        <w:tc>
          <w:tcPr>
            <w:tcW w:w="4361"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栏次</w:t>
            </w:r>
          </w:p>
        </w:tc>
        <w:tc>
          <w:tcPr>
            <w:tcW w:w="1843"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1</w:t>
            </w:r>
          </w:p>
        </w:tc>
        <w:tc>
          <w:tcPr>
            <w:tcW w:w="1275"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2</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3</w:t>
            </w:r>
          </w:p>
        </w:tc>
        <w:tc>
          <w:tcPr>
            <w:tcW w:w="1346"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4</w:t>
            </w:r>
          </w:p>
        </w:tc>
        <w:tc>
          <w:tcPr>
            <w:tcW w:w="1206"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5</w:t>
            </w:r>
          </w:p>
        </w:tc>
        <w:tc>
          <w:tcPr>
            <w:tcW w:w="1275"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6</w:t>
            </w:r>
          </w:p>
        </w:tc>
        <w:tc>
          <w:tcPr>
            <w:tcW w:w="1631" w:type="dxa"/>
            <w:gridSpan w:val="2"/>
            <w:tcBorders>
              <w:top w:val="nil"/>
              <w:left w:val="nil"/>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7</w:t>
            </w:r>
          </w:p>
        </w:tc>
      </w:tr>
      <w:tr>
        <w:trPr>
          <w:trHeight w:val="234"/>
          <w:gridAfter w:val="2"/>
          <w:wAfter w:w="876" w:type="dxa"/>
        </w:trPr>
        <w:tc>
          <w:tcPr>
            <w:tcW w:w="4361"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kern w:val="0"/>
                <w:sz w:val="22"/>
                <w:szCs w:val="22"/>
              </w:rPr>
            </w:pPr>
            <w:r>
              <w:rPr>
                <w:kern w:val="0"/>
                <w:sz w:val="22"/>
                <w:szCs w:val="22"/>
              </w:rPr>
              <w:t>合计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1624.38</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1510.04</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114.34</w:t>
            </w: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kern w:val="0"/>
                <w:sz w:val="22"/>
                <w:szCs w:val="22"/>
              </w:rPr>
            </w:pPr>
            <w:r>
              <w:rPr>
                <w:kern w:val="0"/>
                <w:sz w:val="22"/>
                <w:szCs w:val="22"/>
              </w:rPr>
              <w:t>201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kern w:val="0"/>
                <w:sz w:val="22"/>
              </w:rPr>
              <w:t>一般公共服务支出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1340.24</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1225.9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114.34</w:t>
            </w: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kern w:val="0"/>
                <w:sz w:val="22"/>
              </w:rPr>
              <w:t>20109</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kern w:val="0"/>
                <w:sz w:val="22"/>
              </w:rPr>
              <w:t>海关事务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1340.24</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1225.9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114.34</w:t>
            </w: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行政运行</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1049.62</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935.28</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114.34</w:t>
            </w: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2010902</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一般行政管理事务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2010903</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机关服务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2010905</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缉私办案</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2010907</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kern w:val="0"/>
                <w:sz w:val="22"/>
              </w:rPr>
              <w:t xml:space="preserve">  口岸管理</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2010908</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信息化建设</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2010909</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海关关务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213.92</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213.92</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2010911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海关监管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40</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40</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2010912</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检验检疫</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36.7</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r>
              <w:rPr>
                <w:sz w:val="20"/>
              </w:rPr>
              <w:t>36.7</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2010950</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事业运行</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204</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公共安全支出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20410</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缉私警察</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31"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2041001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行政运行</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0"/>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0"/>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2041006</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信息化建设</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kern w:val="0"/>
                <w:sz w:val="22"/>
              </w:rPr>
              <w:t>2041007</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缉私业务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社会保障和就业支出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113.29</w:t>
            </w:r>
          </w:p>
        </w:tc>
        <w:tc>
          <w:tcPr>
            <w:tcW w:w="1275" w:type="dxa"/>
            <w:tcBorders>
              <w:top w:val="nil"/>
              <w:left w:val="nil"/>
              <w:bottom w:val="single" w:sz="4" w:space="0" w:color="000000"/>
              <w:right w:val="single" w:sz="4" w:space="0" w:color="000000"/>
            </w:tcBorders>
            <w:shd w:val="clear" w:color="auto" w:fill="auto"/>
            <w:noWrap/>
            <w:vAlign w:val="center"/>
          </w:tcPr>
          <w:p>
            <w:pPr>
              <w:pStyle w:val="1266"/>
              <w:jc w:val="right"/>
              <w:rPr>
                <w:sz w:val="22"/>
              </w:rPr>
            </w:pPr>
            <w:r>
              <w:rPr>
                <w:sz w:val="22"/>
              </w:rPr>
              <w:t>113.29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2"/>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人力资源和社会保障管理事务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5" w:type="dxa"/>
            <w:tcBorders>
              <w:top w:val="nil"/>
              <w:left w:val="nil"/>
              <w:bottom w:val="single" w:sz="4" w:space="0" w:color="000000"/>
              <w:right w:val="single" w:sz="4" w:space="0" w:color="000000"/>
            </w:tcBorders>
            <w:shd w:val="clear" w:color="auto" w:fill="auto"/>
            <w:noWrap/>
            <w:vAlign w:val="center"/>
          </w:tcPr>
          <w:p>
            <w:pPr>
              <w:pStyle w:val="1267"/>
              <w:jc w:val="right"/>
              <w:rPr>
                <w:sz w:val="22"/>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2"/>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2080113</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政府特殊津贴</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5" w:type="dxa"/>
            <w:tcBorders>
              <w:top w:val="nil"/>
              <w:left w:val="nil"/>
              <w:bottom w:val="single" w:sz="4" w:space="0" w:color="000000"/>
              <w:right w:val="single" w:sz="4" w:space="0" w:color="000000"/>
            </w:tcBorders>
            <w:shd w:val="clear" w:color="auto" w:fill="auto"/>
            <w:noWrap/>
            <w:vAlign w:val="center"/>
          </w:tcPr>
          <w:p>
            <w:pPr>
              <w:pStyle w:val="1268"/>
              <w:jc w:val="right"/>
              <w:rPr>
                <w:sz w:val="22"/>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2"/>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20805</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行政事业单位养老支出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4"/>
              </w:rPr>
            </w:pPr>
            <w:r>
              <w:rPr>
                <w:sz w:val="24"/>
              </w:rPr>
              <w:t>113.29</w:t>
            </w:r>
          </w:p>
        </w:tc>
        <w:tc>
          <w:tcPr>
            <w:tcW w:w="1275" w:type="dxa"/>
            <w:tcBorders>
              <w:top w:val="nil"/>
              <w:left w:val="nil"/>
              <w:bottom w:val="single" w:sz="4" w:space="0" w:color="000000"/>
              <w:right w:val="single" w:sz="4" w:space="0" w:color="000000"/>
            </w:tcBorders>
            <w:shd w:val="clear" w:color="auto" w:fill="auto"/>
            <w:noWrap/>
            <w:vAlign w:val="center"/>
          </w:tcPr>
          <w:p>
            <w:pPr>
              <w:pStyle w:val="1269"/>
              <w:jc w:val="right"/>
              <w:rPr>
                <w:sz w:val="24"/>
              </w:rPr>
            </w:pPr>
            <w:r>
              <w:rPr>
                <w:sz w:val="24"/>
              </w:rPr>
              <w:t>113.29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2080501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行政单位离退休</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0.26</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0.26</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2080502</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事业单位离退休</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2080505</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机关事业单位基本养老保险缴费支出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75.88</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75.88</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2080506</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机关事业单位职业年金缴费支出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37.15</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37.15</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4"/>
              </w:rPr>
            </w:pPr>
            <w:r>
              <w:rPr>
                <w:sz w:val="24"/>
              </w:rPr>
              <w:t>20899</w:t>
            </w:r>
          </w:p>
        </w:tc>
        <w:tc>
          <w:tcPr>
            <w:tcW w:w="3209" w:type="dxa"/>
            <w:tcBorders>
              <w:top w:val="nil"/>
              <w:left w:val="nil"/>
              <w:bottom w:val="single" w:sz="4" w:space="0" w:color="000000"/>
              <w:right w:val="single" w:sz="4" w:space="0" w:color="000000"/>
            </w:tcBorders>
            <w:shd w:val="clear" w:color="auto" w:fill="auto"/>
            <w:noWrap/>
            <w:vAlign w:val="center"/>
          </w:tcPr>
          <w:p>
            <w:pPr>
              <w:rPr>
                <w:sz w:val="24"/>
              </w:rPr>
            </w:pPr>
            <w:r>
              <w:rPr>
                <w:sz w:val="24"/>
              </w:rPr>
              <w:t>其他社会保障和就业支出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6" w:type="dxa"/>
            <w:tcBorders>
              <w:top w:val="nil"/>
              <w:left w:val="nil"/>
              <w:bottom w:val="single" w:sz="4" w:space="0" w:color="000000"/>
              <w:right w:val="single" w:sz="4" w:space="0" w:color="000000"/>
            </w:tcBorders>
            <w:shd w:val="clear" w:color="auto" w:fill="auto"/>
            <w:noWrap/>
            <w:vAlign w:val="center"/>
          </w:tcPr>
          <w:p>
            <w:pPr>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4"/>
              </w:rPr>
            </w:pPr>
            <w:r>
              <w:rPr>
                <w:sz w:val="24"/>
              </w:rPr>
              <w:t>2089999</w:t>
            </w:r>
          </w:p>
        </w:tc>
        <w:tc>
          <w:tcPr>
            <w:tcW w:w="3209" w:type="dxa"/>
            <w:tcBorders>
              <w:top w:val="nil"/>
              <w:left w:val="nil"/>
              <w:bottom w:val="single" w:sz="4" w:space="0" w:color="000000"/>
              <w:right w:val="single" w:sz="4" w:space="0" w:color="000000"/>
            </w:tcBorders>
            <w:shd w:val="clear" w:color="auto" w:fill="auto"/>
            <w:noWrap/>
            <w:vAlign w:val="center"/>
          </w:tcPr>
          <w:p>
            <w:pPr>
              <w:rPr>
                <w:sz w:val="24"/>
              </w:rPr>
            </w:pPr>
            <w:r>
              <w:rPr>
                <w:sz w:val="24"/>
              </w:rPr>
              <w:t xml:space="preserve"> 其他社会保障和就业支出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6" w:type="dxa"/>
            <w:tcBorders>
              <w:top w:val="nil"/>
              <w:left w:val="nil"/>
              <w:bottom w:val="single" w:sz="4" w:space="0" w:color="000000"/>
              <w:right w:val="single" w:sz="4" w:space="0" w:color="000000"/>
            </w:tcBorders>
            <w:shd w:val="clear" w:color="auto" w:fill="auto"/>
            <w:noWrap/>
            <w:vAlign w:val="center"/>
          </w:tcPr>
          <w:p>
            <w:pPr>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210</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卫生健康支出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37.06</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37.06</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21011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行政事业单位医疗</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37.06</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37.06</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2101101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行政单位医疗</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31.31</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31.31</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2101102</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事业单位医疗</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2101103</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公务员医疗补助</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4.82</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4.82</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2101199</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其他行政事业单位医疗支出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0.93</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0.93</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221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住房保障支出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133.79</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133.79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2"/>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2"/>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2"/>
              </w:rPr>
            </w:pPr>
            <w:r>
              <w:rPr>
                <w:sz w:val="22"/>
              </w:rPr>
              <w:t>22102</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住房改革支出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133.79</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133.79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4"/>
              </w:rPr>
            </w:pPr>
            <w:r>
              <w:t>2210201</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住房公积金</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85.19</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85.19</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rPr>
                <w:sz w:val="22"/>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rPr>
                <w:sz w:val="22"/>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152" w:type="dxa"/>
            <w:gridSpan w:val="3"/>
            <w:tcBorders>
              <w:top w:val="nil"/>
              <w:left w:val="single" w:sz="4" w:space="0" w:color="000000"/>
              <w:bottom w:val="single" w:sz="4" w:space="0" w:color="000000"/>
              <w:right w:val="single" w:sz="4" w:space="0" w:color="000000"/>
            </w:tcBorders>
            <w:shd w:val="clear" w:color="auto" w:fill="auto"/>
            <w:noWrap/>
            <w:vAlign w:val="center"/>
          </w:tcPr>
          <w:p>
            <w:pPr>
              <w:rPr>
                <w:sz w:val="24"/>
              </w:rPr>
            </w:pPr>
            <w:r>
              <w:t>2210203</w:t>
            </w:r>
          </w:p>
        </w:tc>
        <w:tc>
          <w:tcPr>
            <w:tcW w:w="3209" w:type="dxa"/>
            <w:tcBorders>
              <w:top w:val="nil"/>
              <w:left w:val="nil"/>
              <w:bottom w:val="single" w:sz="4" w:space="0" w:color="000000"/>
              <w:right w:val="single" w:sz="4" w:space="0" w:color="000000"/>
            </w:tcBorders>
            <w:shd w:val="clear" w:color="auto" w:fill="auto"/>
            <w:noWrap/>
            <w:vAlign w:val="center"/>
          </w:tcPr>
          <w:p>
            <w:pPr>
              <w:rPr>
                <w:sz w:val="22"/>
              </w:rPr>
            </w:pPr>
            <w:r>
              <w:rPr>
                <w:sz w:val="22"/>
              </w:rPr>
              <w:t xml:space="preserve">   购房补贴</w:t>
            </w:r>
          </w:p>
        </w:tc>
        <w:tc>
          <w:tcPr>
            <w:tcW w:w="1843"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48.6</w:t>
            </w:r>
          </w:p>
        </w:tc>
        <w:tc>
          <w:tcPr>
            <w:tcW w:w="1275" w:type="dxa"/>
            <w:tcBorders>
              <w:top w:val="nil"/>
              <w:left w:val="nil"/>
              <w:bottom w:val="single" w:sz="4" w:space="0" w:color="000000"/>
              <w:right w:val="single" w:sz="4" w:space="0" w:color="000000"/>
            </w:tcBorders>
            <w:shd w:val="clear" w:color="auto" w:fill="auto"/>
            <w:noWrap/>
            <w:vAlign w:val="center"/>
          </w:tcPr>
          <w:p>
            <w:pPr>
              <w:jc w:val="right"/>
              <w:rPr>
                <w:sz w:val="22"/>
              </w:rPr>
            </w:pPr>
            <w:r>
              <w:rPr>
                <w:sz w:val="22"/>
              </w:rPr>
              <w:t>48.6</w:t>
            </w:r>
          </w:p>
        </w:tc>
        <w:tc>
          <w:tcPr>
            <w:tcW w:w="127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34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06"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629" w:type="dxa"/>
            <w:gridSpan w:val="2"/>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277"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234"/>
          <w:gridAfter w:val="2"/>
          <w:wAfter w:w="876" w:type="dxa"/>
        </w:trPr>
        <w:tc>
          <w:tcPr>
            <w:tcW w:w="14213" w:type="dxa"/>
            <w:gridSpan w:val="12"/>
            <w:tcBorders>
              <w:top w:val="nil"/>
              <w:left w:val="nil"/>
              <w:bottom w:val="nil"/>
              <w:right w:val="nil"/>
            </w:tcBorders>
            <w:shd w:val="clear" w:color="auto" w:fill="auto"/>
            <w:noWrap/>
            <w:vAlign w:val="center"/>
          </w:tcPr>
          <w:p>
            <w:pPr>
              <w:widowControl/>
              <w:jc w:val="left"/>
              <w:rPr>
                <w:kern w:val="0"/>
                <w:sz w:val="22"/>
                <w:szCs w:val="22"/>
              </w:rPr>
            </w:pPr>
            <w:r>
              <w:rPr>
                <w:kern w:val="0"/>
                <w:sz w:val="22"/>
                <w:szCs w:val="22"/>
              </w:rPr>
              <w:t>注：本表反映单位本年度取得的各项收入情况。</w:t>
            </w:r>
          </w:p>
        </w:tc>
      </w:tr>
    </w:tbl>
    <w:p>
      <w:r>
        <w:br w:type="page"/>
      </w:r>
    </w:p>
    <w:tbl>
      <w:tblPr>
        <w:jc w:val="left"/>
        <w:tblW w:w="5000"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324"/>
        <w:gridCol w:w="328"/>
        <w:gridCol w:w="334"/>
        <w:gridCol w:w="3790"/>
        <w:gridCol w:w="1632"/>
        <w:gridCol w:w="1800"/>
        <w:gridCol w:w="1800"/>
        <w:gridCol w:w="1260"/>
        <w:gridCol w:w="1079"/>
        <w:gridCol w:w="1829"/>
      </w:tblGrid>
      <w:tr>
        <w:trPr>
          <w:trHeight w:val="345"/>
        </w:trPr>
        <w:tc>
          <w:tcPr>
            <w:tcW w:w="14176" w:type="dxa"/>
            <w:gridSpan w:val="10"/>
            <w:tcBorders>
              <w:top w:val="nil"/>
              <w:left w:val="nil"/>
              <w:bottom w:val="nil"/>
              <w:right w:val="nil"/>
            </w:tcBorders>
            <w:shd w:val="clear" w:color="auto" w:fill="auto"/>
            <w:noWrap/>
            <w:vAlign w:val="center"/>
          </w:tcPr>
          <w:p>
            <w:pPr>
              <w:pStyle w:val="2"/>
              <w:jc w:val="center"/>
              <w:rPr>
                <w:rFonts w:ascii="Times New Roman" w:cs="Times New Roman" w:hAnsi="Times New Roman"/>
                <w:kern w:val="0"/>
              </w:rPr>
            </w:pPr>
            <w:bookmarkStart w:id="19" w:name="_Toc44862955"/>
            <w:r>
              <w:rPr>
                <w:rFonts w:ascii="Times New Roman" w:cs="Times New Roman" w:hAnsi="Times New Roman"/>
                <w:kern w:val="0"/>
              </w:rPr>
              <w:t>支出决算表</w:t>
            </w:r>
            <w:bookmarkEnd w:id="19"/>
          </w:p>
        </w:tc>
      </w:tr>
      <w:tr>
        <w:trPr>
          <w:trHeight w:val="255"/>
        </w:trPr>
        <w:tc>
          <w:tcPr>
            <w:tcW w:w="324" w:type="dxa"/>
            <w:tcBorders>
              <w:top w:val="nil"/>
              <w:left w:val="nil"/>
              <w:bottom w:val="nil"/>
              <w:right w:val="nil"/>
            </w:tcBorders>
            <w:shd w:val="clear" w:color="auto" w:fill="auto"/>
            <w:noWrap/>
            <w:vAlign w:val="center"/>
          </w:tcPr>
          <w:p>
            <w:pPr>
              <w:widowControl/>
              <w:jc w:val="left"/>
              <w:rPr>
                <w:kern w:val="0"/>
                <w:sz w:val="20"/>
                <w:szCs w:val="20"/>
              </w:rPr>
            </w:pPr>
          </w:p>
        </w:tc>
        <w:tc>
          <w:tcPr>
            <w:tcW w:w="328" w:type="dxa"/>
            <w:tcBorders>
              <w:top w:val="nil"/>
              <w:left w:val="nil"/>
              <w:bottom w:val="nil"/>
              <w:right w:val="nil"/>
            </w:tcBorders>
            <w:shd w:val="clear" w:color="auto" w:fill="auto"/>
            <w:noWrap/>
            <w:vAlign w:val="center"/>
          </w:tcPr>
          <w:p>
            <w:pPr>
              <w:widowControl/>
              <w:jc w:val="left"/>
              <w:rPr>
                <w:kern w:val="0"/>
                <w:sz w:val="20"/>
                <w:szCs w:val="20"/>
              </w:rPr>
            </w:pPr>
          </w:p>
        </w:tc>
        <w:tc>
          <w:tcPr>
            <w:tcW w:w="334" w:type="dxa"/>
            <w:tcBorders>
              <w:top w:val="nil"/>
              <w:left w:val="nil"/>
              <w:bottom w:val="nil"/>
              <w:right w:val="nil"/>
            </w:tcBorders>
            <w:shd w:val="clear" w:color="auto" w:fill="auto"/>
            <w:noWrap/>
            <w:vAlign w:val="center"/>
          </w:tcPr>
          <w:p>
            <w:pPr>
              <w:widowControl/>
              <w:jc w:val="left"/>
              <w:rPr>
                <w:kern w:val="0"/>
                <w:sz w:val="20"/>
                <w:szCs w:val="20"/>
              </w:rPr>
            </w:pPr>
          </w:p>
        </w:tc>
        <w:tc>
          <w:tcPr>
            <w:tcW w:w="3790" w:type="dxa"/>
            <w:tcBorders>
              <w:top w:val="nil"/>
              <w:left w:val="nil"/>
              <w:bottom w:val="nil"/>
              <w:right w:val="nil"/>
            </w:tcBorders>
            <w:shd w:val="clear" w:color="auto" w:fill="auto"/>
            <w:noWrap/>
            <w:vAlign w:val="center"/>
          </w:tcPr>
          <w:p>
            <w:pPr>
              <w:widowControl/>
              <w:jc w:val="left"/>
              <w:rPr>
                <w:kern w:val="0"/>
                <w:sz w:val="20"/>
                <w:szCs w:val="20"/>
              </w:rPr>
            </w:pPr>
          </w:p>
        </w:tc>
        <w:tc>
          <w:tcPr>
            <w:tcW w:w="1632" w:type="dxa"/>
            <w:tcBorders>
              <w:top w:val="nil"/>
              <w:left w:val="nil"/>
              <w:bottom w:val="nil"/>
              <w:right w:val="nil"/>
            </w:tcBorders>
            <w:shd w:val="clear" w:color="auto" w:fill="auto"/>
            <w:noWrap/>
            <w:vAlign w:val="center"/>
          </w:tcPr>
          <w:p>
            <w:pPr>
              <w:widowControl/>
              <w:jc w:val="left"/>
              <w:rPr>
                <w:kern w:val="0"/>
                <w:sz w:val="20"/>
                <w:szCs w:val="20"/>
              </w:rPr>
            </w:pPr>
          </w:p>
        </w:tc>
        <w:tc>
          <w:tcPr>
            <w:tcW w:w="1800" w:type="dxa"/>
            <w:tcBorders>
              <w:top w:val="nil"/>
              <w:left w:val="nil"/>
              <w:bottom w:val="nil"/>
              <w:right w:val="nil"/>
            </w:tcBorders>
            <w:shd w:val="clear" w:color="auto" w:fill="auto"/>
            <w:noWrap/>
            <w:vAlign w:val="center"/>
          </w:tcPr>
          <w:p>
            <w:pPr>
              <w:widowControl/>
              <w:jc w:val="left"/>
              <w:rPr>
                <w:kern w:val="0"/>
                <w:sz w:val="20"/>
                <w:szCs w:val="20"/>
              </w:rPr>
            </w:pPr>
          </w:p>
        </w:tc>
        <w:tc>
          <w:tcPr>
            <w:tcW w:w="1800" w:type="dxa"/>
            <w:tcBorders>
              <w:top w:val="nil"/>
              <w:left w:val="nil"/>
              <w:bottom w:val="nil"/>
              <w:right w:val="nil"/>
            </w:tcBorders>
            <w:shd w:val="clear" w:color="auto" w:fill="auto"/>
            <w:noWrap/>
            <w:vAlign w:val="center"/>
          </w:tcPr>
          <w:p>
            <w:pPr>
              <w:widowControl/>
              <w:jc w:val="left"/>
              <w:rPr>
                <w:kern w:val="0"/>
                <w:sz w:val="20"/>
                <w:szCs w:val="20"/>
              </w:rPr>
            </w:pPr>
          </w:p>
        </w:tc>
        <w:tc>
          <w:tcPr>
            <w:tcW w:w="1260" w:type="dxa"/>
            <w:tcBorders>
              <w:top w:val="nil"/>
              <w:left w:val="nil"/>
              <w:bottom w:val="nil"/>
              <w:right w:val="nil"/>
            </w:tcBorders>
            <w:shd w:val="clear" w:color="auto" w:fill="auto"/>
            <w:noWrap/>
            <w:vAlign w:val="center"/>
          </w:tcPr>
          <w:p>
            <w:pPr>
              <w:widowControl/>
              <w:jc w:val="left"/>
              <w:rPr>
                <w:kern w:val="0"/>
                <w:sz w:val="20"/>
                <w:szCs w:val="20"/>
              </w:rPr>
            </w:pPr>
          </w:p>
        </w:tc>
        <w:tc>
          <w:tcPr>
            <w:tcW w:w="1079" w:type="dxa"/>
            <w:tcBorders>
              <w:top w:val="nil"/>
              <w:left w:val="nil"/>
              <w:bottom w:val="nil"/>
              <w:right w:val="nil"/>
            </w:tcBorders>
            <w:shd w:val="clear" w:color="auto" w:fill="auto"/>
            <w:noWrap/>
            <w:vAlign w:val="center"/>
          </w:tcPr>
          <w:p>
            <w:pPr>
              <w:widowControl/>
              <w:jc w:val="left"/>
              <w:rPr>
                <w:kern w:val="0"/>
                <w:sz w:val="20"/>
                <w:szCs w:val="20"/>
              </w:rPr>
            </w:pPr>
          </w:p>
        </w:tc>
        <w:tc>
          <w:tcPr>
            <w:tcW w:w="1829" w:type="dxa"/>
            <w:tcBorders>
              <w:top w:val="nil"/>
              <w:left w:val="nil"/>
              <w:bottom w:val="nil"/>
              <w:right w:val="nil"/>
            </w:tcBorders>
            <w:shd w:val="clear" w:color="auto" w:fill="auto"/>
            <w:noWrap/>
            <w:vAlign w:val="center"/>
          </w:tcPr>
          <w:p>
            <w:pPr>
              <w:widowControl/>
              <w:jc w:val="right"/>
              <w:rPr>
                <w:kern w:val="0"/>
                <w:sz w:val="20"/>
                <w:szCs w:val="20"/>
              </w:rPr>
            </w:pPr>
            <w:r>
              <w:rPr>
                <w:kern w:val="0"/>
                <w:sz w:val="20"/>
                <w:szCs w:val="20"/>
              </w:rPr>
              <w:t>公开03表</w:t>
            </w:r>
          </w:p>
        </w:tc>
      </w:tr>
      <w:tr>
        <w:trPr>
          <w:trHeight w:val="255"/>
        </w:trPr>
        <w:tc>
          <w:tcPr>
            <w:tcW w:w="4776" w:type="dxa"/>
            <w:gridSpan w:val="4"/>
            <w:tcBorders>
              <w:top w:val="nil"/>
              <w:left w:val="nil"/>
              <w:bottom w:val="single" w:sz="6" w:space="0" w:color="000000"/>
              <w:right w:val="nil"/>
            </w:tcBorders>
            <w:shd w:val="clear" w:color="auto" w:fill="auto"/>
            <w:noWrap/>
            <w:vAlign w:val="center"/>
          </w:tcPr>
          <w:p>
            <w:pPr>
              <w:widowControl/>
              <w:jc w:val="left"/>
              <w:rPr>
                <w:kern w:val="0"/>
                <w:sz w:val="20"/>
                <w:szCs w:val="20"/>
              </w:rPr>
            </w:pPr>
            <w:r>
              <w:rPr>
                <w:kern w:val="0"/>
                <w:sz w:val="20"/>
                <w:szCs w:val="20"/>
              </w:rPr>
              <w:t>单位：中华人民共和国东乌海关</w:t>
            </w:r>
          </w:p>
        </w:tc>
        <w:tc>
          <w:tcPr>
            <w:tcW w:w="1632" w:type="dxa"/>
            <w:tcBorders>
              <w:top w:val="nil"/>
              <w:left w:val="nil"/>
              <w:bottom w:val="nil"/>
              <w:right w:val="nil"/>
            </w:tcBorders>
            <w:shd w:val="clear" w:color="auto" w:fill="auto"/>
            <w:noWrap/>
            <w:vAlign w:val="center"/>
          </w:tcPr>
          <w:p>
            <w:pPr>
              <w:widowControl/>
              <w:jc w:val="left"/>
              <w:rPr>
                <w:kern w:val="0"/>
                <w:sz w:val="20"/>
                <w:szCs w:val="20"/>
              </w:rPr>
            </w:pPr>
          </w:p>
        </w:tc>
        <w:tc>
          <w:tcPr>
            <w:tcW w:w="1800" w:type="dxa"/>
            <w:tcBorders>
              <w:top w:val="nil"/>
              <w:left w:val="nil"/>
              <w:bottom w:val="nil"/>
              <w:right w:val="nil"/>
            </w:tcBorders>
            <w:shd w:val="clear" w:color="auto" w:fill="auto"/>
            <w:noWrap/>
            <w:vAlign w:val="center"/>
          </w:tcPr>
          <w:p>
            <w:pPr>
              <w:widowControl/>
              <w:jc w:val="left"/>
              <w:rPr>
                <w:kern w:val="0"/>
                <w:sz w:val="20"/>
                <w:szCs w:val="20"/>
              </w:rPr>
            </w:pPr>
          </w:p>
        </w:tc>
        <w:tc>
          <w:tcPr>
            <w:tcW w:w="1800" w:type="dxa"/>
            <w:tcBorders>
              <w:top w:val="nil"/>
              <w:left w:val="nil"/>
              <w:bottom w:val="nil"/>
              <w:right w:val="nil"/>
            </w:tcBorders>
            <w:shd w:val="clear" w:color="auto" w:fill="auto"/>
            <w:noWrap/>
            <w:vAlign w:val="center"/>
          </w:tcPr>
          <w:p>
            <w:pPr>
              <w:widowControl/>
              <w:jc w:val="left"/>
              <w:rPr>
                <w:kern w:val="0"/>
                <w:sz w:val="20"/>
                <w:szCs w:val="20"/>
              </w:rPr>
            </w:pPr>
          </w:p>
        </w:tc>
        <w:tc>
          <w:tcPr>
            <w:tcW w:w="1260" w:type="dxa"/>
            <w:tcBorders>
              <w:top w:val="nil"/>
              <w:left w:val="nil"/>
              <w:bottom w:val="nil"/>
              <w:right w:val="nil"/>
            </w:tcBorders>
            <w:shd w:val="clear" w:color="auto" w:fill="auto"/>
            <w:noWrap/>
            <w:vAlign w:val="center"/>
          </w:tcPr>
          <w:p>
            <w:pPr>
              <w:widowControl/>
              <w:jc w:val="left"/>
              <w:rPr>
                <w:kern w:val="0"/>
                <w:sz w:val="20"/>
                <w:szCs w:val="20"/>
              </w:rPr>
            </w:pPr>
          </w:p>
        </w:tc>
        <w:tc>
          <w:tcPr>
            <w:tcW w:w="1079" w:type="dxa"/>
            <w:tcBorders>
              <w:top w:val="nil"/>
              <w:left w:val="nil"/>
              <w:bottom w:val="nil"/>
              <w:right w:val="nil"/>
            </w:tcBorders>
            <w:shd w:val="clear" w:color="auto" w:fill="auto"/>
            <w:noWrap/>
            <w:vAlign w:val="center"/>
          </w:tcPr>
          <w:p>
            <w:pPr>
              <w:widowControl/>
              <w:jc w:val="left"/>
              <w:rPr>
                <w:kern w:val="0"/>
                <w:sz w:val="20"/>
                <w:szCs w:val="20"/>
              </w:rPr>
            </w:pPr>
          </w:p>
        </w:tc>
        <w:tc>
          <w:tcPr>
            <w:tcW w:w="1829" w:type="dxa"/>
            <w:tcBorders>
              <w:top w:val="nil"/>
              <w:left w:val="nil"/>
              <w:bottom w:val="nil"/>
              <w:right w:val="nil"/>
            </w:tcBorders>
            <w:shd w:val="clear" w:color="auto" w:fill="auto"/>
            <w:noWrap/>
            <w:vAlign w:val="center"/>
          </w:tcPr>
          <w:p>
            <w:pPr>
              <w:widowControl/>
              <w:jc w:val="right"/>
              <w:rPr>
                <w:kern w:val="0"/>
                <w:sz w:val="20"/>
                <w:szCs w:val="20"/>
              </w:rPr>
            </w:pPr>
            <w:r>
              <w:rPr>
                <w:kern w:val="0"/>
                <w:sz w:val="20"/>
                <w:szCs w:val="20"/>
              </w:rPr>
              <w:t>金额单位：万元</w:t>
            </w:r>
          </w:p>
        </w:tc>
      </w:tr>
      <w:tr>
        <w:trPr>
          <w:trHeight w:val="315"/>
        </w:trPr>
        <w:tc>
          <w:tcPr>
            <w:tcW w:w="4776" w:type="dxa"/>
            <w:gridSpan w:val="4"/>
            <w:tcBorders>
              <w:top w:val="single" w:sz="6" w:space="0" w:color="000000"/>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项目</w:t>
            </w:r>
          </w:p>
        </w:tc>
        <w:tc>
          <w:tcPr>
            <w:tcW w:w="1632" w:type="dxa"/>
            <w:vMerge w:val="restart"/>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本年支出合计</w:t>
            </w:r>
          </w:p>
        </w:tc>
        <w:tc>
          <w:tcPr>
            <w:tcW w:w="1800" w:type="dxa"/>
            <w:vMerge w:val="restart"/>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基本支出</w:t>
            </w:r>
          </w:p>
        </w:tc>
        <w:tc>
          <w:tcPr>
            <w:tcW w:w="1800" w:type="dxa"/>
            <w:vMerge w:val="restart"/>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项目支出</w:t>
            </w:r>
          </w:p>
        </w:tc>
        <w:tc>
          <w:tcPr>
            <w:tcW w:w="1260" w:type="dxa"/>
            <w:vMerge w:val="restart"/>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上缴上级支出</w:t>
            </w:r>
          </w:p>
        </w:tc>
        <w:tc>
          <w:tcPr>
            <w:tcW w:w="1079" w:type="dxa"/>
            <w:vMerge w:val="restart"/>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经营支出</w:t>
            </w:r>
          </w:p>
        </w:tc>
        <w:tc>
          <w:tcPr>
            <w:tcW w:w="1829" w:type="dxa"/>
            <w:vMerge w:val="restart"/>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对附属单位补助支出</w:t>
            </w:r>
          </w:p>
        </w:tc>
      </w:tr>
      <w:tr>
        <w:trPr>
          <w:trHeight w:val="315"/>
        </w:trPr>
        <w:tc>
          <w:tcPr>
            <w:tcW w:w="986" w:type="dxa"/>
            <w:gridSpan w:val="3"/>
            <w:vMerge w:val="restart"/>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功能分类科目编码</w:t>
            </w:r>
          </w:p>
        </w:tc>
        <w:tc>
          <w:tcPr>
            <w:tcW w:w="3790" w:type="dxa"/>
            <w:vMerge w:val="restart"/>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科目名称</w:t>
            </w:r>
          </w:p>
        </w:tc>
        <w:tc>
          <w:tcPr>
            <w:tcW w:w="1632" w:type="dxa"/>
            <w:vMerge/>
            <w:tcBorders>
              <w:top w:val="single" w:sz="6" w:space="0" w:color="000000"/>
              <w:left w:val="nil"/>
              <w:bottom w:val="single" w:sz="6" w:space="0" w:color="000000"/>
              <w:right w:val="single" w:sz="6" w:space="0" w:color="000000"/>
            </w:tcBorders>
            <w:noWrap/>
            <w:vAlign w:val="center"/>
          </w:tcPr>
          <w:p/>
        </w:tc>
        <w:tc>
          <w:tcPr>
            <w:tcW w:w="1800" w:type="dxa"/>
            <w:vMerge/>
            <w:tcBorders>
              <w:top w:val="single" w:sz="6" w:space="0" w:color="000000"/>
              <w:left w:val="nil"/>
              <w:bottom w:val="single" w:sz="6" w:space="0" w:color="000000"/>
              <w:right w:val="single" w:sz="6" w:space="0" w:color="000000"/>
            </w:tcBorders>
            <w:noWrap/>
            <w:vAlign w:val="center"/>
          </w:tcPr>
          <w:p/>
        </w:tc>
        <w:tc>
          <w:tcPr>
            <w:tcW w:w="1800" w:type="dxa"/>
            <w:vMerge/>
            <w:tcBorders>
              <w:top w:val="single" w:sz="6" w:space="0" w:color="000000"/>
              <w:left w:val="nil"/>
              <w:bottom w:val="single" w:sz="6" w:space="0" w:color="000000"/>
              <w:right w:val="single" w:sz="6" w:space="0" w:color="000000"/>
            </w:tcBorders>
            <w:noWrap/>
            <w:vAlign w:val="center"/>
          </w:tcPr>
          <w:p/>
        </w:tc>
        <w:tc>
          <w:tcPr>
            <w:tcW w:w="1260" w:type="dxa"/>
            <w:vMerge/>
            <w:tcBorders>
              <w:top w:val="single" w:sz="6" w:space="0" w:color="000000"/>
              <w:left w:val="nil"/>
              <w:bottom w:val="single" w:sz="6" w:space="0" w:color="000000"/>
              <w:right w:val="single" w:sz="6" w:space="0" w:color="000000"/>
            </w:tcBorders>
            <w:noWrap/>
            <w:vAlign w:val="center"/>
          </w:tcPr>
          <w:p/>
        </w:tc>
        <w:tc>
          <w:tcPr>
            <w:tcW w:w="1079" w:type="dxa"/>
            <w:vMerge/>
            <w:tcBorders>
              <w:top w:val="single" w:sz="6" w:space="0" w:color="000000"/>
              <w:left w:val="nil"/>
              <w:bottom w:val="single" w:sz="6" w:space="0" w:color="000000"/>
              <w:right w:val="single" w:sz="6" w:space="0" w:color="000000"/>
            </w:tcBorders>
            <w:noWrap/>
            <w:vAlign w:val="center"/>
          </w:tcPr>
          <w:p/>
        </w:tc>
        <w:tc>
          <w:tcPr>
            <w:tcW w:w="1829" w:type="dxa"/>
            <w:vMerge/>
            <w:tcBorders>
              <w:top w:val="single" w:sz="6" w:space="0" w:color="000000"/>
              <w:left w:val="nil"/>
              <w:bottom w:val="single" w:sz="6" w:space="0" w:color="000000"/>
              <w:right w:val="single" w:sz="6" w:space="0" w:color="000000"/>
            </w:tcBorders>
            <w:noWrap/>
            <w:vAlign w:val="center"/>
          </w:tcPr>
          <w:p/>
        </w:tc>
      </w:tr>
      <w:tr>
        <w:trPr>
          <w:trHeight w:val="315"/>
        </w:trPr>
        <w:tc>
          <w:tcPr>
            <w:tcW w:w="986" w:type="dxa"/>
            <w:gridSpan w:val="3"/>
            <w:vMerge/>
            <w:tcBorders>
              <w:top w:val="nil"/>
              <w:left w:val="single" w:sz="6" w:space="0" w:color="000000"/>
              <w:bottom w:val="single" w:sz="6" w:space="0" w:color="000000"/>
              <w:right w:val="single" w:sz="6" w:space="0" w:color="000000"/>
            </w:tcBorders>
            <w:noWrap/>
            <w:vAlign w:val="center"/>
          </w:tcPr>
          <w:p/>
        </w:tc>
        <w:tc>
          <w:tcPr>
            <w:tcW w:w="3790" w:type="dxa"/>
            <w:vMerge/>
            <w:tcBorders>
              <w:top w:val="nil"/>
              <w:left w:val="nil"/>
              <w:bottom w:val="single" w:sz="6" w:space="0" w:color="000000"/>
              <w:right w:val="single" w:sz="6" w:space="0" w:color="000000"/>
            </w:tcBorders>
            <w:noWrap/>
            <w:vAlign w:val="center"/>
          </w:tcPr>
          <w:p/>
        </w:tc>
        <w:tc>
          <w:tcPr>
            <w:tcW w:w="1632" w:type="dxa"/>
            <w:vMerge/>
            <w:tcBorders>
              <w:top w:val="single" w:sz="6" w:space="0" w:color="000000"/>
              <w:left w:val="nil"/>
              <w:bottom w:val="single" w:sz="6" w:space="0" w:color="000000"/>
              <w:right w:val="single" w:sz="6" w:space="0" w:color="000000"/>
            </w:tcBorders>
            <w:noWrap/>
            <w:vAlign w:val="center"/>
          </w:tcPr>
          <w:p/>
        </w:tc>
        <w:tc>
          <w:tcPr>
            <w:tcW w:w="1800" w:type="dxa"/>
            <w:vMerge/>
            <w:tcBorders>
              <w:top w:val="single" w:sz="6" w:space="0" w:color="000000"/>
              <w:left w:val="nil"/>
              <w:bottom w:val="single" w:sz="6" w:space="0" w:color="000000"/>
              <w:right w:val="single" w:sz="6" w:space="0" w:color="000000"/>
            </w:tcBorders>
            <w:noWrap/>
            <w:vAlign w:val="center"/>
          </w:tcPr>
          <w:p/>
        </w:tc>
        <w:tc>
          <w:tcPr>
            <w:tcW w:w="1800" w:type="dxa"/>
            <w:vMerge/>
            <w:tcBorders>
              <w:top w:val="single" w:sz="6" w:space="0" w:color="000000"/>
              <w:left w:val="nil"/>
              <w:bottom w:val="single" w:sz="6" w:space="0" w:color="000000"/>
              <w:right w:val="single" w:sz="6" w:space="0" w:color="000000"/>
            </w:tcBorders>
            <w:noWrap/>
            <w:vAlign w:val="center"/>
          </w:tcPr>
          <w:p/>
        </w:tc>
        <w:tc>
          <w:tcPr>
            <w:tcW w:w="1260" w:type="dxa"/>
            <w:vMerge/>
            <w:tcBorders>
              <w:top w:val="single" w:sz="6" w:space="0" w:color="000000"/>
              <w:left w:val="nil"/>
              <w:bottom w:val="single" w:sz="6" w:space="0" w:color="000000"/>
              <w:right w:val="single" w:sz="6" w:space="0" w:color="000000"/>
            </w:tcBorders>
            <w:noWrap/>
            <w:vAlign w:val="center"/>
          </w:tcPr>
          <w:p/>
        </w:tc>
        <w:tc>
          <w:tcPr>
            <w:tcW w:w="1079" w:type="dxa"/>
            <w:vMerge/>
            <w:tcBorders>
              <w:top w:val="single" w:sz="6" w:space="0" w:color="000000"/>
              <w:left w:val="nil"/>
              <w:bottom w:val="single" w:sz="6" w:space="0" w:color="000000"/>
              <w:right w:val="single" w:sz="6" w:space="0" w:color="000000"/>
            </w:tcBorders>
            <w:noWrap/>
            <w:vAlign w:val="center"/>
          </w:tcPr>
          <w:p/>
        </w:tc>
        <w:tc>
          <w:tcPr>
            <w:tcW w:w="1829" w:type="dxa"/>
            <w:vMerge/>
            <w:tcBorders>
              <w:top w:val="single" w:sz="6" w:space="0" w:color="000000"/>
              <w:left w:val="nil"/>
              <w:bottom w:val="single" w:sz="6" w:space="0" w:color="000000"/>
              <w:right w:val="single" w:sz="6" w:space="0" w:color="000000"/>
            </w:tcBorders>
            <w:noWrap/>
            <w:vAlign w:val="center"/>
          </w:tcPr>
          <w:p/>
        </w:tc>
      </w:tr>
      <w:tr>
        <w:trPr>
          <w:trHeight w:val="315"/>
        </w:trPr>
        <w:tc>
          <w:tcPr>
            <w:tcW w:w="986" w:type="dxa"/>
            <w:gridSpan w:val="3"/>
            <w:vMerge/>
            <w:tcBorders>
              <w:top w:val="nil"/>
              <w:left w:val="single" w:sz="6" w:space="0" w:color="000000"/>
              <w:bottom w:val="single" w:sz="6" w:space="0" w:color="000000"/>
              <w:right w:val="single" w:sz="6" w:space="0" w:color="000000"/>
            </w:tcBorders>
            <w:noWrap/>
            <w:vAlign w:val="center"/>
          </w:tcPr>
          <w:p/>
        </w:tc>
        <w:tc>
          <w:tcPr>
            <w:tcW w:w="3790" w:type="dxa"/>
            <w:vMerge/>
            <w:tcBorders>
              <w:top w:val="nil"/>
              <w:left w:val="nil"/>
              <w:bottom w:val="single" w:sz="6" w:space="0" w:color="000000"/>
              <w:right w:val="single" w:sz="6" w:space="0" w:color="000000"/>
            </w:tcBorders>
            <w:noWrap/>
            <w:vAlign w:val="center"/>
          </w:tcPr>
          <w:p/>
        </w:tc>
        <w:tc>
          <w:tcPr>
            <w:tcW w:w="1632" w:type="dxa"/>
            <w:vMerge/>
            <w:tcBorders>
              <w:top w:val="single" w:sz="6" w:space="0" w:color="000000"/>
              <w:left w:val="nil"/>
              <w:bottom w:val="single" w:sz="6" w:space="0" w:color="000000"/>
              <w:right w:val="single" w:sz="6" w:space="0" w:color="000000"/>
            </w:tcBorders>
            <w:noWrap/>
            <w:vAlign w:val="center"/>
          </w:tcPr>
          <w:p/>
        </w:tc>
        <w:tc>
          <w:tcPr>
            <w:tcW w:w="1800" w:type="dxa"/>
            <w:vMerge/>
            <w:tcBorders>
              <w:top w:val="single" w:sz="6" w:space="0" w:color="000000"/>
              <w:left w:val="nil"/>
              <w:bottom w:val="single" w:sz="6" w:space="0" w:color="000000"/>
              <w:right w:val="single" w:sz="6" w:space="0" w:color="000000"/>
            </w:tcBorders>
            <w:noWrap/>
            <w:vAlign w:val="center"/>
          </w:tcPr>
          <w:p/>
        </w:tc>
        <w:tc>
          <w:tcPr>
            <w:tcW w:w="1800" w:type="dxa"/>
            <w:vMerge/>
            <w:tcBorders>
              <w:top w:val="single" w:sz="6" w:space="0" w:color="000000"/>
              <w:left w:val="nil"/>
              <w:bottom w:val="single" w:sz="6" w:space="0" w:color="000000"/>
              <w:right w:val="single" w:sz="6" w:space="0" w:color="000000"/>
            </w:tcBorders>
            <w:noWrap/>
            <w:vAlign w:val="center"/>
          </w:tcPr>
          <w:p/>
        </w:tc>
        <w:tc>
          <w:tcPr>
            <w:tcW w:w="1260" w:type="dxa"/>
            <w:vMerge/>
            <w:tcBorders>
              <w:top w:val="single" w:sz="6" w:space="0" w:color="000000"/>
              <w:left w:val="nil"/>
              <w:bottom w:val="single" w:sz="6" w:space="0" w:color="000000"/>
              <w:right w:val="single" w:sz="6" w:space="0" w:color="000000"/>
            </w:tcBorders>
            <w:noWrap/>
            <w:vAlign w:val="center"/>
          </w:tcPr>
          <w:p/>
        </w:tc>
        <w:tc>
          <w:tcPr>
            <w:tcW w:w="1079" w:type="dxa"/>
            <w:vMerge/>
            <w:tcBorders>
              <w:top w:val="single" w:sz="6" w:space="0" w:color="000000"/>
              <w:left w:val="nil"/>
              <w:bottom w:val="single" w:sz="6" w:space="0" w:color="000000"/>
              <w:right w:val="single" w:sz="6" w:space="0" w:color="000000"/>
            </w:tcBorders>
            <w:noWrap/>
            <w:vAlign w:val="center"/>
          </w:tcPr>
          <w:p/>
        </w:tc>
        <w:tc>
          <w:tcPr>
            <w:tcW w:w="1829" w:type="dxa"/>
            <w:vMerge/>
            <w:tcBorders>
              <w:top w:val="single" w:sz="6" w:space="0" w:color="000000"/>
              <w:left w:val="nil"/>
              <w:bottom w:val="single" w:sz="6" w:space="0" w:color="000000"/>
              <w:right w:val="single" w:sz="6" w:space="0" w:color="000000"/>
            </w:tcBorders>
            <w:noWrap/>
            <w:vAlign w:val="center"/>
          </w:tcPr>
          <w:p/>
        </w:tc>
      </w:tr>
      <w:tr>
        <w:trPr>
          <w:trHeight w:val="315"/>
        </w:trPr>
        <w:tc>
          <w:tcPr>
            <w:tcW w:w="4776" w:type="dxa"/>
            <w:gridSpan w:val="4"/>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栏次</w:t>
            </w:r>
          </w:p>
        </w:tc>
        <w:tc>
          <w:tcPr>
            <w:tcW w:w="1632"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1</w:t>
            </w:r>
          </w:p>
        </w:tc>
        <w:tc>
          <w:tcPr>
            <w:tcW w:w="1800"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2</w:t>
            </w:r>
          </w:p>
        </w:tc>
        <w:tc>
          <w:tcPr>
            <w:tcW w:w="1800"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3</w:t>
            </w:r>
          </w:p>
        </w:tc>
        <w:tc>
          <w:tcPr>
            <w:tcW w:w="1260"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4</w:t>
            </w:r>
          </w:p>
        </w:tc>
        <w:tc>
          <w:tcPr>
            <w:tcW w:w="1079"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5</w:t>
            </w:r>
          </w:p>
        </w:tc>
        <w:tc>
          <w:tcPr>
            <w:tcW w:w="1829" w:type="dxa"/>
            <w:tcBorders>
              <w:top w:val="nil"/>
              <w:left w:val="nil"/>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6</w:t>
            </w:r>
          </w:p>
        </w:tc>
      </w:tr>
      <w:tr>
        <w:trPr>
          <w:trHeight w:val="315"/>
        </w:trPr>
        <w:tc>
          <w:tcPr>
            <w:tcW w:w="4776" w:type="dxa"/>
            <w:gridSpan w:val="4"/>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kern w:val="0"/>
                <w:sz w:val="22"/>
                <w:szCs w:val="22"/>
              </w:rPr>
            </w:pPr>
            <w:r>
              <w:rPr>
                <w:kern w:val="0"/>
                <w:sz w:val="22"/>
                <w:szCs w:val="22"/>
              </w:rPr>
              <w:t>合计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1599.58</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1308.96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290.62</w:t>
            </w: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0"/>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w:t>
            </w:r>
          </w:p>
        </w:tc>
        <w:tc>
          <w:tcPr>
            <w:tcW w:w="3790" w:type="dxa"/>
            <w:tcBorders>
              <w:top w:val="nil"/>
              <w:left w:val="nil"/>
              <w:bottom w:val="single" w:sz="6" w:space="0" w:color="000000"/>
              <w:right w:val="single" w:sz="6" w:space="0" w:color="000000"/>
            </w:tcBorders>
            <w:shd w:val="clear" w:color="auto" w:fill="auto"/>
            <w:noWrap/>
            <w:vAlign w:val="center"/>
          </w:tcPr>
          <w:p>
            <w:pPr>
              <w:rPr>
                <w:snapToGrid w:val="0"/>
                <w:kern w:val="22"/>
                <w:sz w:val="22"/>
              </w:rPr>
            </w:pPr>
            <w:r>
              <w:rPr>
                <w:snapToGrid w:val="0"/>
                <w:kern w:val="0"/>
                <w:sz w:val="22"/>
              </w:rPr>
              <w:t>一般公共服务支出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1315.44</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1024.82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290.62</w:t>
            </w: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海关事务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1315.44</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1024.82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290.62</w:t>
            </w: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行政运行</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1024.82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1024.82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2010902</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一般行政管理事务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2010903</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机关服务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2010905</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缉私办案</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2010907</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口岸管理</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2010908</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信息化建设</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2010909</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海关关务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213.92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213.92</w:t>
            </w: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2010911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海关监管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40</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40</w:t>
            </w: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2010912</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检验检疫</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36.7</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36.7</w:t>
            </w: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2010950</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事业运行</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204</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公共安全支出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20410</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缉私警察</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2041001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行政运行</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2041006</w:t>
            </w:r>
          </w:p>
        </w:tc>
        <w:tc>
          <w:tcPr>
            <w:tcW w:w="3790" w:type="dxa"/>
            <w:tcBorders>
              <w:top w:val="nil"/>
              <w:left w:val="nil"/>
              <w:bottom w:val="single" w:sz="6" w:space="0" w:color="000000"/>
              <w:right w:val="single" w:sz="6" w:space="0" w:color="000000"/>
            </w:tcBorders>
            <w:shd w:val="clear" w:color="auto" w:fill="auto"/>
            <w:noWrap/>
            <w:vAlign w:val="center"/>
          </w:tcPr>
          <w:p>
            <w:pPr>
              <w:pStyle w:val="444"/>
              <w:rPr>
                <w:sz w:val="22"/>
              </w:rPr>
            </w:pPr>
            <w:r>
              <w:rPr>
                <w:kern w:val="0"/>
                <w:sz w:val="22"/>
              </w:rPr>
              <w:t xml:space="preserve">  信息化建设</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2041007</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缉私业务</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208</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社会保障和就业支出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113.29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113.29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20805</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行政事业单位养老支出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113.29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113.29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2080501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行政单位离退休</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0.26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0.26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2080505</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机关事业单位基本养老保险缴费支出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75.88</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75.88</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2080506</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机关事业单位职业年金缴费支出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37.15</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37.15</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210</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卫生健康支出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37.06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37.06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21011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行政事业单位医疗</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37.06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37.06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2101101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行政单位医疗</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31.31</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31.31</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kern w:val="0"/>
                <w:sz w:val="22"/>
              </w:rPr>
            </w:pPr>
            <w:r>
              <w:rPr>
                <w:kern w:val="0"/>
                <w:sz w:val="22"/>
              </w:rPr>
              <w:t>2101102</w:t>
            </w:r>
          </w:p>
        </w:tc>
        <w:tc>
          <w:tcPr>
            <w:tcW w:w="3790" w:type="dxa"/>
            <w:tcBorders>
              <w:top w:val="nil"/>
              <w:left w:val="nil"/>
              <w:bottom w:val="single" w:sz="6" w:space="0" w:color="000000"/>
              <w:right w:val="single" w:sz="6" w:space="0" w:color="000000"/>
            </w:tcBorders>
            <w:shd w:val="clear" w:color="auto" w:fill="auto"/>
            <w:noWrap/>
            <w:vAlign w:val="center"/>
          </w:tcPr>
          <w:p>
            <w:pPr>
              <w:ind w:firstLineChars="100" w:firstLine="220"/>
              <w:rPr>
                <w:kern w:val="0"/>
                <w:sz w:val="22"/>
              </w:rPr>
            </w:pPr>
            <w:r>
              <w:rPr>
                <w:kern w:val="0"/>
                <w:sz w:val="22"/>
              </w:rPr>
              <w:t>事业单位医疗</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2101103</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公务员医疗补助</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4.82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4.82</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kern w:val="0"/>
                <w:sz w:val="22"/>
              </w:rPr>
            </w:pPr>
            <w:r>
              <w:rPr>
                <w:kern w:val="0"/>
                <w:sz w:val="22"/>
              </w:rPr>
              <w:t>2101199</w:t>
            </w:r>
          </w:p>
        </w:tc>
        <w:tc>
          <w:tcPr>
            <w:tcW w:w="3790" w:type="dxa"/>
            <w:tcBorders>
              <w:top w:val="nil"/>
              <w:left w:val="nil"/>
              <w:bottom w:val="single" w:sz="6" w:space="0" w:color="000000"/>
              <w:right w:val="single" w:sz="6" w:space="0" w:color="000000"/>
            </w:tcBorders>
            <w:shd w:val="clear" w:color="auto" w:fill="auto"/>
            <w:noWrap/>
            <w:vAlign w:val="center"/>
          </w:tcPr>
          <w:p>
            <w:pPr>
              <w:rPr>
                <w:kern w:val="0"/>
                <w:sz w:val="22"/>
              </w:rPr>
            </w:pPr>
            <w:r>
              <w:rPr>
                <w:kern w:val="0"/>
                <w:sz w:val="22"/>
              </w:rPr>
              <w:t>其他行政事业单位医疗支出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0.93</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0.93</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221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住房保障支出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133.79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133.79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22102</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住房改革支出</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133.79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133.79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2210201</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住房公积金</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85.19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85.19</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986" w:type="dxa"/>
            <w:gridSpan w:val="3"/>
            <w:tcBorders>
              <w:top w:val="nil"/>
              <w:left w:val="single" w:sz="6" w:space="0" w:color="000000"/>
              <w:bottom w:val="single" w:sz="6" w:space="0" w:color="000000"/>
              <w:right w:val="single" w:sz="6" w:space="0" w:color="000000"/>
            </w:tcBorders>
            <w:shd w:val="clear" w:color="auto" w:fill="auto"/>
            <w:noWrap/>
            <w:vAlign w:val="center"/>
          </w:tcPr>
          <w:p>
            <w:pPr>
              <w:rPr>
                <w:sz w:val="22"/>
              </w:rPr>
            </w:pPr>
            <w:r>
              <w:rPr>
                <w:kern w:val="0"/>
                <w:sz w:val="22"/>
              </w:rPr>
              <w:t>2210203</w:t>
            </w:r>
          </w:p>
        </w:tc>
        <w:tc>
          <w:tcPr>
            <w:tcW w:w="3790" w:type="dxa"/>
            <w:tcBorders>
              <w:top w:val="nil"/>
              <w:left w:val="nil"/>
              <w:bottom w:val="single" w:sz="6" w:space="0" w:color="000000"/>
              <w:right w:val="single" w:sz="6" w:space="0" w:color="000000"/>
            </w:tcBorders>
            <w:shd w:val="clear" w:color="auto" w:fill="auto"/>
            <w:noWrap/>
            <w:vAlign w:val="center"/>
          </w:tcPr>
          <w:p>
            <w:pPr>
              <w:rPr>
                <w:sz w:val="22"/>
              </w:rPr>
            </w:pPr>
            <w:r>
              <w:rPr>
                <w:kern w:val="0"/>
                <w:sz w:val="22"/>
              </w:rPr>
              <w:t xml:space="preserve">  购房补贴</w:t>
            </w:r>
          </w:p>
        </w:tc>
        <w:tc>
          <w:tcPr>
            <w:tcW w:w="1632"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48.6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0"/>
              </w:rPr>
            </w:pPr>
            <w:r>
              <w:rPr>
                <w:sz w:val="20"/>
              </w:rPr>
              <w:t>48.6</w:t>
            </w:r>
          </w:p>
        </w:tc>
        <w:tc>
          <w:tcPr>
            <w:tcW w:w="180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260"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079" w:type="dxa"/>
            <w:tcBorders>
              <w:top w:val="nil"/>
              <w:left w:val="nil"/>
              <w:bottom w:val="single" w:sz="6" w:space="0" w:color="000000"/>
              <w:right w:val="single" w:sz="6" w:space="0" w:color="000000"/>
            </w:tcBorders>
            <w:shd w:val="clear" w:color="auto" w:fill="auto"/>
            <w:noWrap/>
            <w:vAlign w:val="center"/>
          </w:tcPr>
          <w:p>
            <w:pPr>
              <w:jc w:val="right"/>
              <w:rPr>
                <w:sz w:val="24"/>
              </w:rPr>
            </w:pPr>
          </w:p>
        </w:tc>
        <w:tc>
          <w:tcPr>
            <w:tcW w:w="1829" w:type="dxa"/>
            <w:tcBorders>
              <w:top w:val="nil"/>
              <w:left w:val="nil"/>
              <w:bottom w:val="single" w:sz="6" w:space="0" w:color="000000"/>
              <w:right w:val="single" w:sz="6" w:space="0" w:color="000000"/>
            </w:tcBorders>
            <w:shd w:val="clear" w:color="auto" w:fill="auto"/>
            <w:noWrap/>
            <w:vAlign w:val="center"/>
          </w:tcPr>
          <w:p>
            <w:pPr>
              <w:jc w:val="right"/>
              <w:rPr>
                <w:sz w:val="24"/>
              </w:rPr>
            </w:pPr>
          </w:p>
        </w:tc>
      </w:tr>
      <w:tr>
        <w:trPr>
          <w:trHeight w:val="315"/>
        </w:trPr>
        <w:tc>
          <w:tcPr>
            <w:tcW w:w="14176" w:type="dxa"/>
            <w:gridSpan w:val="10"/>
            <w:tcBorders>
              <w:top w:val="nil"/>
              <w:left w:val="nil"/>
              <w:bottom w:val="nil"/>
              <w:right w:val="nil"/>
            </w:tcBorders>
            <w:shd w:val="clear" w:color="auto" w:fill="auto"/>
            <w:noWrap/>
            <w:vAlign w:val="center"/>
          </w:tcPr>
          <w:p>
            <w:pPr>
              <w:widowControl/>
              <w:jc w:val="left"/>
              <w:rPr>
                <w:kern w:val="0"/>
                <w:sz w:val="22"/>
                <w:szCs w:val="22"/>
              </w:rPr>
            </w:pPr>
          </w:p>
        </w:tc>
      </w:tr>
    </w:tbl>
    <w:p>
      <w:pPr>
        <w:tabs>
          <w:tab w:val="left" w:pos="12759"/>
        </w:tabs>
      </w:pPr>
      <w:r>
        <w:tab/>
      </w:r>
    </w:p>
    <w:p>
      <w:pPr>
        <w:rPr>
          <w:sz w:val="30"/>
        </w:rPr>
      </w:pPr>
    </w:p>
    <w:tbl>
      <w:tblPr>
        <w:jc w:val="left"/>
        <w:tblW w:w="1412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46"/>
        <w:gridCol w:w="540"/>
        <w:gridCol w:w="1259"/>
        <w:gridCol w:w="3420"/>
        <w:gridCol w:w="540"/>
        <w:gridCol w:w="1260"/>
        <w:gridCol w:w="1258"/>
        <w:gridCol w:w="1082"/>
        <w:gridCol w:w="1620"/>
      </w:tblGrid>
      <w:tr>
        <w:trPr>
          <w:trHeight w:val="240"/>
        </w:trPr>
        <w:tc>
          <w:tcPr>
            <w:tcW w:w="14125" w:type="dxa"/>
            <w:gridSpan w:val="9"/>
            <w:tcBorders>
              <w:top w:val="nil"/>
              <w:left w:val="nil"/>
              <w:bottom w:val="nil"/>
              <w:right w:val="nil"/>
            </w:tcBorders>
            <w:noWrap/>
            <w:vAlign w:val="center"/>
          </w:tcPr>
          <w:p>
            <w:pPr>
              <w:pStyle w:val="2"/>
              <w:jc w:val="center"/>
              <w:rPr>
                <w:rFonts w:ascii="Times New Roman" w:cs="Times New Roman" w:hAnsi="Times New Roman"/>
              </w:rPr>
            </w:pPr>
            <w:bookmarkStart w:id="20" w:name="_Toc44862956"/>
            <w:r>
              <w:rPr>
                <w:rFonts w:ascii="Times New Roman" w:cs="Times New Roman" w:hAnsi="Times New Roman"/>
              </w:rPr>
              <w:t>财政拨款收入支出决算总表</w:t>
            </w:r>
            <w:bookmarkEnd w:id="20"/>
          </w:p>
        </w:tc>
      </w:tr>
      <w:tr>
        <w:trPr>
          <w:trHeight w:val="360"/>
        </w:trPr>
        <w:tc>
          <w:tcPr>
            <w:tcW w:w="3146" w:type="dxa"/>
            <w:tcBorders>
              <w:top w:val="nil"/>
              <w:left w:val="nil"/>
              <w:bottom w:val="nil"/>
              <w:right w:val="nil"/>
            </w:tcBorders>
            <w:noWrap/>
            <w:vAlign w:val="center"/>
          </w:tcPr>
          <w:p>
            <w:pPr>
              <w:pStyle w:val="482"/>
              <w:rPr>
                <w:sz w:val="24"/>
              </w:rPr>
            </w:pPr>
          </w:p>
        </w:tc>
        <w:tc>
          <w:tcPr>
            <w:tcW w:w="540" w:type="dxa"/>
            <w:tcBorders>
              <w:top w:val="nil"/>
              <w:left w:val="nil"/>
              <w:bottom w:val="nil"/>
              <w:right w:val="nil"/>
            </w:tcBorders>
            <w:noWrap/>
            <w:vAlign w:val="center"/>
          </w:tcPr>
          <w:p>
            <w:pPr>
              <w:pStyle w:val="481"/>
              <w:rPr>
                <w:sz w:val="24"/>
              </w:rPr>
            </w:pPr>
          </w:p>
        </w:tc>
        <w:tc>
          <w:tcPr>
            <w:tcW w:w="1259" w:type="dxa"/>
            <w:tcBorders>
              <w:top w:val="nil"/>
              <w:left w:val="nil"/>
              <w:bottom w:val="nil"/>
              <w:right w:val="nil"/>
            </w:tcBorders>
            <w:noWrap/>
            <w:vAlign w:val="center"/>
          </w:tcPr>
          <w:p>
            <w:pPr>
              <w:pStyle w:val="480"/>
              <w:rPr>
                <w:sz w:val="24"/>
              </w:rPr>
            </w:pPr>
          </w:p>
        </w:tc>
        <w:tc>
          <w:tcPr>
            <w:tcW w:w="3420" w:type="dxa"/>
            <w:tcBorders>
              <w:top w:val="nil"/>
              <w:left w:val="nil"/>
              <w:bottom w:val="nil"/>
              <w:right w:val="nil"/>
            </w:tcBorders>
            <w:noWrap/>
            <w:vAlign w:val="center"/>
          </w:tcPr>
          <w:p>
            <w:pPr>
              <w:pStyle w:val="479"/>
              <w:rPr>
                <w:sz w:val="24"/>
              </w:rPr>
            </w:pPr>
          </w:p>
        </w:tc>
        <w:tc>
          <w:tcPr>
            <w:tcW w:w="540" w:type="dxa"/>
            <w:tcBorders>
              <w:top w:val="nil"/>
              <w:left w:val="nil"/>
              <w:bottom w:val="nil"/>
              <w:right w:val="nil"/>
            </w:tcBorders>
            <w:noWrap/>
            <w:vAlign w:val="center"/>
          </w:tcPr>
          <w:p>
            <w:pPr>
              <w:pStyle w:val="478"/>
              <w:rPr>
                <w:sz w:val="24"/>
              </w:rPr>
            </w:pPr>
          </w:p>
        </w:tc>
        <w:tc>
          <w:tcPr>
            <w:tcW w:w="1260" w:type="dxa"/>
            <w:tcBorders>
              <w:top w:val="nil"/>
              <w:left w:val="nil"/>
              <w:bottom w:val="nil"/>
              <w:right w:val="nil"/>
            </w:tcBorders>
            <w:noWrap/>
            <w:vAlign w:val="center"/>
          </w:tcPr>
          <w:p>
            <w:pPr>
              <w:pStyle w:val="477"/>
              <w:rPr>
                <w:sz w:val="24"/>
              </w:rPr>
            </w:pPr>
          </w:p>
        </w:tc>
        <w:tc>
          <w:tcPr>
            <w:tcW w:w="1258" w:type="dxa"/>
            <w:tcBorders>
              <w:top w:val="nil"/>
              <w:left w:val="nil"/>
              <w:bottom w:val="nil"/>
              <w:right w:val="nil"/>
            </w:tcBorders>
            <w:noWrap/>
            <w:vAlign w:val="center"/>
          </w:tcPr>
          <w:p>
            <w:pPr>
              <w:pStyle w:val="476"/>
              <w:rPr>
                <w:sz w:val="24"/>
              </w:rPr>
            </w:pPr>
          </w:p>
        </w:tc>
        <w:tc>
          <w:tcPr>
            <w:tcW w:w="1082" w:type="dxa"/>
            <w:tcBorders>
              <w:top w:val="nil"/>
              <w:left w:val="nil"/>
              <w:bottom w:val="nil"/>
              <w:right w:val="nil"/>
            </w:tcBorders>
            <w:noWrap/>
            <w:vAlign w:val="center"/>
          </w:tcPr>
          <w:p>
            <w:pPr>
              <w:pStyle w:val="475"/>
              <w:rPr>
                <w:sz w:val="24"/>
              </w:rPr>
            </w:pPr>
          </w:p>
        </w:tc>
        <w:tc>
          <w:tcPr>
            <w:tcW w:w="1620" w:type="dxa"/>
            <w:tcBorders>
              <w:top w:val="nil"/>
              <w:left w:val="nil"/>
              <w:bottom w:val="nil"/>
              <w:right w:val="nil"/>
            </w:tcBorders>
            <w:noWrap/>
            <w:vAlign w:val="bottom"/>
          </w:tcPr>
          <w:p>
            <w:pPr>
              <w:pStyle w:val="474"/>
              <w:jc w:val="right"/>
              <w:rPr>
                <w:sz w:val="20"/>
              </w:rPr>
            </w:pPr>
            <w:r>
              <w:rPr>
                <w:sz w:val="20"/>
              </w:rPr>
              <w:t>公开04表</w:t>
            </w:r>
          </w:p>
        </w:tc>
      </w:tr>
      <w:tr>
        <w:trPr>
          <w:trHeight w:val="240"/>
        </w:trPr>
        <w:tc>
          <w:tcPr>
            <w:tcW w:w="3146" w:type="dxa"/>
            <w:tcBorders>
              <w:top w:val="nil"/>
              <w:left w:val="nil"/>
              <w:bottom w:val="nil"/>
              <w:right w:val="nil"/>
            </w:tcBorders>
            <w:noWrap/>
            <w:vAlign w:val="bottom"/>
          </w:tcPr>
          <w:p>
            <w:pPr>
              <w:pStyle w:val="473"/>
              <w:rPr>
                <w:sz w:val="20"/>
              </w:rPr>
            </w:pPr>
            <w:r>
              <w:rPr>
                <w:sz w:val="20"/>
              </w:rPr>
              <w:t>单位：中华人民共和国东乌海关</w:t>
            </w:r>
          </w:p>
        </w:tc>
        <w:tc>
          <w:tcPr>
            <w:tcW w:w="540" w:type="dxa"/>
            <w:tcBorders>
              <w:top w:val="nil"/>
              <w:left w:val="nil"/>
              <w:bottom w:val="nil"/>
              <w:right w:val="nil"/>
            </w:tcBorders>
            <w:noWrap/>
            <w:vAlign w:val="center"/>
          </w:tcPr>
          <w:p>
            <w:pPr>
              <w:pStyle w:val="472"/>
              <w:rPr>
                <w:sz w:val="24"/>
              </w:rPr>
            </w:pPr>
          </w:p>
        </w:tc>
        <w:tc>
          <w:tcPr>
            <w:tcW w:w="1259" w:type="dxa"/>
            <w:tcBorders>
              <w:top w:val="nil"/>
              <w:left w:val="nil"/>
              <w:bottom w:val="nil"/>
              <w:right w:val="nil"/>
            </w:tcBorders>
            <w:noWrap/>
            <w:vAlign w:val="center"/>
          </w:tcPr>
          <w:p>
            <w:pPr>
              <w:pStyle w:val="471"/>
              <w:rPr>
                <w:sz w:val="24"/>
              </w:rPr>
            </w:pPr>
          </w:p>
        </w:tc>
        <w:tc>
          <w:tcPr>
            <w:tcW w:w="3420" w:type="dxa"/>
            <w:tcBorders>
              <w:top w:val="nil"/>
              <w:left w:val="nil"/>
              <w:bottom w:val="nil"/>
              <w:right w:val="nil"/>
            </w:tcBorders>
            <w:noWrap/>
            <w:vAlign w:val="center"/>
          </w:tcPr>
          <w:p>
            <w:pPr>
              <w:pStyle w:val="470"/>
              <w:rPr>
                <w:sz w:val="24"/>
              </w:rPr>
            </w:pPr>
          </w:p>
        </w:tc>
        <w:tc>
          <w:tcPr>
            <w:tcW w:w="540" w:type="dxa"/>
            <w:tcBorders>
              <w:top w:val="nil"/>
              <w:left w:val="nil"/>
              <w:bottom w:val="nil"/>
              <w:right w:val="nil"/>
            </w:tcBorders>
            <w:noWrap/>
            <w:vAlign w:val="center"/>
          </w:tcPr>
          <w:p>
            <w:pPr>
              <w:pStyle w:val="469"/>
              <w:rPr>
                <w:sz w:val="24"/>
              </w:rPr>
            </w:pPr>
          </w:p>
        </w:tc>
        <w:tc>
          <w:tcPr>
            <w:tcW w:w="1260" w:type="dxa"/>
            <w:tcBorders>
              <w:top w:val="nil"/>
              <w:left w:val="nil"/>
              <w:bottom w:val="nil"/>
              <w:right w:val="nil"/>
            </w:tcBorders>
            <w:noWrap/>
            <w:vAlign w:val="center"/>
          </w:tcPr>
          <w:p>
            <w:pPr>
              <w:pStyle w:val="468"/>
              <w:rPr>
                <w:sz w:val="24"/>
              </w:rPr>
            </w:pPr>
          </w:p>
        </w:tc>
        <w:tc>
          <w:tcPr>
            <w:tcW w:w="1258" w:type="dxa"/>
            <w:tcBorders>
              <w:top w:val="nil"/>
              <w:left w:val="nil"/>
              <w:bottom w:val="nil"/>
              <w:right w:val="nil"/>
            </w:tcBorders>
            <w:noWrap/>
            <w:vAlign w:val="center"/>
          </w:tcPr>
          <w:p>
            <w:pPr>
              <w:pStyle w:val="467"/>
              <w:rPr>
                <w:sz w:val="24"/>
              </w:rPr>
            </w:pPr>
          </w:p>
        </w:tc>
        <w:tc>
          <w:tcPr>
            <w:tcW w:w="1082" w:type="dxa"/>
            <w:tcBorders>
              <w:top w:val="nil"/>
              <w:left w:val="nil"/>
              <w:bottom w:val="nil"/>
              <w:right w:val="nil"/>
            </w:tcBorders>
            <w:noWrap/>
            <w:vAlign w:val="center"/>
          </w:tcPr>
          <w:p>
            <w:pPr>
              <w:pStyle w:val="466"/>
              <w:rPr>
                <w:sz w:val="24"/>
              </w:rPr>
            </w:pPr>
          </w:p>
        </w:tc>
        <w:tc>
          <w:tcPr>
            <w:tcW w:w="1620" w:type="dxa"/>
            <w:tcBorders>
              <w:top w:val="nil"/>
              <w:left w:val="nil"/>
              <w:bottom w:val="nil"/>
              <w:right w:val="nil"/>
            </w:tcBorders>
            <w:noWrap/>
            <w:vAlign w:val="bottom"/>
          </w:tcPr>
          <w:p>
            <w:pPr>
              <w:pStyle w:val="465"/>
              <w:jc w:val="right"/>
              <w:rPr>
                <w:sz w:val="20"/>
              </w:rPr>
            </w:pPr>
            <w:r>
              <w:rPr>
                <w:sz w:val="20"/>
              </w:rPr>
              <w:t>金额单位：万元</w:t>
            </w:r>
          </w:p>
        </w:tc>
      </w:tr>
      <w:tr>
        <w:trPr>
          <w:trHeight w:val="240"/>
        </w:trPr>
        <w:tc>
          <w:tcPr>
            <w:tcW w:w="4945" w:type="dxa"/>
            <w:gridSpan w:val="3"/>
            <w:tcBorders>
              <w:top w:val="single" w:sz="6" w:space="0" w:color="000000"/>
              <w:left w:val="single" w:sz="6" w:space="0" w:color="000000"/>
              <w:bottom w:val="single" w:sz="4" w:space="0" w:color="000000"/>
              <w:right w:val="single" w:sz="6" w:space="0" w:color="000000"/>
            </w:tcBorders>
            <w:shd w:val="clear" w:color="auto" w:fill="FFFFFF"/>
            <w:noWrap/>
            <w:vAlign w:val="center"/>
          </w:tcPr>
          <w:p>
            <w:pPr>
              <w:pStyle w:val="464"/>
              <w:jc w:val="center"/>
              <w:rPr>
                <w:sz w:val="22"/>
              </w:rPr>
            </w:pPr>
            <w:r>
              <w:rPr>
                <w:sz w:val="22"/>
              </w:rPr>
              <w:t>收     入</w:t>
            </w:r>
          </w:p>
        </w:tc>
        <w:tc>
          <w:tcPr>
            <w:tcW w:w="9180" w:type="dxa"/>
            <w:gridSpan w:val="6"/>
            <w:tcBorders>
              <w:top w:val="single" w:sz="6" w:space="0" w:color="000000"/>
              <w:left w:val="nil"/>
              <w:bottom w:val="single" w:sz="4" w:space="0" w:color="000000"/>
              <w:right w:val="single" w:sz="6" w:space="0" w:color="000000"/>
            </w:tcBorders>
            <w:shd w:val="clear" w:color="auto" w:fill="FFFFFF"/>
            <w:noWrap/>
            <w:vAlign w:val="center"/>
          </w:tcPr>
          <w:p>
            <w:pPr>
              <w:pStyle w:val="463"/>
              <w:jc w:val="center"/>
              <w:rPr>
                <w:sz w:val="22"/>
              </w:rPr>
            </w:pPr>
            <w:r>
              <w:rPr>
                <w:sz w:val="22"/>
              </w:rPr>
              <w:t>支     出</w:t>
            </w:r>
          </w:p>
        </w:tc>
      </w:tr>
      <w:tr>
        <w:trPr>
          <w:trHeight w:val="48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62"/>
              <w:jc w:val="center"/>
              <w:rPr>
                <w:sz w:val="22"/>
              </w:rPr>
            </w:pPr>
            <w:r>
              <w:rPr>
                <w:sz w:val="22"/>
              </w:rPr>
              <w:t>项目</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61"/>
              <w:jc w:val="center"/>
              <w:rPr>
                <w:sz w:val="22"/>
              </w:rPr>
            </w:pPr>
            <w:r>
              <w:rPr>
                <w:sz w:val="22"/>
              </w:rPr>
              <w:t>行次</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60"/>
              <w:jc w:val="center"/>
              <w:rPr>
                <w:sz w:val="22"/>
              </w:rPr>
            </w:pPr>
            <w:r>
              <w:rPr>
                <w:sz w:val="22"/>
              </w:rPr>
              <w:t>金额</w:t>
            </w: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59"/>
              <w:jc w:val="center"/>
              <w:rPr>
                <w:sz w:val="22"/>
              </w:rPr>
            </w:pPr>
            <w:r>
              <w:rPr>
                <w:sz w:val="22"/>
              </w:rPr>
              <w:t>项目</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58"/>
              <w:jc w:val="center"/>
              <w:rPr>
                <w:sz w:val="22"/>
              </w:rPr>
            </w:pPr>
            <w:r>
              <w:rPr>
                <w:sz w:val="22"/>
              </w:rPr>
              <w:t>行次</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457"/>
              <w:jc w:val="center"/>
              <w:rPr>
                <w:sz w:val="22"/>
              </w:rPr>
            </w:pPr>
            <w:r>
              <w:rPr>
                <w:sz w:val="22"/>
              </w:rPr>
              <w:t>合计</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456"/>
              <w:jc w:val="center"/>
              <w:rPr>
                <w:sz w:val="22"/>
              </w:rPr>
            </w:pPr>
            <w:r>
              <w:rPr>
                <w:sz w:val="22"/>
              </w:rPr>
              <w:t>一般公共预算财政拨款</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455"/>
              <w:jc w:val="center"/>
              <w:rPr>
                <w:sz w:val="22"/>
              </w:rPr>
            </w:pPr>
            <w:r>
              <w:rPr>
                <w:sz w:val="22"/>
              </w:rPr>
              <w:t>政府性基金预算财政拨款</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54"/>
              <w:jc w:val="center"/>
              <w:rPr>
                <w:sz w:val="22"/>
              </w:rPr>
            </w:pPr>
            <w:r>
              <w:rPr>
                <w:sz w:val="22"/>
              </w:rPr>
              <w:t>国有资本经营预算财政拨款</w:t>
            </w: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53"/>
              <w:jc w:val="center"/>
              <w:rPr>
                <w:sz w:val="22"/>
              </w:rPr>
            </w:pPr>
            <w:r>
              <w:rPr>
                <w:sz w:val="22"/>
              </w:rPr>
              <w:t>栏次</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52"/>
              <w:jc w:val="center"/>
              <w:rPr>
                <w:sz w:val="22"/>
              </w:rPr>
            </w:pP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51"/>
              <w:jc w:val="center"/>
              <w:rPr>
                <w:sz w:val="22"/>
              </w:rPr>
            </w:pPr>
            <w:r>
              <w:rPr>
                <w:sz w:val="22"/>
              </w:rPr>
              <w:t>1</w:t>
            </w: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50"/>
              <w:jc w:val="center"/>
              <w:rPr>
                <w:sz w:val="22"/>
              </w:rPr>
            </w:pPr>
            <w:r>
              <w:rPr>
                <w:sz w:val="22"/>
              </w:rPr>
              <w:t>栏次</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49"/>
              <w:jc w:val="center"/>
              <w:rPr>
                <w:sz w:val="22"/>
              </w:rPr>
            </w:pP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448"/>
              <w:jc w:val="center"/>
              <w:rPr>
                <w:sz w:val="22"/>
              </w:rPr>
            </w:pPr>
            <w:r>
              <w:rPr>
                <w:sz w:val="22"/>
              </w:rPr>
              <w:t>2</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447"/>
              <w:jc w:val="center"/>
              <w:rPr>
                <w:sz w:val="22"/>
              </w:rPr>
            </w:pPr>
            <w:r>
              <w:rPr>
                <w:sz w:val="22"/>
              </w:rPr>
              <w:t>3</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446"/>
              <w:jc w:val="center"/>
              <w:rPr>
                <w:sz w:val="22"/>
              </w:rPr>
            </w:pPr>
            <w:r>
              <w:rPr>
                <w:sz w:val="22"/>
              </w:rPr>
              <w:t>4</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45"/>
              <w:jc w:val="center"/>
              <w:rPr>
                <w:sz w:val="22"/>
              </w:rPr>
            </w:pPr>
            <w:r>
              <w:rPr>
                <w:sz w:val="22"/>
              </w:rPr>
              <w:t>5</w:t>
            </w:r>
          </w:p>
        </w:tc>
      </w:tr>
      <w:tr>
        <w:trPr>
          <w:trHeight w:val="399"/>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44"/>
              <w:rPr>
                <w:sz w:val="22"/>
              </w:rPr>
            </w:pPr>
            <w:r>
              <w:rPr>
                <w:sz w:val="22"/>
              </w:rPr>
              <w:t>一、一般公共预算财政拨款</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95"/>
              <w:widowControl/>
              <w:jc w:val="center"/>
              <w:rPr>
                <w:kern w:val="0"/>
                <w:sz w:val="22"/>
                <w:szCs w:val="22"/>
              </w:rPr>
            </w:pPr>
            <w:r>
              <w:rPr>
                <w:kern w:val="0"/>
                <w:sz w:val="22"/>
                <w:szCs w:val="22"/>
              </w:rPr>
              <w:t>1</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42"/>
              <w:jc w:val="right"/>
              <w:rPr>
                <w:sz w:val="22"/>
              </w:rPr>
            </w:pPr>
            <w:r>
              <w:rPr>
                <w:sz w:val="22"/>
              </w:rPr>
              <w:t>1510.04</w:t>
            </w: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84"/>
              <w:widowControl/>
              <w:jc w:val="left"/>
              <w:rPr>
                <w:kern w:val="0"/>
                <w:sz w:val="22"/>
                <w:szCs w:val="22"/>
              </w:rPr>
            </w:pPr>
            <w:r>
              <w:rPr>
                <w:kern w:val="0"/>
                <w:sz w:val="22"/>
                <w:szCs w:val="22"/>
              </w:rPr>
              <w:t>一、一般公共服务支出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9"/>
              <w:widowControl/>
              <w:jc w:val="center"/>
              <w:rPr>
                <w:kern w:val="0"/>
                <w:sz w:val="22"/>
                <w:szCs w:val="22"/>
              </w:rPr>
            </w:pPr>
            <w:r>
              <w:rPr>
                <w:kern w:val="0"/>
                <w:sz w:val="22"/>
                <w:szCs w:val="22"/>
              </w:rPr>
              <w:t>16</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1219.22</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1219.22</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36"/>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35"/>
              <w:rPr>
                <w:sz w:val="22"/>
              </w:rPr>
            </w:pPr>
            <w:r>
              <w:rPr>
                <w:sz w:val="22"/>
              </w:rPr>
              <w:t>二、政府性基金预算财政拨款</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96"/>
              <w:widowControl/>
              <w:jc w:val="center"/>
              <w:rPr>
                <w:kern w:val="0"/>
                <w:sz w:val="22"/>
                <w:szCs w:val="22"/>
              </w:rPr>
            </w:pPr>
            <w:r>
              <w:rPr>
                <w:kern w:val="0"/>
                <w:sz w:val="22"/>
                <w:szCs w:val="22"/>
              </w:rPr>
              <w:t>2</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33"/>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85"/>
              <w:widowControl/>
              <w:jc w:val="left"/>
              <w:rPr>
                <w:kern w:val="0"/>
                <w:sz w:val="22"/>
                <w:szCs w:val="22"/>
              </w:rPr>
            </w:pPr>
            <w:r>
              <w:rPr>
                <w:kern w:val="0"/>
                <w:sz w:val="22"/>
                <w:szCs w:val="22"/>
              </w:rPr>
              <w:t>二、外交支出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0"/>
              <w:widowControl/>
              <w:jc w:val="center"/>
              <w:rPr>
                <w:kern w:val="0"/>
                <w:sz w:val="22"/>
                <w:szCs w:val="22"/>
              </w:rPr>
            </w:pPr>
            <w:r>
              <w:rPr>
                <w:kern w:val="0"/>
                <w:sz w:val="22"/>
                <w:szCs w:val="22"/>
              </w:rPr>
              <w:t>17</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430"/>
              <w:jc w:val="right"/>
              <w:rPr>
                <w:sz w:val="22"/>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429"/>
              <w:jc w:val="right"/>
              <w:rPr>
                <w:sz w:val="22"/>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428"/>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27"/>
              <w:jc w:val="left"/>
              <w:rPr>
                <w:sz w:val="22"/>
              </w:rPr>
            </w:pPr>
          </w:p>
        </w:tc>
      </w:tr>
      <w:tr>
        <w:trPr>
          <w:trHeight w:val="163"/>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26"/>
              <w:rPr>
                <w:sz w:val="22"/>
              </w:rPr>
            </w:pPr>
            <w:r>
              <w:rPr>
                <w:sz w:val="22"/>
              </w:rPr>
              <w:t>三、国有资本经营财政拨款</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97"/>
              <w:widowControl/>
              <w:jc w:val="center"/>
              <w:rPr>
                <w:kern w:val="0"/>
                <w:sz w:val="22"/>
                <w:szCs w:val="22"/>
              </w:rPr>
            </w:pPr>
            <w:r>
              <w:rPr>
                <w:kern w:val="0"/>
                <w:sz w:val="22"/>
                <w:szCs w:val="22"/>
              </w:rPr>
              <w:t>3</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24"/>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86"/>
              <w:widowControl/>
              <w:jc w:val="left"/>
              <w:rPr>
                <w:kern w:val="0"/>
                <w:sz w:val="22"/>
                <w:szCs w:val="22"/>
              </w:rPr>
            </w:pPr>
            <w:r>
              <w:rPr>
                <w:kern w:val="0"/>
                <w:sz w:val="22"/>
                <w:szCs w:val="22"/>
              </w:rPr>
              <w:t>三、公共安全支出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1"/>
              <w:widowControl/>
              <w:jc w:val="center"/>
              <w:rPr>
                <w:kern w:val="0"/>
                <w:sz w:val="22"/>
                <w:szCs w:val="22"/>
              </w:rPr>
            </w:pPr>
            <w:r>
              <w:rPr>
                <w:kern w:val="0"/>
                <w:sz w:val="22"/>
                <w:szCs w:val="22"/>
              </w:rPr>
              <w:t>18</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419"/>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18"/>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17"/>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98"/>
              <w:widowControl/>
              <w:jc w:val="center"/>
              <w:rPr>
                <w:kern w:val="0"/>
                <w:sz w:val="22"/>
                <w:szCs w:val="22"/>
              </w:rPr>
            </w:pPr>
            <w:r>
              <w:rPr>
                <w:kern w:val="0"/>
                <w:sz w:val="22"/>
                <w:szCs w:val="22"/>
              </w:rPr>
              <w:t>5</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15"/>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87"/>
              <w:widowControl/>
              <w:jc w:val="left"/>
              <w:rPr>
                <w:kern w:val="0"/>
                <w:sz w:val="22"/>
                <w:szCs w:val="22"/>
              </w:rPr>
            </w:pPr>
            <w:r>
              <w:rPr>
                <w:kern w:val="0"/>
                <w:sz w:val="22"/>
                <w:szCs w:val="22"/>
              </w:rPr>
              <w:t>四、教育支出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2"/>
              <w:widowControl/>
              <w:jc w:val="center"/>
              <w:rPr>
                <w:kern w:val="0"/>
                <w:sz w:val="22"/>
                <w:szCs w:val="22"/>
              </w:rPr>
            </w:pPr>
            <w:r>
              <w:rPr>
                <w:kern w:val="0"/>
                <w:sz w:val="22"/>
                <w:szCs w:val="22"/>
              </w:rPr>
              <w:t>20</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412"/>
              <w:jc w:val="right"/>
              <w:rPr>
                <w:sz w:val="22"/>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411"/>
              <w:jc w:val="right"/>
              <w:rPr>
                <w:sz w:val="22"/>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410"/>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09"/>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408"/>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499"/>
              <w:widowControl/>
              <w:jc w:val="center"/>
              <w:rPr>
                <w:kern w:val="0"/>
                <w:sz w:val="22"/>
                <w:szCs w:val="22"/>
              </w:rPr>
            </w:pPr>
            <w:r>
              <w:rPr>
                <w:kern w:val="0"/>
                <w:sz w:val="22"/>
                <w:szCs w:val="22"/>
              </w:rPr>
              <w:t>6</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406"/>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88"/>
              <w:widowControl/>
              <w:jc w:val="left"/>
              <w:rPr>
                <w:kern w:val="0"/>
                <w:sz w:val="22"/>
                <w:szCs w:val="22"/>
              </w:rPr>
            </w:pPr>
            <w:r>
              <w:rPr>
                <w:kern w:val="0"/>
                <w:sz w:val="22"/>
                <w:szCs w:val="22"/>
              </w:rPr>
              <w:t>五、社会保障和就业支出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3"/>
              <w:widowControl/>
              <w:jc w:val="center"/>
              <w:rPr>
                <w:kern w:val="0"/>
                <w:sz w:val="22"/>
                <w:szCs w:val="22"/>
              </w:rPr>
            </w:pPr>
            <w:r>
              <w:rPr>
                <w:kern w:val="0"/>
                <w:sz w:val="22"/>
                <w:szCs w:val="22"/>
              </w:rPr>
              <w:t>21</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113.29</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113.29</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400"/>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399"/>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0"/>
              <w:widowControl/>
              <w:jc w:val="center"/>
              <w:rPr>
                <w:kern w:val="0"/>
                <w:sz w:val="22"/>
                <w:szCs w:val="22"/>
              </w:rPr>
            </w:pPr>
            <w:r>
              <w:rPr>
                <w:kern w:val="0"/>
                <w:sz w:val="22"/>
                <w:szCs w:val="22"/>
              </w:rPr>
              <w:t>7</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397"/>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89"/>
              <w:widowControl/>
              <w:jc w:val="left"/>
              <w:rPr>
                <w:kern w:val="0"/>
                <w:sz w:val="22"/>
                <w:szCs w:val="22"/>
              </w:rPr>
            </w:pPr>
            <w:r>
              <w:rPr>
                <w:kern w:val="0"/>
                <w:sz w:val="22"/>
                <w:szCs w:val="22"/>
              </w:rPr>
              <w:t>六、卫生健康支出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4"/>
              <w:widowControl/>
              <w:jc w:val="center"/>
              <w:rPr>
                <w:kern w:val="0"/>
                <w:sz w:val="22"/>
                <w:szCs w:val="22"/>
              </w:rPr>
            </w:pPr>
            <w:r>
              <w:rPr>
                <w:kern w:val="0"/>
                <w:sz w:val="22"/>
                <w:szCs w:val="22"/>
              </w:rPr>
              <w:t>22</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37.06</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37.06</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391"/>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390"/>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1"/>
              <w:widowControl/>
              <w:jc w:val="center"/>
              <w:rPr>
                <w:kern w:val="0"/>
                <w:sz w:val="22"/>
                <w:szCs w:val="22"/>
              </w:rPr>
            </w:pPr>
            <w:r>
              <w:rPr>
                <w:kern w:val="0"/>
                <w:sz w:val="22"/>
                <w:szCs w:val="22"/>
              </w:rPr>
              <w:t>8</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388"/>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90"/>
              <w:widowControl/>
              <w:jc w:val="left"/>
              <w:rPr>
                <w:kern w:val="0"/>
                <w:sz w:val="22"/>
                <w:szCs w:val="22"/>
              </w:rPr>
            </w:pPr>
            <w:r>
              <w:rPr>
                <w:kern w:val="0"/>
                <w:sz w:val="22"/>
                <w:szCs w:val="22"/>
              </w:rPr>
              <w:t>七、住房保障支出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5"/>
              <w:widowControl/>
              <w:jc w:val="center"/>
              <w:rPr>
                <w:kern w:val="0"/>
                <w:sz w:val="22"/>
                <w:szCs w:val="22"/>
              </w:rPr>
            </w:pPr>
            <w:r>
              <w:rPr>
                <w:kern w:val="0"/>
                <w:sz w:val="22"/>
                <w:szCs w:val="22"/>
              </w:rPr>
              <w:t>23</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133.79</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133.79</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382"/>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381"/>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2"/>
              <w:widowControl/>
              <w:jc w:val="center"/>
              <w:rPr>
                <w:kern w:val="0"/>
                <w:sz w:val="22"/>
                <w:szCs w:val="22"/>
              </w:rPr>
            </w:pPr>
            <w:r>
              <w:rPr>
                <w:kern w:val="0"/>
                <w:sz w:val="22"/>
                <w:szCs w:val="22"/>
              </w:rPr>
              <w:t>9</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379"/>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491"/>
              <w:widowControl/>
              <w:jc w:val="left"/>
              <w:rPr>
                <w:kern w:val="0"/>
                <w:sz w:val="22"/>
                <w:szCs w:val="22"/>
              </w:rPr>
            </w:pPr>
            <w:r>
              <w:rPr>
                <w:kern w:val="0"/>
                <w:sz w:val="22"/>
                <w:szCs w:val="22"/>
              </w:rPr>
              <w:t>八、国有资本经营预算支出</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6"/>
              <w:widowControl/>
              <w:jc w:val="center"/>
              <w:rPr>
                <w:kern w:val="0"/>
                <w:sz w:val="22"/>
                <w:szCs w:val="22"/>
              </w:rPr>
            </w:pPr>
            <w:r>
              <w:rPr>
                <w:kern w:val="0"/>
                <w:sz w:val="22"/>
                <w:szCs w:val="22"/>
              </w:rPr>
              <w:t>24</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376"/>
              <w:jc w:val="right"/>
              <w:rPr>
                <w:sz w:val="22"/>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375"/>
              <w:jc w:val="right"/>
              <w:rPr>
                <w:sz w:val="22"/>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374"/>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373"/>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210"/>
              <w:jc w:val="center"/>
              <w:rPr>
                <w:b/>
                <w:sz w:val="22"/>
              </w:rPr>
            </w:pPr>
            <w:r>
              <w:rPr>
                <w:b/>
                <w:sz w:val="22"/>
              </w:rPr>
              <w:t>本年收入合计</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3"/>
              <w:widowControl/>
              <w:jc w:val="center"/>
              <w:rPr>
                <w:kern w:val="0"/>
                <w:sz w:val="22"/>
                <w:szCs w:val="22"/>
              </w:rPr>
            </w:pPr>
            <w:r>
              <w:rPr>
                <w:kern w:val="0"/>
                <w:sz w:val="22"/>
                <w:szCs w:val="22"/>
              </w:rPr>
              <w:t>10</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1510.04</w:t>
            </w: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207"/>
              <w:jc w:val="center"/>
              <w:rPr>
                <w:b/>
                <w:sz w:val="22"/>
              </w:rPr>
            </w:pPr>
            <w:r>
              <w:rPr>
                <w:b/>
                <w:sz w:val="22"/>
              </w:rPr>
              <w:t>本年支出合计</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7"/>
              <w:widowControl/>
              <w:jc w:val="center"/>
              <w:rPr>
                <w:kern w:val="0"/>
                <w:sz w:val="22"/>
                <w:szCs w:val="22"/>
              </w:rPr>
            </w:pPr>
            <w:r>
              <w:rPr>
                <w:kern w:val="0"/>
                <w:sz w:val="22"/>
                <w:szCs w:val="22"/>
              </w:rPr>
              <w:t>25</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1503.36</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1503.36</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202"/>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201"/>
              <w:rPr>
                <w:sz w:val="22"/>
              </w:rPr>
            </w:pPr>
            <w:r>
              <w:rPr>
                <w:sz w:val="22"/>
              </w:rPr>
              <w:t>年初财政拨款结转和结余</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4"/>
              <w:widowControl/>
              <w:jc w:val="center"/>
              <w:rPr>
                <w:kern w:val="0"/>
                <w:sz w:val="22"/>
                <w:szCs w:val="22"/>
              </w:rPr>
            </w:pPr>
            <w:r>
              <w:rPr>
                <w:kern w:val="0"/>
                <w:sz w:val="22"/>
                <w:szCs w:val="22"/>
              </w:rPr>
              <w:t>11</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198"/>
              <w:rPr>
                <w:sz w:val="22"/>
              </w:rPr>
            </w:pPr>
            <w:r>
              <w:rPr>
                <w:sz w:val="22"/>
              </w:rPr>
              <w:t>年末财政拨款结转和结余</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8"/>
              <w:widowControl/>
              <w:jc w:val="center"/>
              <w:rPr>
                <w:kern w:val="0"/>
                <w:sz w:val="22"/>
                <w:szCs w:val="22"/>
              </w:rPr>
            </w:pPr>
            <w:r>
              <w:rPr>
                <w:kern w:val="0"/>
                <w:sz w:val="22"/>
                <w:szCs w:val="22"/>
              </w:rPr>
              <w:t>26</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6.68</w:t>
            </w: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r>
              <w:rPr>
                <w:sz w:val="20"/>
              </w:rPr>
              <w:t>6.68</w:t>
            </w: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193"/>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192"/>
              <w:rPr>
                <w:sz w:val="22"/>
              </w:rPr>
            </w:pPr>
            <w:r>
              <w:rPr>
                <w:sz w:val="22"/>
              </w:rPr>
              <w:t xml:space="preserve">  一般公共预算财政拨款</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5"/>
              <w:widowControl/>
              <w:jc w:val="center"/>
              <w:rPr>
                <w:kern w:val="0"/>
                <w:sz w:val="22"/>
                <w:szCs w:val="22"/>
              </w:rPr>
            </w:pPr>
            <w:r>
              <w:rPr>
                <w:kern w:val="0"/>
                <w:sz w:val="22"/>
                <w:szCs w:val="22"/>
              </w:rPr>
              <w:t>12</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jc w:val="right"/>
              <w:rPr>
                <w:sz w:val="20"/>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189"/>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19"/>
              <w:widowControl/>
              <w:jc w:val="center"/>
              <w:rPr>
                <w:kern w:val="0"/>
                <w:sz w:val="22"/>
                <w:szCs w:val="22"/>
              </w:rPr>
            </w:pPr>
            <w:r>
              <w:rPr>
                <w:kern w:val="0"/>
                <w:sz w:val="22"/>
                <w:szCs w:val="22"/>
              </w:rPr>
              <w:t>27</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187"/>
              <w:jc w:val="right"/>
              <w:rPr>
                <w:sz w:val="22"/>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186"/>
              <w:jc w:val="right"/>
              <w:rPr>
                <w:sz w:val="22"/>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185"/>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184"/>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183"/>
              <w:rPr>
                <w:sz w:val="22"/>
              </w:rPr>
            </w:pPr>
            <w:r>
              <w:rPr>
                <w:sz w:val="22"/>
              </w:rPr>
              <w:t xml:space="preserve">  政府性基金预算财政拨款</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6"/>
              <w:widowControl/>
              <w:jc w:val="center"/>
              <w:rPr>
                <w:kern w:val="0"/>
                <w:sz w:val="22"/>
                <w:szCs w:val="22"/>
              </w:rPr>
            </w:pPr>
            <w:r>
              <w:rPr>
                <w:kern w:val="0"/>
                <w:sz w:val="22"/>
                <w:szCs w:val="22"/>
              </w:rPr>
              <w:t>13</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181"/>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180"/>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20"/>
              <w:widowControl/>
              <w:jc w:val="center"/>
              <w:rPr>
                <w:kern w:val="0"/>
                <w:sz w:val="22"/>
                <w:szCs w:val="22"/>
              </w:rPr>
            </w:pPr>
            <w:r>
              <w:rPr>
                <w:kern w:val="0"/>
                <w:sz w:val="22"/>
                <w:szCs w:val="22"/>
              </w:rPr>
              <w:t>28</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178"/>
              <w:jc w:val="right"/>
              <w:rPr>
                <w:sz w:val="22"/>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177"/>
              <w:jc w:val="right"/>
              <w:rPr>
                <w:sz w:val="22"/>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176"/>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175"/>
              <w:jc w:val="left"/>
              <w:rPr>
                <w:sz w:val="22"/>
              </w:rPr>
            </w:pPr>
          </w:p>
        </w:tc>
      </w:tr>
      <w:tr>
        <w:trPr>
          <w:trHeight w:val="240"/>
        </w:trPr>
        <w:tc>
          <w:tcPr>
            <w:tcW w:w="3146" w:type="dxa"/>
            <w:tcBorders>
              <w:top w:val="single" w:sz="4" w:space="0" w:color="000000"/>
              <w:left w:val="single" w:sz="6" w:space="0" w:color="000000"/>
              <w:bottom w:val="single" w:sz="4" w:space="0" w:color="000000"/>
              <w:right w:val="single" w:sz="6" w:space="0" w:color="000000"/>
            </w:tcBorders>
            <w:shd w:val="clear" w:color="auto" w:fill="FFFFFF"/>
            <w:noWrap/>
            <w:vAlign w:val="center"/>
          </w:tcPr>
          <w:p>
            <w:pPr>
              <w:pStyle w:val="174"/>
              <w:rPr>
                <w:sz w:val="22"/>
              </w:rPr>
            </w:pPr>
            <w:r>
              <w:rPr>
                <w:sz w:val="22"/>
              </w:rPr>
              <w:t xml:space="preserve">  国有资本经营预算财政拨款</w:t>
            </w: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07"/>
              <w:widowControl/>
              <w:jc w:val="center"/>
              <w:rPr>
                <w:kern w:val="0"/>
                <w:sz w:val="22"/>
                <w:szCs w:val="22"/>
              </w:rPr>
            </w:pPr>
            <w:r>
              <w:rPr>
                <w:kern w:val="0"/>
                <w:sz w:val="22"/>
                <w:szCs w:val="22"/>
              </w:rPr>
              <w:t>14</w:t>
            </w:r>
          </w:p>
        </w:tc>
        <w:tc>
          <w:tcPr>
            <w:tcW w:w="1259" w:type="dxa"/>
            <w:tcBorders>
              <w:top w:val="single" w:sz="4" w:space="0" w:color="000000"/>
              <w:left w:val="nil"/>
              <w:bottom w:val="single" w:sz="4" w:space="0" w:color="000000"/>
              <w:right w:val="single" w:sz="6" w:space="0" w:color="000000"/>
            </w:tcBorders>
            <w:shd w:val="clear" w:color="auto" w:fill="FFFFFF"/>
            <w:noWrap/>
            <w:vAlign w:val="center"/>
          </w:tcPr>
          <w:p>
            <w:pPr>
              <w:pStyle w:val="522"/>
              <w:widowControl/>
              <w:jc w:val="right"/>
              <w:rPr>
                <w:sz w:val="22"/>
              </w:rPr>
            </w:pPr>
          </w:p>
        </w:tc>
        <w:tc>
          <w:tcPr>
            <w:tcW w:w="3420" w:type="dxa"/>
            <w:tcBorders>
              <w:top w:val="single" w:sz="4" w:space="0" w:color="000000"/>
              <w:left w:val="nil"/>
              <w:bottom w:val="single" w:sz="4" w:space="0" w:color="000000"/>
              <w:right w:val="single" w:sz="6" w:space="0" w:color="000000"/>
            </w:tcBorders>
            <w:shd w:val="clear" w:color="auto" w:fill="FFFFFF"/>
            <w:noWrap/>
            <w:vAlign w:val="center"/>
          </w:tcPr>
          <w:p>
            <w:pPr>
              <w:pStyle w:val="171"/>
              <w:rPr>
                <w:sz w:val="22"/>
              </w:rPr>
            </w:pPr>
          </w:p>
        </w:tc>
        <w:tc>
          <w:tcPr>
            <w:tcW w:w="540" w:type="dxa"/>
            <w:tcBorders>
              <w:top w:val="single" w:sz="4" w:space="0" w:color="000000"/>
              <w:left w:val="nil"/>
              <w:bottom w:val="single" w:sz="4" w:space="0" w:color="000000"/>
              <w:right w:val="single" w:sz="6" w:space="0" w:color="000000"/>
            </w:tcBorders>
            <w:shd w:val="clear" w:color="auto" w:fill="FFFFFF"/>
            <w:noWrap/>
            <w:vAlign w:val="center"/>
          </w:tcPr>
          <w:p>
            <w:pPr>
              <w:pStyle w:val="521"/>
              <w:widowControl/>
              <w:jc w:val="center"/>
              <w:rPr>
                <w:kern w:val="0"/>
                <w:sz w:val="22"/>
                <w:szCs w:val="22"/>
              </w:rPr>
            </w:pPr>
            <w:r>
              <w:rPr>
                <w:kern w:val="0"/>
                <w:sz w:val="22"/>
                <w:szCs w:val="22"/>
              </w:rPr>
              <w:t>29</w:t>
            </w:r>
          </w:p>
        </w:tc>
        <w:tc>
          <w:tcPr>
            <w:tcW w:w="1260" w:type="dxa"/>
            <w:tcBorders>
              <w:top w:val="single" w:sz="4" w:space="0" w:color="000000"/>
              <w:left w:val="nil"/>
              <w:bottom w:val="single" w:sz="4" w:space="0" w:color="000000"/>
              <w:right w:val="single" w:sz="6" w:space="0" w:color="000000"/>
            </w:tcBorders>
            <w:shd w:val="clear" w:color="auto" w:fill="FFFFFF"/>
            <w:noWrap/>
            <w:vAlign w:val="center"/>
          </w:tcPr>
          <w:p>
            <w:pPr>
              <w:pStyle w:val="169"/>
              <w:jc w:val="right"/>
              <w:rPr>
                <w:sz w:val="22"/>
              </w:rPr>
            </w:pPr>
          </w:p>
        </w:tc>
        <w:tc>
          <w:tcPr>
            <w:tcW w:w="1258" w:type="dxa"/>
            <w:tcBorders>
              <w:top w:val="single" w:sz="4" w:space="0" w:color="000000"/>
              <w:left w:val="nil"/>
              <w:bottom w:val="single" w:sz="4" w:space="0" w:color="000000"/>
              <w:right w:val="single" w:sz="6" w:space="0" w:color="000000"/>
            </w:tcBorders>
            <w:shd w:val="clear" w:color="auto" w:fill="FFFFFF"/>
            <w:noWrap/>
            <w:vAlign w:val="center"/>
          </w:tcPr>
          <w:p>
            <w:pPr>
              <w:pStyle w:val="168"/>
              <w:jc w:val="right"/>
              <w:rPr>
                <w:sz w:val="22"/>
              </w:rPr>
            </w:pPr>
          </w:p>
        </w:tc>
        <w:tc>
          <w:tcPr>
            <w:tcW w:w="1082" w:type="dxa"/>
            <w:tcBorders>
              <w:top w:val="single" w:sz="4" w:space="0" w:color="000000"/>
              <w:left w:val="nil"/>
              <w:bottom w:val="single" w:sz="4" w:space="0" w:color="000000"/>
              <w:right w:val="single" w:sz="6" w:space="0" w:color="000000"/>
            </w:tcBorders>
            <w:shd w:val="clear" w:color="auto" w:fill="FFFFFF"/>
            <w:noWrap/>
            <w:vAlign w:val="center"/>
          </w:tcPr>
          <w:p>
            <w:pPr>
              <w:pStyle w:val="167"/>
              <w:jc w:val="left"/>
              <w:rPr>
                <w:sz w:val="22"/>
              </w:rPr>
            </w:pPr>
          </w:p>
        </w:tc>
        <w:tc>
          <w:tcPr>
            <w:tcW w:w="1620" w:type="dxa"/>
            <w:tcBorders>
              <w:top w:val="single" w:sz="4" w:space="0" w:color="000000"/>
              <w:left w:val="nil"/>
              <w:bottom w:val="single" w:sz="4" w:space="0" w:color="000000"/>
              <w:right w:val="single" w:sz="6" w:space="0" w:color="000000"/>
            </w:tcBorders>
            <w:shd w:val="clear" w:color="auto" w:fill="FFFFFF"/>
            <w:noWrap/>
            <w:vAlign w:val="center"/>
          </w:tcPr>
          <w:p>
            <w:pPr>
              <w:pStyle w:val="166"/>
              <w:jc w:val="left"/>
              <w:rPr>
                <w:sz w:val="22"/>
              </w:rPr>
            </w:pPr>
          </w:p>
        </w:tc>
      </w:tr>
      <w:tr>
        <w:trPr>
          <w:trHeight w:val="240"/>
        </w:trPr>
        <w:tc>
          <w:tcPr>
            <w:tcW w:w="3146" w:type="dxa"/>
            <w:tcBorders>
              <w:top w:val="single" w:sz="4" w:space="0" w:color="000000"/>
              <w:left w:val="single" w:sz="6" w:space="0" w:color="000000"/>
              <w:bottom w:val="single" w:sz="6" w:space="0" w:color="000000"/>
              <w:right w:val="single" w:sz="6" w:space="0" w:color="000000"/>
            </w:tcBorders>
            <w:shd w:val="clear" w:color="auto" w:fill="FFFFFF"/>
            <w:noWrap/>
            <w:vAlign w:val="center"/>
          </w:tcPr>
          <w:p>
            <w:pPr>
              <w:pStyle w:val="165"/>
              <w:jc w:val="center"/>
              <w:rPr>
                <w:b/>
                <w:sz w:val="22"/>
              </w:rPr>
            </w:pPr>
            <w:r>
              <w:rPr>
                <w:b/>
                <w:sz w:val="22"/>
              </w:rPr>
              <w:t>总计</w:t>
            </w:r>
          </w:p>
        </w:tc>
        <w:tc>
          <w:tcPr>
            <w:tcW w:w="540" w:type="dxa"/>
            <w:tcBorders>
              <w:top w:val="single" w:sz="4" w:space="0" w:color="000000"/>
              <w:left w:val="nil"/>
              <w:bottom w:val="single" w:sz="6" w:space="0" w:color="000000"/>
              <w:right w:val="single" w:sz="6" w:space="0" w:color="000000"/>
            </w:tcBorders>
            <w:shd w:val="clear" w:color="auto" w:fill="FFFFFF"/>
            <w:noWrap/>
            <w:vAlign w:val="center"/>
          </w:tcPr>
          <w:p>
            <w:pPr>
              <w:pStyle w:val="508"/>
              <w:widowControl/>
              <w:jc w:val="center"/>
              <w:rPr>
                <w:kern w:val="0"/>
                <w:sz w:val="22"/>
                <w:szCs w:val="22"/>
              </w:rPr>
            </w:pPr>
            <w:r>
              <w:rPr>
                <w:kern w:val="0"/>
                <w:sz w:val="22"/>
                <w:szCs w:val="22"/>
              </w:rPr>
              <w:t>15</w:t>
            </w:r>
          </w:p>
        </w:tc>
        <w:tc>
          <w:tcPr>
            <w:tcW w:w="1259" w:type="dxa"/>
            <w:tcBorders>
              <w:top w:val="single" w:sz="4" w:space="0" w:color="000000"/>
              <w:left w:val="nil"/>
              <w:bottom w:val="single" w:sz="6" w:space="0" w:color="000000"/>
              <w:right w:val="single" w:sz="6" w:space="0" w:color="000000"/>
            </w:tcBorders>
            <w:shd w:val="clear" w:color="auto" w:fill="FFFFFF"/>
            <w:noWrap/>
            <w:vAlign w:val="center"/>
          </w:tcPr>
          <w:p>
            <w:pPr>
              <w:pStyle w:val="163"/>
              <w:jc w:val="right"/>
              <w:rPr>
                <w:sz w:val="22"/>
              </w:rPr>
            </w:pPr>
            <w:r>
              <w:rPr>
                <w:sz w:val="22"/>
              </w:rPr>
              <w:t>1510.04</w:t>
            </w:r>
          </w:p>
        </w:tc>
        <w:tc>
          <w:tcPr>
            <w:tcW w:w="3420" w:type="dxa"/>
            <w:tcBorders>
              <w:top w:val="single" w:sz="4" w:space="0" w:color="000000"/>
              <w:left w:val="nil"/>
              <w:bottom w:val="single" w:sz="6" w:space="0" w:color="000000"/>
              <w:right w:val="single" w:sz="6" w:space="0" w:color="000000"/>
            </w:tcBorders>
            <w:shd w:val="clear" w:color="auto" w:fill="FFFFFF"/>
            <w:noWrap/>
            <w:vAlign w:val="center"/>
          </w:tcPr>
          <w:p>
            <w:pPr>
              <w:pStyle w:val="162"/>
              <w:jc w:val="center"/>
              <w:rPr>
                <w:b/>
                <w:sz w:val="22"/>
              </w:rPr>
            </w:pPr>
            <w:r>
              <w:rPr>
                <w:b/>
                <w:sz w:val="22"/>
              </w:rPr>
              <w:t>总计</w:t>
            </w:r>
          </w:p>
        </w:tc>
        <w:tc>
          <w:tcPr>
            <w:tcW w:w="540" w:type="dxa"/>
            <w:tcBorders>
              <w:top w:val="single" w:sz="4" w:space="0" w:color="000000"/>
              <w:left w:val="nil"/>
              <w:bottom w:val="single" w:sz="6" w:space="0" w:color="000000"/>
              <w:right w:val="single" w:sz="6" w:space="0" w:color="000000"/>
            </w:tcBorders>
            <w:shd w:val="clear" w:color="auto" w:fill="FFFFFF"/>
            <w:noWrap/>
            <w:vAlign w:val="center"/>
          </w:tcPr>
          <w:p>
            <w:pPr>
              <w:pStyle w:val="522"/>
              <w:widowControl/>
              <w:jc w:val="center"/>
              <w:rPr>
                <w:kern w:val="0"/>
                <w:sz w:val="22"/>
                <w:szCs w:val="22"/>
              </w:rPr>
            </w:pPr>
            <w:r>
              <w:rPr>
                <w:kern w:val="0"/>
                <w:sz w:val="22"/>
                <w:szCs w:val="22"/>
              </w:rPr>
              <w:t>30</w:t>
            </w:r>
          </w:p>
        </w:tc>
        <w:tc>
          <w:tcPr>
            <w:tcW w:w="1260" w:type="dxa"/>
            <w:tcBorders>
              <w:top w:val="single" w:sz="4" w:space="0" w:color="000000"/>
              <w:left w:val="nil"/>
              <w:bottom w:val="single" w:sz="6" w:space="0" w:color="000000"/>
              <w:right w:val="single" w:sz="6" w:space="0" w:color="000000"/>
            </w:tcBorders>
            <w:shd w:val="clear" w:color="auto" w:fill="FFFFFF"/>
            <w:noWrap/>
            <w:vAlign w:val="center"/>
          </w:tcPr>
          <w:p>
            <w:pPr>
              <w:jc w:val="right"/>
              <w:rPr>
                <w:sz w:val="20"/>
              </w:rPr>
            </w:pPr>
            <w:r>
              <w:rPr>
                <w:sz w:val="20"/>
              </w:rPr>
              <w:t>1510.04</w:t>
            </w:r>
          </w:p>
        </w:tc>
        <w:tc>
          <w:tcPr>
            <w:tcW w:w="1258" w:type="dxa"/>
            <w:tcBorders>
              <w:top w:val="single" w:sz="4" w:space="0" w:color="000000"/>
              <w:left w:val="nil"/>
              <w:bottom w:val="single" w:sz="6" w:space="0" w:color="000000"/>
              <w:right w:val="single" w:sz="6" w:space="0" w:color="000000"/>
            </w:tcBorders>
            <w:shd w:val="clear" w:color="auto" w:fill="FFFFFF"/>
            <w:noWrap/>
            <w:vAlign w:val="center"/>
          </w:tcPr>
          <w:p>
            <w:pPr>
              <w:jc w:val="right"/>
              <w:rPr>
                <w:sz w:val="20"/>
              </w:rPr>
            </w:pPr>
            <w:r>
              <w:rPr>
                <w:sz w:val="20"/>
              </w:rPr>
              <w:t>1510.04</w:t>
            </w:r>
          </w:p>
        </w:tc>
        <w:tc>
          <w:tcPr>
            <w:tcW w:w="1082" w:type="dxa"/>
            <w:tcBorders>
              <w:top w:val="single" w:sz="4" w:space="0" w:color="000000"/>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　</w:t>
            </w:r>
          </w:p>
        </w:tc>
        <w:tc>
          <w:tcPr>
            <w:tcW w:w="1620" w:type="dxa"/>
            <w:tcBorders>
              <w:top w:val="single" w:sz="4" w:space="0" w:color="000000"/>
              <w:left w:val="nil"/>
              <w:bottom w:val="single" w:sz="6" w:space="0" w:color="000000"/>
              <w:right w:val="single" w:sz="6" w:space="0" w:color="000000"/>
            </w:tcBorders>
            <w:shd w:val="clear" w:color="auto" w:fill="FFFFFF"/>
            <w:noWrap/>
            <w:vAlign w:val="center"/>
          </w:tcPr>
          <w:p>
            <w:pPr>
              <w:pStyle w:val="157"/>
              <w:jc w:val="left"/>
              <w:rPr>
                <w:sz w:val="22"/>
              </w:rPr>
            </w:pPr>
          </w:p>
        </w:tc>
      </w:tr>
      <w:tr>
        <w:trPr>
          <w:trHeight w:val="240"/>
        </w:trPr>
        <w:tc>
          <w:tcPr>
            <w:tcW w:w="14125" w:type="dxa"/>
            <w:gridSpan w:val="9"/>
            <w:tcBorders>
              <w:top w:val="single" w:sz="6" w:space="0" w:color="000000"/>
              <w:left w:val="nil"/>
              <w:bottom w:val="nil"/>
              <w:right w:val="nil"/>
            </w:tcBorders>
            <w:noWrap/>
            <w:vAlign w:val="center"/>
          </w:tcPr>
          <w:p>
            <w:pPr>
              <w:pStyle w:val="523"/>
              <w:rPr>
                <w:sz w:val="22"/>
              </w:rPr>
            </w:pPr>
            <w:r>
              <w:rPr>
                <w:sz w:val="22"/>
              </w:rPr>
              <w:t>注：本表反映单位本年度一般公共预算财政拨款、政府性基金预算财政拨款和国有资本经营预算财政拨款的总收支和年末结转结余情况。</w:t>
            </w:r>
          </w:p>
        </w:tc>
      </w:tr>
    </w:tbl>
    <w:p/>
    <w:tbl>
      <w:tblPr>
        <w:jc w:val="left"/>
        <w:tblW w:w="14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3"/>
        <w:gridCol w:w="312"/>
        <w:gridCol w:w="642"/>
        <w:gridCol w:w="3981"/>
        <w:gridCol w:w="2538"/>
        <w:gridCol w:w="522"/>
        <w:gridCol w:w="2455"/>
        <w:gridCol w:w="425"/>
        <w:gridCol w:w="2552"/>
      </w:tblGrid>
      <w:tr>
        <w:trPr>
          <w:trHeight w:val="745"/>
        </w:trPr>
        <w:tc>
          <w:tcPr>
            <w:tcW w:w="14000" w:type="dxa"/>
            <w:gridSpan w:val="9"/>
            <w:tcBorders>
              <w:top w:val="nil"/>
              <w:left w:val="nil"/>
              <w:bottom w:val="nil"/>
              <w:right w:val="nil"/>
            </w:tcBorders>
            <w:noWrap/>
            <w:vAlign w:val="center"/>
          </w:tcPr>
          <w:p>
            <w:pPr>
              <w:pStyle w:val="2"/>
              <w:jc w:val="center"/>
              <w:rPr>
                <w:rFonts w:ascii="Times New Roman" w:cs="Times New Roman" w:hAnsi="Times New Roman"/>
              </w:rPr>
            </w:pPr>
            <w:bookmarkStart w:id="21" w:name="_Toc44862957"/>
            <w:r>
              <w:rPr>
                <w:rFonts w:ascii="Times New Roman" w:cs="Times New Roman" w:hAnsi="Times New Roman"/>
              </w:rPr>
              <w:t>一般公共预算财政拨款支出决算表</w:t>
            </w:r>
            <w:bookmarkEnd w:id="21"/>
          </w:p>
        </w:tc>
      </w:tr>
      <w:tr>
        <w:trPr>
          <w:trHeight w:val="240"/>
        </w:trPr>
        <w:tc>
          <w:tcPr>
            <w:tcW w:w="573" w:type="dxa"/>
            <w:tcBorders>
              <w:top w:val="nil"/>
              <w:left w:val="nil"/>
              <w:bottom w:val="nil"/>
              <w:right w:val="nil"/>
            </w:tcBorders>
            <w:noWrap/>
            <w:vAlign w:val="center"/>
          </w:tcPr>
          <w:p>
            <w:pPr>
              <w:pStyle w:val="705"/>
              <w:rPr>
                <w:sz w:val="24"/>
              </w:rPr>
            </w:pPr>
          </w:p>
        </w:tc>
        <w:tc>
          <w:tcPr>
            <w:tcW w:w="312" w:type="dxa"/>
            <w:tcBorders>
              <w:top w:val="nil"/>
              <w:left w:val="nil"/>
              <w:bottom w:val="nil"/>
              <w:right w:val="nil"/>
            </w:tcBorders>
            <w:noWrap/>
            <w:vAlign w:val="center"/>
          </w:tcPr>
          <w:p>
            <w:pPr>
              <w:pStyle w:val="704"/>
              <w:rPr>
                <w:sz w:val="24"/>
              </w:rPr>
            </w:pPr>
          </w:p>
        </w:tc>
        <w:tc>
          <w:tcPr>
            <w:tcW w:w="642" w:type="dxa"/>
            <w:tcBorders>
              <w:top w:val="nil"/>
              <w:left w:val="nil"/>
              <w:bottom w:val="nil"/>
              <w:right w:val="nil"/>
            </w:tcBorders>
            <w:noWrap/>
            <w:vAlign w:val="center"/>
          </w:tcPr>
          <w:p>
            <w:pPr>
              <w:pStyle w:val="703"/>
              <w:rPr>
                <w:sz w:val="24"/>
              </w:rPr>
            </w:pPr>
          </w:p>
        </w:tc>
        <w:tc>
          <w:tcPr>
            <w:tcW w:w="3981" w:type="dxa"/>
            <w:tcBorders>
              <w:top w:val="nil"/>
              <w:left w:val="nil"/>
              <w:bottom w:val="nil"/>
              <w:right w:val="nil"/>
            </w:tcBorders>
            <w:noWrap/>
            <w:vAlign w:val="center"/>
          </w:tcPr>
          <w:p>
            <w:pPr>
              <w:pStyle w:val="702"/>
              <w:rPr>
                <w:sz w:val="24"/>
              </w:rPr>
            </w:pPr>
          </w:p>
        </w:tc>
        <w:tc>
          <w:tcPr>
            <w:tcW w:w="3060" w:type="dxa"/>
            <w:gridSpan w:val="2"/>
            <w:tcBorders>
              <w:top w:val="nil"/>
              <w:left w:val="nil"/>
              <w:bottom w:val="nil"/>
              <w:right w:val="nil"/>
            </w:tcBorders>
            <w:noWrap/>
            <w:vAlign w:val="center"/>
          </w:tcPr>
          <w:p>
            <w:pPr>
              <w:pStyle w:val="701"/>
              <w:rPr>
                <w:sz w:val="24"/>
              </w:rPr>
            </w:pPr>
          </w:p>
        </w:tc>
        <w:tc>
          <w:tcPr>
            <w:tcW w:w="2880" w:type="dxa"/>
            <w:gridSpan w:val="2"/>
            <w:tcBorders>
              <w:top w:val="nil"/>
              <w:left w:val="nil"/>
              <w:bottom w:val="nil"/>
              <w:right w:val="nil"/>
            </w:tcBorders>
            <w:noWrap/>
            <w:vAlign w:val="center"/>
          </w:tcPr>
          <w:p>
            <w:pPr>
              <w:pStyle w:val="700"/>
              <w:rPr>
                <w:sz w:val="24"/>
              </w:rPr>
            </w:pPr>
          </w:p>
        </w:tc>
        <w:tc>
          <w:tcPr>
            <w:tcW w:w="2552" w:type="dxa"/>
            <w:tcBorders>
              <w:top w:val="nil"/>
              <w:left w:val="nil"/>
              <w:bottom w:val="nil"/>
              <w:right w:val="nil"/>
            </w:tcBorders>
            <w:noWrap/>
            <w:vAlign w:val="bottom"/>
          </w:tcPr>
          <w:p>
            <w:pPr>
              <w:pStyle w:val="699"/>
              <w:jc w:val="right"/>
              <w:rPr>
                <w:sz w:val="20"/>
              </w:rPr>
            </w:pPr>
            <w:r>
              <w:rPr>
                <w:sz w:val="20"/>
              </w:rPr>
              <w:t>公开05表</w:t>
            </w:r>
          </w:p>
        </w:tc>
      </w:tr>
      <w:tr>
        <w:trPr>
          <w:trHeight w:val="240"/>
        </w:trPr>
        <w:tc>
          <w:tcPr>
            <w:tcW w:w="5508" w:type="dxa"/>
            <w:gridSpan w:val="4"/>
            <w:tcBorders>
              <w:top w:val="nil"/>
              <w:left w:val="nil"/>
              <w:bottom w:val="nil"/>
              <w:right w:val="nil"/>
            </w:tcBorders>
            <w:noWrap/>
            <w:vAlign w:val="bottom"/>
          </w:tcPr>
          <w:p>
            <w:pPr>
              <w:pStyle w:val="698"/>
              <w:rPr>
                <w:sz w:val="20"/>
              </w:rPr>
            </w:pPr>
            <w:r>
              <w:rPr>
                <w:sz w:val="20"/>
              </w:rPr>
              <w:t>单位：中华人民共和国东乌海关</w:t>
            </w:r>
          </w:p>
        </w:tc>
        <w:tc>
          <w:tcPr>
            <w:tcW w:w="3060" w:type="dxa"/>
            <w:gridSpan w:val="2"/>
            <w:tcBorders>
              <w:top w:val="nil"/>
              <w:left w:val="nil"/>
              <w:bottom w:val="nil"/>
              <w:right w:val="nil"/>
            </w:tcBorders>
            <w:noWrap/>
            <w:vAlign w:val="center"/>
          </w:tcPr>
          <w:p>
            <w:pPr>
              <w:pStyle w:val="697"/>
              <w:rPr>
                <w:sz w:val="24"/>
              </w:rPr>
            </w:pPr>
          </w:p>
        </w:tc>
        <w:tc>
          <w:tcPr>
            <w:tcW w:w="2880" w:type="dxa"/>
            <w:gridSpan w:val="2"/>
            <w:tcBorders>
              <w:top w:val="nil"/>
              <w:left w:val="nil"/>
              <w:bottom w:val="nil"/>
              <w:right w:val="nil"/>
            </w:tcBorders>
            <w:noWrap/>
            <w:vAlign w:val="center"/>
          </w:tcPr>
          <w:p>
            <w:pPr>
              <w:pStyle w:val="696"/>
              <w:rPr>
                <w:sz w:val="24"/>
              </w:rPr>
            </w:pPr>
          </w:p>
        </w:tc>
        <w:tc>
          <w:tcPr>
            <w:tcW w:w="2552" w:type="dxa"/>
            <w:tcBorders>
              <w:top w:val="nil"/>
              <w:left w:val="nil"/>
              <w:bottom w:val="nil"/>
              <w:right w:val="nil"/>
            </w:tcBorders>
            <w:noWrap/>
            <w:vAlign w:val="bottom"/>
          </w:tcPr>
          <w:p>
            <w:pPr>
              <w:pStyle w:val="695"/>
              <w:jc w:val="right"/>
              <w:rPr>
                <w:sz w:val="20"/>
              </w:rPr>
            </w:pPr>
            <w:r>
              <w:rPr>
                <w:sz w:val="20"/>
              </w:rPr>
              <w:t>金额单位：万元</w:t>
            </w:r>
          </w:p>
        </w:tc>
      </w:tr>
      <w:tr>
        <w:trPr>
          <w:trHeight w:val="240"/>
        </w:trPr>
        <w:tc>
          <w:tcPr>
            <w:tcW w:w="5508" w:type="dxa"/>
            <w:gridSpan w:val="4"/>
            <w:tcBorders>
              <w:top w:val="single" w:sz="6" w:space="0" w:color="000000"/>
              <w:left w:val="single" w:sz="6" w:space="0" w:color="000000"/>
              <w:bottom w:val="single" w:sz="6" w:space="0" w:color="000000"/>
              <w:right w:val="single" w:sz="6" w:space="0" w:color="000000"/>
            </w:tcBorders>
            <w:noWrap/>
            <w:vAlign w:val="center"/>
          </w:tcPr>
          <w:p>
            <w:pPr>
              <w:pStyle w:val="694"/>
              <w:jc w:val="center"/>
              <w:rPr>
                <w:sz w:val="22"/>
              </w:rPr>
            </w:pPr>
            <w:r>
              <w:rPr>
                <w:sz w:val="22"/>
              </w:rPr>
              <w:t>项目</w:t>
            </w:r>
          </w:p>
        </w:tc>
        <w:tc>
          <w:tcPr>
            <w:tcW w:w="8492" w:type="dxa"/>
            <w:gridSpan w:val="5"/>
            <w:tcBorders>
              <w:top w:val="single" w:sz="6" w:space="0" w:color="000000"/>
              <w:left w:val="nil"/>
              <w:bottom w:val="single" w:sz="6" w:space="0" w:color="000000"/>
              <w:right w:val="single" w:sz="6" w:space="0" w:color="000000"/>
            </w:tcBorders>
            <w:noWrap/>
            <w:vAlign w:val="center"/>
          </w:tcPr>
          <w:p>
            <w:pPr>
              <w:pStyle w:val="693"/>
              <w:jc w:val="center"/>
              <w:rPr>
                <w:sz w:val="22"/>
              </w:rPr>
            </w:pPr>
            <w:r>
              <w:rPr>
                <w:sz w:val="22"/>
              </w:rPr>
              <w:t>本年支出</w:t>
            </w:r>
          </w:p>
        </w:tc>
      </w:tr>
      <w:tr>
        <w:trPr>
          <w:trHeight w:val="720"/>
        </w:trPr>
        <w:tc>
          <w:tcPr>
            <w:tcW w:w="1527" w:type="dxa"/>
            <w:gridSpan w:val="3"/>
            <w:tcBorders>
              <w:top w:val="nil"/>
              <w:left w:val="single" w:sz="6" w:space="0" w:color="000000"/>
              <w:bottom w:val="single" w:sz="6" w:space="0" w:color="000000"/>
              <w:right w:val="single" w:sz="6" w:space="0" w:color="000000"/>
            </w:tcBorders>
            <w:noWrap/>
            <w:vAlign w:val="center"/>
          </w:tcPr>
          <w:p>
            <w:pPr>
              <w:pStyle w:val="692"/>
              <w:jc w:val="center"/>
              <w:rPr>
                <w:sz w:val="22"/>
              </w:rPr>
            </w:pPr>
            <w:r>
              <w:rPr>
                <w:sz w:val="22"/>
              </w:rPr>
              <w:t>功能分类科目编码</w:t>
            </w:r>
          </w:p>
        </w:tc>
        <w:tc>
          <w:tcPr>
            <w:tcW w:w="3981" w:type="dxa"/>
            <w:tcBorders>
              <w:top w:val="nil"/>
              <w:left w:val="nil"/>
              <w:bottom w:val="single" w:sz="6" w:space="0" w:color="000000"/>
              <w:right w:val="single" w:sz="6" w:space="0" w:color="000000"/>
            </w:tcBorders>
            <w:noWrap/>
            <w:vAlign w:val="center"/>
          </w:tcPr>
          <w:p>
            <w:pPr>
              <w:pStyle w:val="691"/>
              <w:jc w:val="center"/>
              <w:rPr>
                <w:sz w:val="22"/>
              </w:rPr>
            </w:pPr>
            <w:r>
              <w:rPr>
                <w:sz w:val="22"/>
              </w:rPr>
              <w:t>科目名称</w:t>
            </w:r>
          </w:p>
        </w:tc>
        <w:tc>
          <w:tcPr>
            <w:tcW w:w="2538" w:type="dxa"/>
            <w:tcBorders>
              <w:top w:val="nil"/>
              <w:left w:val="nil"/>
              <w:bottom w:val="single" w:sz="6" w:space="0" w:color="000000"/>
              <w:right w:val="single" w:sz="6" w:space="0" w:color="000000"/>
            </w:tcBorders>
            <w:noWrap/>
            <w:vAlign w:val="center"/>
          </w:tcPr>
          <w:p>
            <w:pPr>
              <w:pStyle w:val="690"/>
              <w:jc w:val="center"/>
              <w:rPr>
                <w:sz w:val="22"/>
              </w:rPr>
            </w:pPr>
            <w:r>
              <w:rPr>
                <w:sz w:val="22"/>
              </w:rPr>
              <w:t>小计</w:t>
            </w:r>
          </w:p>
        </w:tc>
        <w:tc>
          <w:tcPr>
            <w:tcW w:w="2977" w:type="dxa"/>
            <w:gridSpan w:val="2"/>
            <w:tcBorders>
              <w:top w:val="nil"/>
              <w:left w:val="nil"/>
              <w:bottom w:val="single" w:sz="6" w:space="0" w:color="000000"/>
              <w:right w:val="single" w:sz="6" w:space="0" w:color="000000"/>
            </w:tcBorders>
            <w:noWrap/>
            <w:vAlign w:val="center"/>
          </w:tcPr>
          <w:p>
            <w:pPr>
              <w:pStyle w:val="689"/>
              <w:jc w:val="center"/>
              <w:rPr>
                <w:sz w:val="22"/>
              </w:rPr>
            </w:pPr>
            <w:r>
              <w:rPr>
                <w:sz w:val="22"/>
              </w:rPr>
              <w:t>基本支出</w:t>
            </w:r>
          </w:p>
        </w:tc>
        <w:tc>
          <w:tcPr>
            <w:tcW w:w="2977" w:type="dxa"/>
            <w:gridSpan w:val="2"/>
            <w:tcBorders>
              <w:top w:val="nil"/>
              <w:left w:val="nil"/>
              <w:bottom w:val="single" w:sz="6" w:space="0" w:color="000000"/>
              <w:right w:val="single" w:sz="6" w:space="0" w:color="000000"/>
            </w:tcBorders>
            <w:noWrap/>
            <w:vAlign w:val="center"/>
          </w:tcPr>
          <w:p>
            <w:pPr>
              <w:pStyle w:val="688"/>
              <w:jc w:val="center"/>
              <w:rPr>
                <w:sz w:val="22"/>
              </w:rPr>
            </w:pPr>
            <w:r>
              <w:rPr>
                <w:sz w:val="22"/>
              </w:rPr>
              <w:t>项目支出</w:t>
            </w:r>
          </w:p>
        </w:tc>
      </w:tr>
      <w:tr>
        <w:trPr>
          <w:trHeight w:val="44"/>
        </w:trPr>
        <w:tc>
          <w:tcPr>
            <w:tcW w:w="5508" w:type="dxa"/>
            <w:gridSpan w:val="4"/>
            <w:tcBorders>
              <w:top w:val="nil"/>
              <w:left w:val="single" w:sz="6" w:space="0" w:color="000000"/>
              <w:bottom w:val="single" w:sz="6" w:space="0" w:color="000000"/>
              <w:right w:val="single" w:sz="6" w:space="0" w:color="000000"/>
            </w:tcBorders>
            <w:noWrap/>
            <w:vAlign w:val="center"/>
          </w:tcPr>
          <w:p>
            <w:pPr>
              <w:pStyle w:val="687"/>
              <w:jc w:val="center"/>
              <w:rPr>
                <w:sz w:val="22"/>
              </w:rPr>
            </w:pPr>
            <w:r>
              <w:rPr>
                <w:sz w:val="22"/>
              </w:rPr>
              <w:t>栏次</w:t>
            </w:r>
          </w:p>
        </w:tc>
        <w:tc>
          <w:tcPr>
            <w:tcW w:w="2538" w:type="dxa"/>
            <w:tcBorders>
              <w:top w:val="nil"/>
              <w:left w:val="nil"/>
              <w:bottom w:val="single" w:sz="6" w:space="0" w:color="000000"/>
              <w:right w:val="single" w:sz="6" w:space="0" w:color="000000"/>
            </w:tcBorders>
            <w:noWrap/>
            <w:vAlign w:val="center"/>
          </w:tcPr>
          <w:p>
            <w:pPr>
              <w:pStyle w:val="686"/>
              <w:jc w:val="center"/>
              <w:rPr>
                <w:sz w:val="22"/>
              </w:rPr>
            </w:pPr>
            <w:r>
              <w:rPr>
                <w:sz w:val="22"/>
              </w:rPr>
              <w:t>1</w:t>
            </w:r>
          </w:p>
        </w:tc>
        <w:tc>
          <w:tcPr>
            <w:tcW w:w="2977" w:type="dxa"/>
            <w:gridSpan w:val="2"/>
            <w:tcBorders>
              <w:top w:val="nil"/>
              <w:left w:val="nil"/>
              <w:bottom w:val="single" w:sz="6" w:space="0" w:color="000000"/>
              <w:right w:val="single" w:sz="6" w:space="0" w:color="000000"/>
            </w:tcBorders>
            <w:noWrap/>
            <w:vAlign w:val="center"/>
          </w:tcPr>
          <w:p>
            <w:pPr>
              <w:pStyle w:val="685"/>
              <w:jc w:val="center"/>
              <w:rPr>
                <w:sz w:val="22"/>
              </w:rPr>
            </w:pPr>
            <w:r>
              <w:rPr>
                <w:sz w:val="22"/>
              </w:rPr>
              <w:t>2</w:t>
            </w:r>
          </w:p>
        </w:tc>
        <w:tc>
          <w:tcPr>
            <w:tcW w:w="2977" w:type="dxa"/>
            <w:gridSpan w:val="2"/>
            <w:tcBorders>
              <w:top w:val="nil"/>
              <w:left w:val="nil"/>
              <w:bottom w:val="single" w:sz="6" w:space="0" w:color="000000"/>
              <w:right w:val="single" w:sz="6" w:space="0" w:color="000000"/>
            </w:tcBorders>
            <w:noWrap/>
            <w:vAlign w:val="center"/>
          </w:tcPr>
          <w:p>
            <w:pPr>
              <w:pStyle w:val="684"/>
              <w:jc w:val="center"/>
              <w:rPr>
                <w:sz w:val="22"/>
              </w:rPr>
            </w:pPr>
            <w:r>
              <w:rPr>
                <w:sz w:val="22"/>
              </w:rPr>
              <w:t>3</w:t>
            </w:r>
          </w:p>
        </w:tc>
      </w:tr>
      <w:tr>
        <w:trPr>
          <w:trHeight w:val="240"/>
        </w:trPr>
        <w:tc>
          <w:tcPr>
            <w:tcW w:w="5508" w:type="dxa"/>
            <w:gridSpan w:val="4"/>
            <w:tcBorders>
              <w:top w:val="nil"/>
              <w:left w:val="single" w:sz="6" w:space="0" w:color="000000"/>
              <w:bottom w:val="single" w:sz="6" w:space="0" w:color="000000"/>
              <w:right w:val="single" w:sz="6" w:space="0" w:color="000000"/>
            </w:tcBorders>
            <w:noWrap/>
            <w:vAlign w:val="center"/>
          </w:tcPr>
          <w:p>
            <w:pPr>
              <w:pStyle w:val="683"/>
              <w:jc w:val="center"/>
              <w:rPr>
                <w:sz w:val="22"/>
              </w:rPr>
            </w:pPr>
            <w:r>
              <w:rPr>
                <w:sz w:val="22"/>
              </w:rPr>
              <w:t>合计</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1503.36</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1219.42</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290.62</w:t>
            </w: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一般公共服务支出</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1219.22</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928.6</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290.62</w:t>
            </w: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海关事务</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1219.22</w:t>
            </w:r>
          </w:p>
        </w:tc>
        <w:tc>
          <w:tcPr>
            <w:tcW w:w="2977" w:type="dxa"/>
            <w:gridSpan w:val="2"/>
            <w:tcBorders>
              <w:top w:val="nil"/>
              <w:left w:val="nil"/>
              <w:bottom w:val="single" w:sz="6" w:space="0" w:color="000000"/>
              <w:right w:val="single" w:sz="6" w:space="0" w:color="000000"/>
            </w:tcBorders>
            <w:noWrap/>
            <w:vAlign w:val="center"/>
          </w:tcPr>
          <w:p>
            <w:pPr>
              <w:pStyle w:val="1308"/>
              <w:jc w:val="right"/>
              <w:rPr>
                <w:sz w:val="22"/>
              </w:rPr>
            </w:pPr>
            <w:r>
              <w:rPr>
                <w:sz w:val="22"/>
              </w:rPr>
              <w:t>928.6</w:t>
            </w:r>
          </w:p>
        </w:tc>
        <w:tc>
          <w:tcPr>
            <w:tcW w:w="2977" w:type="dxa"/>
            <w:gridSpan w:val="2"/>
            <w:tcBorders>
              <w:top w:val="nil"/>
              <w:left w:val="nil"/>
              <w:bottom w:val="single" w:sz="6" w:space="0" w:color="000000"/>
              <w:right w:val="single" w:sz="6" w:space="0" w:color="000000"/>
            </w:tcBorders>
            <w:noWrap/>
            <w:vAlign w:val="center"/>
          </w:tcPr>
          <w:p>
            <w:pPr>
              <w:pStyle w:val="1309"/>
              <w:jc w:val="right"/>
              <w:rPr>
                <w:sz w:val="22"/>
              </w:rPr>
            </w:pPr>
            <w:r>
              <w:rPr>
                <w:sz w:val="22"/>
              </w:rPr>
              <w:t>290.62</w:t>
            </w: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行政运行</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928.6</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928.6</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2010902</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一般行政管理事务</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2010903</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机关服务</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2010905</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缉私办案</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2010907</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口岸管理</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2010908</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信息化建设</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2010909</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海关关务</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213.92</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213.92</w:t>
            </w: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2010911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海关监管</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40</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40</w:t>
            </w: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2010912</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检验检疫</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36.70</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r>
              <w:rPr>
                <w:sz w:val="22"/>
              </w:rPr>
              <w:t>36.70</w:t>
            </w: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2010950</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事业运行</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204</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公共安全支出</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20410</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缉私警察</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2041001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行政运行</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2041006</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信息化建设</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2041007</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缉私业务</w:t>
            </w:r>
          </w:p>
        </w:tc>
        <w:tc>
          <w:tcPr>
            <w:tcW w:w="2538" w:type="dxa"/>
            <w:tcBorders>
              <w:top w:val="nil"/>
              <w:left w:val="nil"/>
              <w:bottom w:val="single" w:sz="6" w:space="0" w:color="000000"/>
              <w:right w:val="single" w:sz="6" w:space="0" w:color="000000"/>
            </w:tcBorders>
            <w:noWrap/>
            <w:vAlign w:val="center"/>
          </w:tcPr>
          <w:p>
            <w:pPr>
              <w:jc w:val="right"/>
              <w:rPr>
                <w:kern w:val="10"/>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208</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社会保障和就业支出</w:t>
            </w:r>
          </w:p>
        </w:tc>
        <w:tc>
          <w:tcPr>
            <w:tcW w:w="2538" w:type="dxa"/>
            <w:tcBorders>
              <w:top w:val="nil"/>
              <w:left w:val="nil"/>
              <w:bottom w:val="single" w:sz="6" w:space="0" w:color="000000"/>
              <w:right w:val="single" w:sz="6" w:space="0" w:color="000000"/>
            </w:tcBorders>
            <w:noWrap/>
            <w:vAlign w:val="center"/>
          </w:tcPr>
          <w:p>
            <w:pPr>
              <w:jc w:val="right"/>
              <w:rPr>
                <w:kern w:val="10"/>
                <w:sz w:val="22"/>
              </w:rPr>
            </w:pPr>
            <w:r>
              <w:rPr>
                <w:kern w:val="10"/>
                <w:sz w:val="22"/>
              </w:rPr>
              <w:t>113.29</w:t>
            </w:r>
          </w:p>
        </w:tc>
        <w:tc>
          <w:tcPr>
            <w:tcW w:w="2977" w:type="dxa"/>
            <w:gridSpan w:val="2"/>
            <w:tcBorders>
              <w:top w:val="nil"/>
              <w:left w:val="nil"/>
              <w:bottom w:val="single" w:sz="6" w:space="0" w:color="000000"/>
              <w:right w:val="single" w:sz="6" w:space="0" w:color="000000"/>
            </w:tcBorders>
            <w:noWrap/>
            <w:vAlign w:val="center"/>
          </w:tcPr>
          <w:p>
            <w:pPr>
              <w:pStyle w:val="1310"/>
              <w:jc w:val="right"/>
              <w:rPr>
                <w:kern w:val="10"/>
                <w:sz w:val="22"/>
              </w:rPr>
            </w:pPr>
            <w:r>
              <w:rPr>
                <w:kern w:val="10"/>
                <w:sz w:val="22"/>
              </w:rPr>
              <w:t>113.29</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20805</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行政事业单位养老支出</w:t>
            </w:r>
          </w:p>
        </w:tc>
        <w:tc>
          <w:tcPr>
            <w:tcW w:w="2538" w:type="dxa"/>
            <w:tcBorders>
              <w:top w:val="nil"/>
              <w:left w:val="nil"/>
              <w:bottom w:val="single" w:sz="6" w:space="0" w:color="000000"/>
              <w:right w:val="single" w:sz="6" w:space="0" w:color="000000"/>
            </w:tcBorders>
            <w:noWrap/>
            <w:vAlign w:val="center"/>
          </w:tcPr>
          <w:p>
            <w:pPr>
              <w:jc w:val="right"/>
              <w:rPr>
                <w:sz w:val="22"/>
              </w:rPr>
            </w:pPr>
            <w:r>
              <w:rPr>
                <w:kern w:val="10"/>
                <w:sz w:val="22"/>
              </w:rPr>
              <w:t>113.29</w:t>
            </w:r>
          </w:p>
        </w:tc>
        <w:tc>
          <w:tcPr>
            <w:tcW w:w="2977" w:type="dxa"/>
            <w:gridSpan w:val="2"/>
            <w:tcBorders>
              <w:top w:val="nil"/>
              <w:left w:val="nil"/>
              <w:bottom w:val="single" w:sz="6" w:space="0" w:color="000000"/>
              <w:right w:val="single" w:sz="6" w:space="0" w:color="000000"/>
            </w:tcBorders>
            <w:noWrap/>
            <w:vAlign w:val="center"/>
          </w:tcPr>
          <w:p>
            <w:pPr>
              <w:pStyle w:val="1311"/>
              <w:jc w:val="right"/>
              <w:rPr>
                <w:sz w:val="22"/>
              </w:rPr>
            </w:pPr>
            <w:r>
              <w:rPr>
                <w:kern w:val="10"/>
                <w:sz w:val="22"/>
              </w:rPr>
              <w:t>113.29</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375"/>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2080501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行政单位离退休</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0.26</w:t>
            </w:r>
          </w:p>
        </w:tc>
        <w:tc>
          <w:tcPr>
            <w:tcW w:w="2977" w:type="dxa"/>
            <w:gridSpan w:val="2"/>
            <w:tcBorders>
              <w:top w:val="nil"/>
              <w:left w:val="nil"/>
              <w:bottom w:val="single" w:sz="6" w:space="0" w:color="000000"/>
              <w:right w:val="single" w:sz="6" w:space="0" w:color="000000"/>
            </w:tcBorders>
            <w:noWrap/>
            <w:vAlign w:val="center"/>
          </w:tcPr>
          <w:p>
            <w:pPr>
              <w:pStyle w:val="1312"/>
              <w:jc w:val="right"/>
              <w:rPr>
                <w:sz w:val="22"/>
              </w:rPr>
            </w:pPr>
            <w:r>
              <w:rPr>
                <w:sz w:val="22"/>
              </w:rPr>
              <w:t>0.26</w:t>
            </w:r>
          </w:p>
        </w:tc>
        <w:tc>
          <w:tcPr>
            <w:tcW w:w="2977" w:type="dxa"/>
            <w:gridSpan w:val="2"/>
            <w:tcBorders>
              <w:top w:val="nil"/>
              <w:left w:val="nil"/>
              <w:bottom w:val="single" w:sz="6" w:space="0" w:color="000000"/>
              <w:right w:val="single" w:sz="6" w:space="0" w:color="000000"/>
            </w:tcBorders>
            <w:noWrap/>
            <w:vAlign w:val="center"/>
          </w:tcPr>
          <w:p>
            <w:pPr>
              <w:jc w:val="right"/>
              <w:rPr>
                <w:sz w:val="22"/>
              </w:rPr>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2080505</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机关事业单位基本养老保险缴费支出</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75.88</w:t>
            </w:r>
          </w:p>
        </w:tc>
        <w:tc>
          <w:tcPr>
            <w:tcW w:w="2977" w:type="dxa"/>
            <w:gridSpan w:val="2"/>
            <w:tcBorders>
              <w:top w:val="nil"/>
              <w:left w:val="nil"/>
              <w:bottom w:val="single" w:sz="6" w:space="0" w:color="000000"/>
              <w:right w:val="single" w:sz="6" w:space="0" w:color="000000"/>
            </w:tcBorders>
            <w:noWrap/>
            <w:vAlign w:val="center"/>
          </w:tcPr>
          <w:p>
            <w:pPr>
              <w:pStyle w:val="1313"/>
              <w:jc w:val="right"/>
              <w:rPr>
                <w:sz w:val="22"/>
              </w:rPr>
            </w:pPr>
            <w:r>
              <w:rPr>
                <w:sz w:val="22"/>
              </w:rPr>
              <w:t>75.88</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2080506</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机关事业单位职业年金缴费支出</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37.15</w:t>
            </w:r>
          </w:p>
        </w:tc>
        <w:tc>
          <w:tcPr>
            <w:tcW w:w="2977" w:type="dxa"/>
            <w:gridSpan w:val="2"/>
            <w:tcBorders>
              <w:top w:val="nil"/>
              <w:left w:val="nil"/>
              <w:bottom w:val="single" w:sz="6" w:space="0" w:color="000000"/>
              <w:right w:val="single" w:sz="6" w:space="0" w:color="000000"/>
            </w:tcBorders>
            <w:noWrap/>
            <w:vAlign w:val="center"/>
          </w:tcPr>
          <w:p>
            <w:pPr>
              <w:pStyle w:val="1314"/>
              <w:jc w:val="right"/>
              <w:rPr>
                <w:sz w:val="22"/>
              </w:rPr>
            </w:pPr>
            <w:r>
              <w:rPr>
                <w:sz w:val="22"/>
              </w:rPr>
              <w:t>37.15</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210</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卫生健康支出</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37.06</w:t>
            </w:r>
          </w:p>
        </w:tc>
        <w:tc>
          <w:tcPr>
            <w:tcW w:w="2977" w:type="dxa"/>
            <w:gridSpan w:val="2"/>
            <w:tcBorders>
              <w:top w:val="nil"/>
              <w:left w:val="nil"/>
              <w:bottom w:val="single" w:sz="6" w:space="0" w:color="000000"/>
              <w:right w:val="single" w:sz="6" w:space="0" w:color="000000"/>
            </w:tcBorders>
            <w:noWrap/>
            <w:vAlign w:val="center"/>
          </w:tcPr>
          <w:p>
            <w:pPr>
              <w:pStyle w:val="1315"/>
              <w:jc w:val="right"/>
              <w:rPr>
                <w:sz w:val="22"/>
              </w:rPr>
            </w:pPr>
            <w:r>
              <w:rPr>
                <w:sz w:val="22"/>
              </w:rPr>
              <w:t>37.06</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21011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行政事业单位医疗</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37.06</w:t>
            </w:r>
          </w:p>
        </w:tc>
        <w:tc>
          <w:tcPr>
            <w:tcW w:w="2977" w:type="dxa"/>
            <w:gridSpan w:val="2"/>
            <w:tcBorders>
              <w:top w:val="nil"/>
              <w:left w:val="nil"/>
              <w:bottom w:val="single" w:sz="6" w:space="0" w:color="000000"/>
              <w:right w:val="single" w:sz="6" w:space="0" w:color="000000"/>
            </w:tcBorders>
            <w:noWrap/>
            <w:vAlign w:val="center"/>
          </w:tcPr>
          <w:p>
            <w:pPr>
              <w:pStyle w:val="1316"/>
              <w:jc w:val="right"/>
              <w:rPr>
                <w:sz w:val="22"/>
              </w:rPr>
            </w:pPr>
            <w:r>
              <w:rPr>
                <w:sz w:val="22"/>
              </w:rPr>
              <w:t>37.06</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2101101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行政单位医疗</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31.31</w:t>
            </w:r>
          </w:p>
        </w:tc>
        <w:tc>
          <w:tcPr>
            <w:tcW w:w="2977" w:type="dxa"/>
            <w:gridSpan w:val="2"/>
            <w:tcBorders>
              <w:top w:val="nil"/>
              <w:left w:val="nil"/>
              <w:bottom w:val="single" w:sz="6" w:space="0" w:color="000000"/>
              <w:right w:val="single" w:sz="6" w:space="0" w:color="000000"/>
            </w:tcBorders>
            <w:noWrap/>
            <w:vAlign w:val="center"/>
          </w:tcPr>
          <w:p>
            <w:pPr>
              <w:pStyle w:val="1317"/>
              <w:jc w:val="right"/>
              <w:rPr>
                <w:sz w:val="22"/>
              </w:rPr>
            </w:pPr>
            <w:r>
              <w:rPr>
                <w:sz w:val="22"/>
              </w:rPr>
              <w:t>31.31</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2101103</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公务员医疗补助</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4.82</w:t>
            </w:r>
          </w:p>
        </w:tc>
        <w:tc>
          <w:tcPr>
            <w:tcW w:w="2977" w:type="dxa"/>
            <w:gridSpan w:val="2"/>
            <w:tcBorders>
              <w:top w:val="nil"/>
              <w:left w:val="nil"/>
              <w:bottom w:val="single" w:sz="6" w:space="0" w:color="000000"/>
              <w:right w:val="single" w:sz="6" w:space="0" w:color="000000"/>
            </w:tcBorders>
            <w:noWrap/>
            <w:vAlign w:val="center"/>
          </w:tcPr>
          <w:p>
            <w:pPr>
              <w:pStyle w:val="1318"/>
              <w:jc w:val="right"/>
              <w:rPr>
                <w:sz w:val="22"/>
              </w:rPr>
            </w:pPr>
            <w:r>
              <w:rPr>
                <w:sz w:val="22"/>
              </w:rPr>
              <w:t>4.82</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2101199</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其他行政事业单位医疗支出</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0.93</w:t>
            </w:r>
          </w:p>
        </w:tc>
        <w:tc>
          <w:tcPr>
            <w:tcW w:w="2977" w:type="dxa"/>
            <w:gridSpan w:val="2"/>
            <w:tcBorders>
              <w:top w:val="nil"/>
              <w:left w:val="nil"/>
              <w:bottom w:val="single" w:sz="6" w:space="0" w:color="000000"/>
              <w:right w:val="single" w:sz="6" w:space="0" w:color="000000"/>
            </w:tcBorders>
            <w:noWrap/>
            <w:vAlign w:val="center"/>
          </w:tcPr>
          <w:p>
            <w:pPr>
              <w:pStyle w:val="1319"/>
              <w:jc w:val="right"/>
              <w:rPr>
                <w:sz w:val="22"/>
              </w:rPr>
            </w:pPr>
            <w:r>
              <w:rPr>
                <w:sz w:val="22"/>
              </w:rPr>
              <w:t>0.93</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221</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住房保障支出</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133.79</w:t>
            </w:r>
          </w:p>
        </w:tc>
        <w:tc>
          <w:tcPr>
            <w:tcW w:w="2977" w:type="dxa"/>
            <w:gridSpan w:val="2"/>
            <w:tcBorders>
              <w:top w:val="nil"/>
              <w:left w:val="nil"/>
              <w:bottom w:val="single" w:sz="6" w:space="0" w:color="000000"/>
              <w:right w:val="single" w:sz="6" w:space="0" w:color="000000"/>
            </w:tcBorders>
            <w:noWrap/>
            <w:vAlign w:val="center"/>
          </w:tcPr>
          <w:p>
            <w:pPr>
              <w:pStyle w:val="1319"/>
              <w:jc w:val="right"/>
              <w:rPr>
                <w:sz w:val="22"/>
              </w:rPr>
            </w:pPr>
            <w:r>
              <w:rPr>
                <w:sz w:val="22"/>
              </w:rPr>
              <w:t>133.79</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22102</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住房改革支出</w:t>
            </w:r>
          </w:p>
        </w:tc>
        <w:tc>
          <w:tcPr>
            <w:tcW w:w="2538" w:type="dxa"/>
            <w:tcBorders>
              <w:top w:val="nil"/>
              <w:left w:val="nil"/>
              <w:bottom w:val="single" w:sz="6" w:space="0" w:color="000000"/>
              <w:right w:val="single" w:sz="6" w:space="0" w:color="000000"/>
            </w:tcBorders>
            <w:noWrap/>
            <w:vAlign w:val="center"/>
          </w:tcPr>
          <w:p>
            <w:pPr>
              <w:pStyle w:val="1162"/>
              <w:jc w:val="right"/>
              <w:rPr>
                <w:sz w:val="22"/>
              </w:rPr>
            </w:pPr>
            <w:r>
              <w:rPr>
                <w:sz w:val="22"/>
              </w:rPr>
              <w:t>133.79</w:t>
            </w:r>
          </w:p>
        </w:tc>
        <w:tc>
          <w:tcPr>
            <w:tcW w:w="2977" w:type="dxa"/>
            <w:gridSpan w:val="2"/>
            <w:tcBorders>
              <w:top w:val="nil"/>
              <w:left w:val="nil"/>
              <w:bottom w:val="single" w:sz="6" w:space="0" w:color="000000"/>
              <w:right w:val="single" w:sz="6" w:space="0" w:color="000000"/>
            </w:tcBorders>
            <w:noWrap/>
            <w:vAlign w:val="center"/>
          </w:tcPr>
          <w:p>
            <w:pPr>
              <w:pStyle w:val="1320"/>
              <w:jc w:val="right"/>
              <w:rPr>
                <w:sz w:val="22"/>
              </w:rPr>
            </w:pPr>
            <w:r>
              <w:rPr>
                <w:sz w:val="22"/>
              </w:rPr>
              <w:t>133.79</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2210201</w:t>
            </w:r>
          </w:p>
        </w:tc>
        <w:tc>
          <w:tcPr>
            <w:tcW w:w="3981" w:type="dxa"/>
            <w:tcBorders>
              <w:top w:val="nil"/>
              <w:left w:val="nil"/>
              <w:bottom w:val="single" w:sz="6" w:space="0" w:color="000000"/>
              <w:right w:val="single" w:sz="6" w:space="0" w:color="000000"/>
            </w:tcBorders>
            <w:noWrap/>
            <w:vAlign w:val="center"/>
          </w:tcPr>
          <w:p>
            <w:pPr>
              <w:widowControl/>
              <w:ind w:firstLineChars="100" w:firstLine="220"/>
              <w:jc w:val="left"/>
              <w:rPr>
                <w:kern w:val="0"/>
                <w:sz w:val="22"/>
                <w:szCs w:val="22"/>
              </w:rPr>
            </w:pPr>
            <w:r>
              <w:rPr>
                <w:kern w:val="0"/>
                <w:sz w:val="22"/>
                <w:szCs w:val="22"/>
              </w:rPr>
              <w:t>住房公积金</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85.19</w:t>
            </w:r>
          </w:p>
        </w:tc>
        <w:tc>
          <w:tcPr>
            <w:tcW w:w="2977" w:type="dxa"/>
            <w:gridSpan w:val="2"/>
            <w:tcBorders>
              <w:top w:val="nil"/>
              <w:left w:val="nil"/>
              <w:bottom w:val="single" w:sz="6" w:space="0" w:color="000000"/>
              <w:right w:val="single" w:sz="6" w:space="0" w:color="000000"/>
            </w:tcBorders>
            <w:noWrap/>
            <w:vAlign w:val="center"/>
          </w:tcPr>
          <w:p>
            <w:pPr>
              <w:pStyle w:val="1321"/>
              <w:jc w:val="right"/>
              <w:rPr>
                <w:sz w:val="22"/>
              </w:rPr>
            </w:pPr>
            <w:r>
              <w:rPr>
                <w:sz w:val="22"/>
              </w:rPr>
              <w:t>85.19</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527" w:type="dxa"/>
            <w:gridSpan w:val="3"/>
            <w:tcBorders>
              <w:top w:val="nil"/>
              <w:left w:val="single" w:sz="6" w:space="0" w:color="000000"/>
              <w:bottom w:val="single" w:sz="6" w:space="0" w:color="000000"/>
              <w:right w:val="single" w:sz="6" w:space="0" w:color="000000"/>
            </w:tcBorders>
            <w:noWrap/>
            <w:vAlign w:val="center"/>
          </w:tcPr>
          <w:p>
            <w:pPr>
              <w:widowControl/>
              <w:jc w:val="left"/>
              <w:rPr>
                <w:kern w:val="0"/>
                <w:sz w:val="22"/>
                <w:szCs w:val="22"/>
              </w:rPr>
            </w:pPr>
            <w:r>
              <w:rPr>
                <w:kern w:val="0"/>
                <w:sz w:val="22"/>
                <w:szCs w:val="22"/>
              </w:rPr>
              <w:t>2210203</w:t>
            </w:r>
          </w:p>
        </w:tc>
        <w:tc>
          <w:tcPr>
            <w:tcW w:w="3981" w:type="dxa"/>
            <w:tcBorders>
              <w:top w:val="nil"/>
              <w:left w:val="nil"/>
              <w:bottom w:val="single" w:sz="6" w:space="0" w:color="000000"/>
              <w:right w:val="single" w:sz="6" w:space="0" w:color="000000"/>
            </w:tcBorders>
            <w:noWrap/>
            <w:vAlign w:val="center"/>
          </w:tcPr>
          <w:p>
            <w:pPr>
              <w:widowControl/>
              <w:jc w:val="left"/>
              <w:rPr>
                <w:kern w:val="0"/>
                <w:sz w:val="22"/>
                <w:szCs w:val="22"/>
              </w:rPr>
            </w:pPr>
            <w:r>
              <w:rPr>
                <w:kern w:val="0"/>
                <w:sz w:val="22"/>
                <w:szCs w:val="22"/>
              </w:rPr>
              <w:t xml:space="preserve">  购房补贴</w:t>
            </w:r>
          </w:p>
        </w:tc>
        <w:tc>
          <w:tcPr>
            <w:tcW w:w="2538" w:type="dxa"/>
            <w:tcBorders>
              <w:top w:val="nil"/>
              <w:left w:val="nil"/>
              <w:bottom w:val="single" w:sz="6" w:space="0" w:color="000000"/>
              <w:right w:val="single" w:sz="6" w:space="0" w:color="000000"/>
            </w:tcBorders>
            <w:noWrap/>
            <w:vAlign w:val="center"/>
          </w:tcPr>
          <w:p>
            <w:pPr>
              <w:jc w:val="right"/>
              <w:rPr>
                <w:sz w:val="22"/>
              </w:rPr>
            </w:pPr>
            <w:r>
              <w:rPr>
                <w:sz w:val="22"/>
              </w:rPr>
              <w:t>48..6</w:t>
            </w:r>
          </w:p>
        </w:tc>
        <w:tc>
          <w:tcPr>
            <w:tcW w:w="2977" w:type="dxa"/>
            <w:gridSpan w:val="2"/>
            <w:tcBorders>
              <w:top w:val="nil"/>
              <w:left w:val="nil"/>
              <w:bottom w:val="single" w:sz="6" w:space="0" w:color="000000"/>
              <w:right w:val="single" w:sz="6" w:space="0" w:color="000000"/>
            </w:tcBorders>
            <w:noWrap/>
            <w:vAlign w:val="center"/>
          </w:tcPr>
          <w:p>
            <w:pPr>
              <w:pStyle w:val="1322"/>
              <w:jc w:val="right"/>
              <w:rPr>
                <w:sz w:val="22"/>
              </w:rPr>
            </w:pPr>
            <w:r>
              <w:rPr>
                <w:sz w:val="22"/>
              </w:rPr>
              <w:t>48.6</w:t>
            </w:r>
          </w:p>
        </w:tc>
        <w:tc>
          <w:tcPr>
            <w:tcW w:w="2977" w:type="dxa"/>
            <w:gridSpan w:val="2"/>
            <w:tcBorders>
              <w:top w:val="nil"/>
              <w:left w:val="nil"/>
              <w:bottom w:val="single" w:sz="6" w:space="0" w:color="000000"/>
              <w:right w:val="single" w:sz="6" w:space="0" w:color="000000"/>
            </w:tcBorders>
            <w:noWrap/>
            <w:vAlign w:val="center"/>
          </w:tcPr>
          <w:p>
            <w:pPr>
              <w:jc w:val="right"/>
            </w:pPr>
          </w:p>
        </w:tc>
      </w:tr>
      <w:tr>
        <w:trPr>
          <w:trHeight w:val="240"/>
        </w:trPr>
        <w:tc>
          <w:tcPr>
            <w:tcW w:w="14000" w:type="dxa"/>
            <w:gridSpan w:val="9"/>
            <w:tcBorders>
              <w:top w:val="nil"/>
              <w:left w:val="nil"/>
              <w:bottom w:val="nil"/>
              <w:right w:val="nil"/>
            </w:tcBorders>
            <w:noWrap/>
            <w:vAlign w:val="center"/>
          </w:tcPr>
          <w:p>
            <w:pPr>
              <w:pStyle w:val="524"/>
              <w:rPr>
                <w:sz w:val="22"/>
              </w:rPr>
            </w:pPr>
            <w:r>
              <w:rPr>
                <w:sz w:val="22"/>
              </w:rPr>
              <w:t>注：本表反映单位本年度一般公共预算财政拨款支出情况。</w:t>
            </w:r>
          </w:p>
        </w:tc>
      </w:tr>
    </w:tbl>
    <w:p/>
    <w:p>
      <w:r>
        <w:br w:type="page"/>
      </w:r>
    </w:p>
    <w:tbl>
      <w:tblPr>
        <w:jc w:val="left"/>
        <w:tblW w:w="1412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88"/>
        <w:gridCol w:w="2798"/>
        <w:gridCol w:w="1260"/>
        <w:gridCol w:w="899"/>
        <w:gridCol w:w="2340"/>
        <w:gridCol w:w="1259"/>
        <w:gridCol w:w="899"/>
        <w:gridCol w:w="2523"/>
        <w:gridCol w:w="177"/>
        <w:gridCol w:w="1086"/>
      </w:tblGrid>
      <w:tr>
        <w:trPr>
          <w:trHeight w:val="589"/>
        </w:trPr>
        <w:tc>
          <w:tcPr>
            <w:tcW w:w="14129" w:type="dxa"/>
            <w:gridSpan w:val="10"/>
            <w:tcBorders>
              <w:top w:val="nil"/>
              <w:left w:val="nil"/>
              <w:bottom w:val="nil"/>
              <w:right w:val="nil"/>
            </w:tcBorders>
            <w:noWrap/>
            <w:vAlign w:val="center"/>
          </w:tcPr>
          <w:p>
            <w:pPr>
              <w:pStyle w:val="2"/>
              <w:jc w:val="center"/>
              <w:rPr>
                <w:rFonts w:ascii="Times New Roman" w:cs="Times New Roman" w:hAnsi="Times New Roman"/>
              </w:rPr>
            </w:pPr>
            <w:bookmarkStart w:id="22" w:name="_Toc44862958"/>
            <w:r>
              <w:rPr>
                <w:rFonts w:ascii="Times New Roman" w:cs="Times New Roman" w:hAnsi="Times New Roman"/>
              </w:rPr>
              <w:t>一般公共预算财政拨款基本支出决算明细表</w:t>
            </w:r>
            <w:bookmarkEnd w:id="22"/>
          </w:p>
        </w:tc>
      </w:tr>
      <w:tr>
        <w:trPr>
          <w:trHeight w:val="240"/>
        </w:trPr>
        <w:tc>
          <w:tcPr>
            <w:tcW w:w="888" w:type="dxa"/>
            <w:tcBorders>
              <w:top w:val="nil"/>
              <w:left w:val="nil"/>
              <w:bottom w:val="nil"/>
              <w:right w:val="nil"/>
            </w:tcBorders>
            <w:noWrap/>
            <w:vAlign w:val="center"/>
          </w:tcPr>
          <w:p>
            <w:pPr>
              <w:pStyle w:val="990"/>
              <w:rPr>
                <w:sz w:val="24"/>
              </w:rPr>
            </w:pPr>
          </w:p>
        </w:tc>
        <w:tc>
          <w:tcPr>
            <w:tcW w:w="2798" w:type="dxa"/>
            <w:tcBorders>
              <w:top w:val="nil"/>
              <w:left w:val="nil"/>
              <w:bottom w:val="nil"/>
              <w:right w:val="nil"/>
            </w:tcBorders>
            <w:noWrap/>
            <w:vAlign w:val="center"/>
          </w:tcPr>
          <w:p>
            <w:pPr>
              <w:pStyle w:val="989"/>
              <w:rPr>
                <w:sz w:val="24"/>
              </w:rPr>
            </w:pPr>
          </w:p>
        </w:tc>
        <w:tc>
          <w:tcPr>
            <w:tcW w:w="1260" w:type="dxa"/>
            <w:tcBorders>
              <w:top w:val="nil"/>
              <w:left w:val="nil"/>
              <w:bottom w:val="nil"/>
              <w:right w:val="nil"/>
            </w:tcBorders>
            <w:noWrap/>
            <w:vAlign w:val="center"/>
          </w:tcPr>
          <w:p>
            <w:pPr>
              <w:pStyle w:val="988"/>
              <w:rPr>
                <w:sz w:val="24"/>
              </w:rPr>
            </w:pPr>
          </w:p>
        </w:tc>
        <w:tc>
          <w:tcPr>
            <w:tcW w:w="899" w:type="dxa"/>
            <w:tcBorders>
              <w:top w:val="nil"/>
              <w:left w:val="nil"/>
              <w:bottom w:val="nil"/>
              <w:right w:val="nil"/>
            </w:tcBorders>
            <w:noWrap/>
            <w:vAlign w:val="center"/>
          </w:tcPr>
          <w:p>
            <w:pPr>
              <w:pStyle w:val="987"/>
              <w:rPr>
                <w:sz w:val="24"/>
              </w:rPr>
            </w:pPr>
          </w:p>
        </w:tc>
        <w:tc>
          <w:tcPr>
            <w:tcW w:w="2340" w:type="dxa"/>
            <w:tcBorders>
              <w:top w:val="nil"/>
              <w:left w:val="nil"/>
              <w:bottom w:val="nil"/>
              <w:right w:val="nil"/>
            </w:tcBorders>
            <w:noWrap/>
            <w:vAlign w:val="center"/>
          </w:tcPr>
          <w:p>
            <w:pPr>
              <w:pStyle w:val="986"/>
              <w:rPr>
                <w:sz w:val="24"/>
              </w:rPr>
            </w:pPr>
          </w:p>
        </w:tc>
        <w:tc>
          <w:tcPr>
            <w:tcW w:w="1259" w:type="dxa"/>
            <w:tcBorders>
              <w:top w:val="nil"/>
              <w:left w:val="nil"/>
              <w:bottom w:val="nil"/>
              <w:right w:val="nil"/>
            </w:tcBorders>
            <w:noWrap/>
            <w:vAlign w:val="center"/>
          </w:tcPr>
          <w:p>
            <w:pPr>
              <w:pStyle w:val="985"/>
              <w:rPr>
                <w:sz w:val="24"/>
              </w:rPr>
            </w:pPr>
          </w:p>
        </w:tc>
        <w:tc>
          <w:tcPr>
            <w:tcW w:w="899" w:type="dxa"/>
            <w:tcBorders>
              <w:top w:val="nil"/>
              <w:left w:val="nil"/>
              <w:bottom w:val="nil"/>
              <w:right w:val="nil"/>
            </w:tcBorders>
            <w:noWrap/>
            <w:vAlign w:val="center"/>
          </w:tcPr>
          <w:p>
            <w:pPr>
              <w:pStyle w:val="984"/>
              <w:rPr>
                <w:sz w:val="24"/>
              </w:rPr>
            </w:pPr>
          </w:p>
        </w:tc>
        <w:tc>
          <w:tcPr>
            <w:tcW w:w="2700" w:type="dxa"/>
            <w:gridSpan w:val="2"/>
            <w:tcBorders>
              <w:top w:val="nil"/>
              <w:left w:val="nil"/>
              <w:bottom w:val="nil"/>
              <w:right w:val="nil"/>
            </w:tcBorders>
            <w:noWrap/>
            <w:vAlign w:val="center"/>
          </w:tcPr>
          <w:p>
            <w:pPr>
              <w:pStyle w:val="983"/>
              <w:rPr>
                <w:sz w:val="24"/>
              </w:rPr>
            </w:pPr>
          </w:p>
        </w:tc>
        <w:tc>
          <w:tcPr>
            <w:tcW w:w="1086" w:type="dxa"/>
            <w:tcBorders>
              <w:top w:val="nil"/>
              <w:left w:val="nil"/>
              <w:bottom w:val="nil"/>
              <w:right w:val="nil"/>
            </w:tcBorders>
            <w:noWrap/>
            <w:vAlign w:val="bottom"/>
          </w:tcPr>
          <w:p>
            <w:pPr>
              <w:pStyle w:val="982"/>
              <w:jc w:val="right"/>
              <w:rPr>
                <w:sz w:val="18"/>
              </w:rPr>
            </w:pPr>
            <w:r>
              <w:rPr>
                <w:sz w:val="18"/>
              </w:rPr>
              <w:t>公开06表</w:t>
            </w:r>
          </w:p>
        </w:tc>
      </w:tr>
      <w:tr>
        <w:trPr>
          <w:trHeight w:val="240"/>
        </w:trPr>
        <w:tc>
          <w:tcPr>
            <w:tcW w:w="3686" w:type="dxa"/>
            <w:gridSpan w:val="2"/>
            <w:tcBorders>
              <w:top w:val="nil"/>
              <w:left w:val="nil"/>
              <w:bottom w:val="nil"/>
              <w:right w:val="nil"/>
            </w:tcBorders>
            <w:noWrap/>
            <w:vAlign w:val="bottom"/>
          </w:tcPr>
          <w:p>
            <w:pPr>
              <w:pStyle w:val="981"/>
              <w:rPr>
                <w:sz w:val="20"/>
              </w:rPr>
            </w:pPr>
            <w:r>
              <w:rPr>
                <w:sz w:val="20"/>
              </w:rPr>
              <w:t>单位：中华人民共和国东乌海关</w:t>
            </w:r>
          </w:p>
        </w:tc>
        <w:tc>
          <w:tcPr>
            <w:tcW w:w="1260" w:type="dxa"/>
            <w:tcBorders>
              <w:top w:val="nil"/>
              <w:left w:val="nil"/>
              <w:bottom w:val="nil"/>
              <w:right w:val="nil"/>
            </w:tcBorders>
            <w:noWrap/>
            <w:vAlign w:val="center"/>
          </w:tcPr>
          <w:p>
            <w:pPr>
              <w:pStyle w:val="980"/>
              <w:rPr>
                <w:sz w:val="24"/>
              </w:rPr>
            </w:pPr>
          </w:p>
        </w:tc>
        <w:tc>
          <w:tcPr>
            <w:tcW w:w="899" w:type="dxa"/>
            <w:tcBorders>
              <w:top w:val="nil"/>
              <w:left w:val="nil"/>
              <w:bottom w:val="nil"/>
              <w:right w:val="nil"/>
            </w:tcBorders>
            <w:noWrap/>
            <w:vAlign w:val="center"/>
          </w:tcPr>
          <w:p>
            <w:pPr>
              <w:pStyle w:val="979"/>
              <w:rPr>
                <w:sz w:val="24"/>
              </w:rPr>
            </w:pPr>
          </w:p>
        </w:tc>
        <w:tc>
          <w:tcPr>
            <w:tcW w:w="2340" w:type="dxa"/>
            <w:tcBorders>
              <w:top w:val="nil"/>
              <w:left w:val="nil"/>
              <w:bottom w:val="nil"/>
              <w:right w:val="nil"/>
            </w:tcBorders>
            <w:noWrap/>
            <w:vAlign w:val="center"/>
          </w:tcPr>
          <w:p>
            <w:pPr>
              <w:pStyle w:val="978"/>
              <w:rPr>
                <w:sz w:val="24"/>
              </w:rPr>
            </w:pPr>
          </w:p>
        </w:tc>
        <w:tc>
          <w:tcPr>
            <w:tcW w:w="1259" w:type="dxa"/>
            <w:tcBorders>
              <w:top w:val="nil"/>
              <w:left w:val="nil"/>
              <w:bottom w:val="nil"/>
              <w:right w:val="nil"/>
            </w:tcBorders>
            <w:noWrap/>
            <w:vAlign w:val="center"/>
          </w:tcPr>
          <w:p>
            <w:pPr>
              <w:pStyle w:val="977"/>
              <w:rPr>
                <w:sz w:val="24"/>
              </w:rPr>
            </w:pPr>
          </w:p>
        </w:tc>
        <w:tc>
          <w:tcPr>
            <w:tcW w:w="899" w:type="dxa"/>
            <w:tcBorders>
              <w:top w:val="nil"/>
              <w:left w:val="nil"/>
              <w:bottom w:val="nil"/>
              <w:right w:val="nil"/>
            </w:tcBorders>
            <w:noWrap/>
            <w:vAlign w:val="center"/>
          </w:tcPr>
          <w:p>
            <w:pPr>
              <w:pStyle w:val="976"/>
              <w:rPr>
                <w:sz w:val="24"/>
              </w:rPr>
            </w:pPr>
          </w:p>
        </w:tc>
        <w:tc>
          <w:tcPr>
            <w:tcW w:w="3786" w:type="dxa"/>
            <w:gridSpan w:val="3"/>
            <w:tcBorders>
              <w:top w:val="nil"/>
              <w:left w:val="nil"/>
              <w:bottom w:val="nil"/>
              <w:right w:val="nil"/>
            </w:tcBorders>
            <w:noWrap/>
            <w:vAlign w:val="center"/>
          </w:tcPr>
          <w:p>
            <w:pPr>
              <w:pStyle w:val="975"/>
              <w:jc w:val="right"/>
              <w:rPr>
                <w:sz w:val="18"/>
              </w:rPr>
            </w:pPr>
            <w:r>
              <w:rPr>
                <w:sz w:val="18"/>
              </w:rPr>
              <w:t>金额单位：万元</w:t>
            </w:r>
          </w:p>
        </w:tc>
      </w:tr>
      <w:tr>
        <w:trPr>
          <w:trHeight w:val="240"/>
        </w:trPr>
        <w:tc>
          <w:tcPr>
            <w:tcW w:w="4946" w:type="dxa"/>
            <w:gridSpan w:val="3"/>
            <w:tcBorders>
              <w:top w:val="single" w:sz="6" w:space="0" w:color="000000"/>
              <w:left w:val="single" w:sz="6" w:space="0" w:color="000000"/>
              <w:bottom w:val="single" w:sz="6" w:space="0" w:color="000000"/>
              <w:right w:val="single" w:sz="6" w:space="0" w:color="000000"/>
            </w:tcBorders>
            <w:shd w:val="clear" w:color="auto" w:fill="FFFFFF"/>
            <w:noWrap/>
            <w:vAlign w:val="center"/>
          </w:tcPr>
          <w:p>
            <w:pPr>
              <w:pStyle w:val="974"/>
              <w:jc w:val="center"/>
              <w:rPr>
                <w:sz w:val="22"/>
              </w:rPr>
            </w:pPr>
            <w:r>
              <w:rPr>
                <w:sz w:val="22"/>
              </w:rPr>
              <w:t>人员经费</w:t>
            </w:r>
          </w:p>
        </w:tc>
        <w:tc>
          <w:tcPr>
            <w:tcW w:w="9183" w:type="dxa"/>
            <w:gridSpan w:val="7"/>
            <w:tcBorders>
              <w:top w:val="single" w:sz="6" w:space="0" w:color="000000"/>
              <w:left w:val="nil"/>
              <w:bottom w:val="single" w:sz="6" w:space="0" w:color="000000"/>
              <w:right w:val="single" w:sz="6" w:space="0" w:color="000000"/>
            </w:tcBorders>
            <w:shd w:val="clear" w:color="auto" w:fill="FFFFFF"/>
            <w:noWrap/>
            <w:vAlign w:val="center"/>
          </w:tcPr>
          <w:p>
            <w:pPr>
              <w:pStyle w:val="973"/>
              <w:jc w:val="center"/>
              <w:rPr>
                <w:sz w:val="22"/>
              </w:rPr>
            </w:pPr>
            <w:r>
              <w:rPr>
                <w:sz w:val="22"/>
              </w:rPr>
              <w:t>公用经费</w:t>
            </w:r>
          </w:p>
        </w:tc>
      </w:tr>
      <w:tr>
        <w:trPr>
          <w:trHeight w:val="48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pStyle w:val="972"/>
              <w:jc w:val="center"/>
              <w:rPr>
                <w:sz w:val="22"/>
              </w:rPr>
            </w:pPr>
            <w:r>
              <w:rPr>
                <w:sz w:val="22"/>
              </w:rPr>
              <w:t>科目编码</w:t>
            </w:r>
          </w:p>
        </w:tc>
        <w:tc>
          <w:tcPr>
            <w:tcW w:w="2798" w:type="dxa"/>
            <w:tcBorders>
              <w:top w:val="nil"/>
              <w:left w:val="nil"/>
              <w:bottom w:val="single" w:sz="6" w:space="0" w:color="000000"/>
              <w:right w:val="single" w:sz="6" w:space="0" w:color="000000"/>
            </w:tcBorders>
            <w:shd w:val="clear" w:color="auto" w:fill="FFFFFF"/>
            <w:noWrap/>
            <w:vAlign w:val="center"/>
          </w:tcPr>
          <w:p>
            <w:pPr>
              <w:pStyle w:val="971"/>
              <w:jc w:val="center"/>
              <w:rPr>
                <w:sz w:val="22"/>
              </w:rPr>
            </w:pPr>
            <w:r>
              <w:rPr>
                <w:sz w:val="22"/>
              </w:rPr>
              <w:t>科目名称</w:t>
            </w:r>
          </w:p>
        </w:tc>
        <w:tc>
          <w:tcPr>
            <w:tcW w:w="1260" w:type="dxa"/>
            <w:tcBorders>
              <w:top w:val="nil"/>
              <w:left w:val="nil"/>
              <w:bottom w:val="single" w:sz="6" w:space="0" w:color="000000"/>
              <w:right w:val="single" w:sz="6" w:space="0" w:color="000000"/>
            </w:tcBorders>
            <w:shd w:val="clear" w:color="auto" w:fill="FFFFFF"/>
            <w:noWrap/>
            <w:vAlign w:val="center"/>
          </w:tcPr>
          <w:p>
            <w:pPr>
              <w:pStyle w:val="970"/>
              <w:jc w:val="center"/>
              <w:rPr>
                <w:sz w:val="22"/>
              </w:rPr>
            </w:pPr>
            <w:r>
              <w:rPr>
                <w:sz w:val="22"/>
              </w:rPr>
              <w:t>决算数</w:t>
            </w:r>
          </w:p>
        </w:tc>
        <w:tc>
          <w:tcPr>
            <w:tcW w:w="899" w:type="dxa"/>
            <w:tcBorders>
              <w:top w:val="nil"/>
              <w:left w:val="nil"/>
              <w:bottom w:val="single" w:sz="6" w:space="0" w:color="000000"/>
              <w:right w:val="single" w:sz="6" w:space="0" w:color="000000"/>
            </w:tcBorders>
            <w:shd w:val="clear" w:color="auto" w:fill="FFFFFF"/>
            <w:noWrap/>
            <w:vAlign w:val="center"/>
          </w:tcPr>
          <w:p>
            <w:pPr>
              <w:pStyle w:val="969"/>
              <w:jc w:val="center"/>
              <w:rPr>
                <w:sz w:val="22"/>
              </w:rPr>
            </w:pPr>
            <w:r>
              <w:rPr>
                <w:sz w:val="22"/>
              </w:rPr>
              <w:t>科目编码</w:t>
            </w:r>
          </w:p>
        </w:tc>
        <w:tc>
          <w:tcPr>
            <w:tcW w:w="2340" w:type="dxa"/>
            <w:tcBorders>
              <w:top w:val="nil"/>
              <w:left w:val="nil"/>
              <w:bottom w:val="single" w:sz="6" w:space="0" w:color="000000"/>
              <w:right w:val="single" w:sz="6" w:space="0" w:color="000000"/>
            </w:tcBorders>
            <w:shd w:val="clear" w:color="auto" w:fill="FFFFFF"/>
            <w:noWrap/>
            <w:vAlign w:val="center"/>
          </w:tcPr>
          <w:p>
            <w:pPr>
              <w:pStyle w:val="968"/>
              <w:jc w:val="center"/>
              <w:rPr>
                <w:sz w:val="22"/>
              </w:rPr>
            </w:pPr>
            <w:r>
              <w:rPr>
                <w:sz w:val="22"/>
              </w:rPr>
              <w:t>科目名称</w:t>
            </w:r>
          </w:p>
        </w:tc>
        <w:tc>
          <w:tcPr>
            <w:tcW w:w="1259" w:type="dxa"/>
            <w:tcBorders>
              <w:top w:val="nil"/>
              <w:left w:val="nil"/>
              <w:bottom w:val="single" w:sz="6" w:space="0" w:color="000000"/>
              <w:right w:val="single" w:sz="6" w:space="0" w:color="000000"/>
            </w:tcBorders>
            <w:shd w:val="clear" w:color="auto" w:fill="FFFFFF"/>
            <w:noWrap/>
            <w:vAlign w:val="center"/>
          </w:tcPr>
          <w:p>
            <w:pPr>
              <w:pStyle w:val="967"/>
              <w:jc w:val="center"/>
              <w:rPr>
                <w:sz w:val="22"/>
              </w:rPr>
            </w:pPr>
            <w:r>
              <w:rPr>
                <w:sz w:val="22"/>
              </w:rPr>
              <w:t>决算数</w:t>
            </w:r>
          </w:p>
        </w:tc>
        <w:tc>
          <w:tcPr>
            <w:tcW w:w="899" w:type="dxa"/>
            <w:tcBorders>
              <w:top w:val="nil"/>
              <w:left w:val="nil"/>
              <w:bottom w:val="single" w:sz="6" w:space="0" w:color="000000"/>
              <w:right w:val="single" w:sz="6" w:space="0" w:color="000000"/>
            </w:tcBorders>
            <w:shd w:val="clear" w:color="auto" w:fill="FFFFFF"/>
            <w:noWrap/>
            <w:vAlign w:val="center"/>
          </w:tcPr>
          <w:p>
            <w:pPr>
              <w:pStyle w:val="966"/>
              <w:jc w:val="center"/>
              <w:rPr>
                <w:sz w:val="22"/>
              </w:rPr>
            </w:pPr>
            <w:r>
              <w:rPr>
                <w:sz w:val="22"/>
              </w:rPr>
              <w:t>科目编码</w:t>
            </w:r>
          </w:p>
        </w:tc>
        <w:tc>
          <w:tcPr>
            <w:tcW w:w="2523" w:type="dxa"/>
            <w:tcBorders>
              <w:top w:val="nil"/>
              <w:left w:val="nil"/>
              <w:bottom w:val="single" w:sz="6" w:space="0" w:color="000000"/>
              <w:right w:val="single" w:sz="6" w:space="0" w:color="000000"/>
            </w:tcBorders>
            <w:shd w:val="clear" w:color="auto" w:fill="FFFFFF"/>
            <w:noWrap/>
            <w:vAlign w:val="center"/>
          </w:tcPr>
          <w:p>
            <w:pPr>
              <w:pStyle w:val="965"/>
              <w:jc w:val="center"/>
              <w:rPr>
                <w:sz w:val="22"/>
              </w:rPr>
            </w:pPr>
            <w:r>
              <w:rPr>
                <w:sz w:val="22"/>
              </w:rPr>
              <w:t>科目名称</w:t>
            </w:r>
          </w:p>
        </w:tc>
        <w:tc>
          <w:tcPr>
            <w:tcW w:w="1263" w:type="dxa"/>
            <w:gridSpan w:val="2"/>
            <w:tcBorders>
              <w:top w:val="nil"/>
              <w:left w:val="nil"/>
              <w:bottom w:val="single" w:sz="6" w:space="0" w:color="000000"/>
              <w:right w:val="single" w:sz="6" w:space="0" w:color="000000"/>
            </w:tcBorders>
            <w:shd w:val="clear" w:color="auto" w:fill="FFFFFF"/>
            <w:noWrap/>
            <w:vAlign w:val="center"/>
          </w:tcPr>
          <w:p>
            <w:pPr>
              <w:pStyle w:val="964"/>
              <w:jc w:val="center"/>
              <w:rPr>
                <w:sz w:val="22"/>
              </w:rPr>
            </w:pPr>
            <w:r>
              <w:rPr>
                <w:sz w:val="22"/>
              </w:rPr>
              <w:t>决算数</w:t>
            </w: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工资福利支出</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881.06</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商品和服务支出</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316.69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307</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债务利息及费用支出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30101</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基本工资</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154.47</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30201</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办公费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21.45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30701</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国内债务付息</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30102</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津贴补贴</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489.05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30202</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印刷费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0.32</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30702</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国外债务付息</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30103</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奖金</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30203</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咨询费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资本性支出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14.8</w:t>
            </w: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30106</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伙食补助费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30204</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手续费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31001</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房屋建筑物购建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30107</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绩效工资</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30205</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水费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0.44</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31002</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办公设备购置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14.8</w:t>
            </w: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30108</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机关事业单位基本养老保险缴费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75.88</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30206</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电费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15.36</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31003</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专用设备购置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30109</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职业年金缴费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37.15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30207</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邮电费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2.47</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31005</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基础设施建设</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30110</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职工基本医疗保险缴费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31.31</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30208</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取暖费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37.44</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31006</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大型修缮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30111</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公务员医疗补助缴费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4.82</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30209</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物业管理费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6.25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31007</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信息网络及软件购置更新</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30112</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其他社会保障缴费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0.93</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30211</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差旅费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22.57</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31008</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物资储备</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30113</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住房公积金</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85.19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30212</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因公出国（境）费用</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31009</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土地补偿</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30114</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医疗费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30213</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维修（护）费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8.00</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31010</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安置补助</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30199</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其他工资福利支出</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2.26</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30214</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租赁费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8.75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31011</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地上附着物和青苗补偿</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对个人和家庭的补助</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0.19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30215</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会议费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31012</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拆迁补偿</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30301</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离休费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30216</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培训费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31013</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公务用车购置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30302</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退休费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0.19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30217</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公务接待费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0.19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31019</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其他交通工具购置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30303</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退职（役）费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30218</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专用材料费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3.29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31021</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文物和陈列品购置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30304</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抚恤金</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30224</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被装购置费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0.95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31022</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无形资产购置</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30305</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生活补助</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30225</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专用燃料费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31099</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其他资本性支出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30306</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救济费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30226</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劳务费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5.05</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399</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其他支出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30307</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医疗费补助</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30227</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委托业务费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21.39</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39906</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赠与</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92"/>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30308</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助学金</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30228</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工会经费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16.66</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39907</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国家赔偿费用支出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30309</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奖励金</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30229</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福利费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62.67</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39908</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对民间非营利组织和群众性自治组织补贴</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30310</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个人农业生产补贴</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30231</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公务用车运行维护费</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9.74</w:t>
            </w:r>
          </w:p>
        </w:tc>
        <w:tc>
          <w:tcPr>
            <w:tcW w:w="899" w:type="dxa"/>
            <w:tcBorders>
              <w:top w:val="nil"/>
              <w:left w:val="nil"/>
              <w:bottom w:val="single" w:sz="6" w:space="0" w:color="000000"/>
              <w:right w:val="single" w:sz="6" w:space="0" w:color="000000"/>
            </w:tcBorders>
            <w:shd w:val="clear" w:color="auto" w:fill="FFFFFF"/>
            <w:noWrap/>
            <w:vAlign w:val="center"/>
          </w:tcPr>
          <w:p>
            <w:pPr>
              <w:rPr>
                <w:sz w:val="22"/>
              </w:rPr>
            </w:pPr>
            <w:r>
              <w:rPr>
                <w:spacing w:val="28"/>
                <w:kern w:val="0"/>
                <w:sz w:val="22"/>
              </w:rPr>
              <w:t>3990</w:t>
            </w:r>
            <w:r>
              <w:rPr>
                <w:spacing w:val="2"/>
                <w:kern w:val="0"/>
                <w:sz w:val="22"/>
              </w:rPr>
              <w:t>9</w:t>
            </w:r>
          </w:p>
        </w:tc>
        <w:tc>
          <w:tcPr>
            <w:tcW w:w="2523" w:type="dxa"/>
            <w:tcBorders>
              <w:top w:val="nil"/>
              <w:left w:val="nil"/>
              <w:bottom w:val="single" w:sz="6" w:space="0" w:color="000000"/>
              <w:right w:val="single" w:sz="6" w:space="0" w:color="000000"/>
            </w:tcBorders>
            <w:shd w:val="clear" w:color="auto" w:fill="FFFFFF"/>
            <w:noWrap/>
            <w:vAlign w:val="center"/>
          </w:tcPr>
          <w:p>
            <w:pPr>
              <w:ind w:firstLineChars="100" w:firstLine="220"/>
              <w:rPr>
                <w:sz w:val="22"/>
              </w:rPr>
            </w:pPr>
            <w:r>
              <w:rPr>
                <w:kern w:val="0"/>
                <w:sz w:val="22"/>
              </w:rPr>
              <w:t>经常性赠与</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30311</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代缴社会保险费</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30239</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其他交通费用</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62.51</w:t>
            </w:r>
          </w:p>
        </w:tc>
        <w:tc>
          <w:tcPr>
            <w:tcW w:w="899" w:type="dxa"/>
            <w:tcBorders>
              <w:top w:val="nil"/>
              <w:left w:val="nil"/>
              <w:bottom w:val="single" w:sz="6" w:space="0" w:color="000000"/>
              <w:right w:val="single" w:sz="6" w:space="0" w:color="000000"/>
            </w:tcBorders>
            <w:shd w:val="clear" w:color="auto" w:fill="FFFFFF"/>
            <w:noWrap/>
            <w:vAlign w:val="center"/>
          </w:tcPr>
          <w:p>
            <w:pPr>
              <w:rPr>
                <w:sz w:val="22"/>
              </w:rPr>
            </w:pPr>
            <w:r>
              <w:rPr>
                <w:spacing w:val="28"/>
                <w:kern w:val="0"/>
                <w:sz w:val="22"/>
              </w:rPr>
              <w:t>3991</w:t>
            </w:r>
            <w:r>
              <w:rPr>
                <w:spacing w:val="2"/>
                <w:kern w:val="0"/>
                <w:sz w:val="22"/>
              </w:rPr>
              <w:t>0</w:t>
            </w:r>
          </w:p>
        </w:tc>
        <w:tc>
          <w:tcPr>
            <w:tcW w:w="2523" w:type="dxa"/>
            <w:tcBorders>
              <w:top w:val="nil"/>
              <w:left w:val="nil"/>
              <w:bottom w:val="single" w:sz="6" w:space="0" w:color="000000"/>
              <w:right w:val="single" w:sz="6" w:space="0" w:color="000000"/>
            </w:tcBorders>
            <w:shd w:val="clear" w:color="auto" w:fill="FFFFFF"/>
            <w:noWrap/>
            <w:vAlign w:val="center"/>
          </w:tcPr>
          <w:p>
            <w:pPr>
              <w:ind w:firstLineChars="100" w:firstLine="220"/>
              <w:rPr>
                <w:kern w:val="0"/>
                <w:sz w:val="22"/>
                <w:szCs w:val="22"/>
              </w:rPr>
            </w:pPr>
            <w:r>
              <w:rPr>
                <w:kern w:val="0"/>
                <w:sz w:val="22"/>
                <w:szCs w:val="22"/>
              </w:rPr>
              <w:t>资本性赠与</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sz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30399</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其他对个人和家庭的补助</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30240</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税金及附加费用</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rPr>
                <w:sz w:val="22"/>
              </w:rPr>
            </w:pPr>
            <w:r>
              <w:rPr>
                <w:spacing w:val="28"/>
                <w:kern w:val="0"/>
                <w:sz w:val="22"/>
              </w:rPr>
              <w:t>3999</w:t>
            </w:r>
            <w:r>
              <w:rPr>
                <w:spacing w:val="2"/>
                <w:kern w:val="0"/>
                <w:sz w:val="22"/>
              </w:rPr>
              <w:t>9</w:t>
            </w:r>
          </w:p>
        </w:tc>
        <w:tc>
          <w:tcPr>
            <w:tcW w:w="2523" w:type="dxa"/>
            <w:tcBorders>
              <w:top w:val="nil"/>
              <w:left w:val="nil"/>
              <w:bottom w:val="single" w:sz="6" w:space="0" w:color="000000"/>
              <w:right w:val="single" w:sz="6" w:space="0" w:color="000000"/>
            </w:tcBorders>
            <w:shd w:val="clear" w:color="auto" w:fill="FFFFFF"/>
            <w:noWrap/>
            <w:vAlign w:val="center"/>
          </w:tcPr>
          <w:p>
            <w:pPr>
              <w:ind w:firstLineChars="100" w:firstLine="220"/>
              <w:rPr>
                <w:kern w:val="0"/>
                <w:sz w:val="22"/>
                <w:szCs w:val="22"/>
              </w:rPr>
            </w:pPr>
            <w:r>
              <w:rPr>
                <w:kern w:val="0"/>
                <w:sz w:val="22"/>
                <w:szCs w:val="22"/>
              </w:rPr>
              <w:t>其他支出</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888" w:type="dxa"/>
            <w:tcBorders>
              <w:top w:val="nil"/>
              <w:left w:val="single" w:sz="6" w:space="0" w:color="000000"/>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w:t>
            </w:r>
          </w:p>
        </w:tc>
        <w:tc>
          <w:tcPr>
            <w:tcW w:w="2798"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30299</w:t>
            </w:r>
          </w:p>
        </w:tc>
        <w:tc>
          <w:tcPr>
            <w:tcW w:w="2340"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xml:space="preserve">  其他商品和服务支出</w:t>
            </w:r>
          </w:p>
        </w:tc>
        <w:tc>
          <w:tcPr>
            <w:tcW w:w="1259"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11.21</w:t>
            </w:r>
          </w:p>
        </w:tc>
        <w:tc>
          <w:tcPr>
            <w:tcW w:w="899"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w:t>
            </w:r>
          </w:p>
        </w:tc>
        <w:tc>
          <w:tcPr>
            <w:tcW w:w="2523" w:type="dxa"/>
            <w:tcBorders>
              <w:top w:val="nil"/>
              <w:left w:val="nil"/>
              <w:bottom w:val="single" w:sz="6" w:space="0" w:color="000000"/>
              <w:right w:val="single" w:sz="6" w:space="0" w:color="000000"/>
            </w:tcBorders>
            <w:shd w:val="clear" w:color="auto" w:fill="FFFFFF"/>
            <w:noWrap/>
            <w:vAlign w:val="center"/>
          </w:tcPr>
          <w:p>
            <w:pPr>
              <w:widowControl/>
              <w:jc w:val="left"/>
              <w:rPr>
                <w:kern w:val="0"/>
                <w:sz w:val="22"/>
                <w:szCs w:val="22"/>
              </w:rPr>
            </w:pPr>
            <w:r>
              <w:rPr>
                <w:kern w:val="0"/>
                <w:sz w:val="22"/>
                <w:szCs w:val="22"/>
              </w:rPr>
              <w:t>　</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p>
        </w:tc>
      </w:tr>
      <w:tr>
        <w:trPr>
          <w:trHeight w:val="240"/>
        </w:trPr>
        <w:tc>
          <w:tcPr>
            <w:tcW w:w="3686" w:type="dxa"/>
            <w:gridSpan w:val="2"/>
            <w:tcBorders>
              <w:top w:val="nil"/>
              <w:left w:val="single" w:sz="6" w:space="0" w:color="000000"/>
              <w:bottom w:val="single" w:sz="6" w:space="0" w:color="000000"/>
              <w:right w:val="single" w:sz="6" w:space="0" w:color="000000"/>
            </w:tcBorders>
            <w:shd w:val="clear" w:color="auto" w:fill="FFFFFF"/>
            <w:noWrap/>
            <w:vAlign w:val="center"/>
          </w:tcPr>
          <w:p>
            <w:pPr>
              <w:widowControl/>
              <w:jc w:val="center"/>
              <w:rPr>
                <w:kern w:val="0"/>
                <w:sz w:val="22"/>
                <w:szCs w:val="22"/>
              </w:rPr>
            </w:pPr>
            <w:r>
              <w:rPr>
                <w:kern w:val="0"/>
                <w:sz w:val="22"/>
                <w:szCs w:val="22"/>
              </w:rPr>
              <w:t>人员经费合计</w:t>
            </w:r>
          </w:p>
        </w:tc>
        <w:tc>
          <w:tcPr>
            <w:tcW w:w="1260" w:type="dxa"/>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881.25</w:t>
            </w:r>
          </w:p>
        </w:tc>
        <w:tc>
          <w:tcPr>
            <w:tcW w:w="7920" w:type="dxa"/>
            <w:gridSpan w:val="5"/>
            <w:tcBorders>
              <w:top w:val="nil"/>
              <w:left w:val="nil"/>
              <w:bottom w:val="single" w:sz="6" w:space="0" w:color="000000"/>
              <w:right w:val="single" w:sz="6" w:space="0" w:color="000000"/>
            </w:tcBorders>
            <w:shd w:val="clear" w:color="auto" w:fill="FFFFFF"/>
            <w:noWrap/>
            <w:vAlign w:val="center"/>
          </w:tcPr>
          <w:p>
            <w:pPr>
              <w:widowControl/>
              <w:jc w:val="center"/>
              <w:rPr>
                <w:kern w:val="0"/>
                <w:sz w:val="22"/>
                <w:szCs w:val="22"/>
              </w:rPr>
            </w:pPr>
            <w:r>
              <w:rPr>
                <w:kern w:val="0"/>
                <w:sz w:val="22"/>
                <w:szCs w:val="22"/>
              </w:rPr>
              <w:t>公用经费合计</w:t>
            </w:r>
          </w:p>
        </w:tc>
        <w:tc>
          <w:tcPr>
            <w:tcW w:w="1263" w:type="dxa"/>
            <w:gridSpan w:val="2"/>
            <w:tcBorders>
              <w:top w:val="nil"/>
              <w:left w:val="nil"/>
              <w:bottom w:val="single" w:sz="6" w:space="0" w:color="000000"/>
              <w:right w:val="single" w:sz="6" w:space="0" w:color="000000"/>
            </w:tcBorders>
            <w:shd w:val="clear" w:color="auto" w:fill="FFFFFF"/>
            <w:noWrap/>
            <w:vAlign w:val="center"/>
          </w:tcPr>
          <w:p>
            <w:pPr>
              <w:widowControl/>
              <w:jc w:val="right"/>
              <w:rPr>
                <w:kern w:val="0"/>
                <w:sz w:val="22"/>
                <w:szCs w:val="22"/>
              </w:rPr>
            </w:pPr>
            <w:r>
              <w:rPr>
                <w:kern w:val="0"/>
                <w:sz w:val="22"/>
                <w:szCs w:val="22"/>
              </w:rPr>
              <w:t>331.49</w:t>
            </w:r>
          </w:p>
        </w:tc>
      </w:tr>
      <w:tr>
        <w:trPr>
          <w:trHeight w:val="240"/>
        </w:trPr>
        <w:tc>
          <w:tcPr>
            <w:tcW w:w="14129" w:type="dxa"/>
            <w:gridSpan w:val="10"/>
            <w:tcBorders>
              <w:top w:val="nil"/>
              <w:left w:val="nil"/>
              <w:bottom w:val="nil"/>
              <w:right w:val="nil"/>
            </w:tcBorders>
            <w:noWrap/>
            <w:vAlign w:val="center"/>
          </w:tcPr>
          <w:p>
            <w:pPr>
              <w:pStyle w:val="707"/>
              <w:rPr>
                <w:sz w:val="22"/>
              </w:rPr>
            </w:pPr>
            <w:r>
              <w:rPr>
                <w:sz w:val="22"/>
              </w:rPr>
              <w:t>注：本表反映单位本年度一般公共预算财政拨款基本支出明细情况。</w:t>
            </w:r>
          </w:p>
        </w:tc>
      </w:tr>
    </w:tbl>
    <w:p/>
    <w:p>
      <w:r>
        <w:br w:type="page"/>
      </w:r>
    </w:p>
    <w:tbl>
      <w:tblPr>
        <w:jc w:val="left"/>
        <w:tblW w:w="5000"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2250"/>
        <w:gridCol w:w="236"/>
        <w:gridCol w:w="236"/>
        <w:gridCol w:w="4897"/>
        <w:gridCol w:w="1388"/>
        <w:gridCol w:w="953"/>
        <w:gridCol w:w="921"/>
        <w:gridCol w:w="953"/>
        <w:gridCol w:w="1075"/>
        <w:gridCol w:w="1267"/>
      </w:tblGrid>
      <w:tr>
        <w:trPr>
          <w:trHeight w:val="745"/>
        </w:trPr>
        <w:tc>
          <w:tcPr>
            <w:tcW w:w="14176" w:type="dxa"/>
            <w:gridSpan w:val="10"/>
            <w:tcBorders>
              <w:top w:val="nil"/>
              <w:left w:val="nil"/>
              <w:bottom w:val="nil"/>
              <w:right w:val="nil"/>
            </w:tcBorders>
            <w:noWrap/>
            <w:vAlign w:val="center"/>
          </w:tcPr>
          <w:p>
            <w:pPr>
              <w:pStyle w:val="2"/>
              <w:jc w:val="center"/>
              <w:rPr>
                <w:rFonts w:ascii="Times New Roman" w:cs="Times New Roman" w:hAnsi="Times New Roman"/>
                <w:kern w:val="0"/>
              </w:rPr>
            </w:pPr>
            <w:bookmarkStart w:id="23" w:name="_Toc44862959"/>
            <w:r>
              <w:rPr>
                <w:rFonts w:ascii="Times New Roman" w:cs="Times New Roman" w:hAnsi="Times New Roman"/>
                <w:kern w:val="0"/>
              </w:rPr>
              <w:t>政府性基金预算财政拨款收入支出决算表</w:t>
            </w:r>
            <w:bookmarkEnd w:id="23"/>
          </w:p>
        </w:tc>
      </w:tr>
      <w:tr>
        <w:trPr>
          <w:trHeight w:val="255"/>
        </w:trPr>
        <w:tc>
          <w:tcPr>
            <w:tcW w:w="2250" w:type="dxa"/>
            <w:tcBorders>
              <w:top w:val="nil"/>
              <w:left w:val="nil"/>
              <w:bottom w:val="nil"/>
              <w:right w:val="nil"/>
            </w:tcBorders>
            <w:noWrap/>
            <w:vAlign w:val="bottom"/>
          </w:tcPr>
          <w:p>
            <w:pPr>
              <w:pStyle w:val="992"/>
              <w:widowControl/>
              <w:jc w:val="left"/>
              <w:rPr>
                <w:kern w:val="0"/>
                <w:sz w:val="20"/>
                <w:szCs w:val="20"/>
              </w:rPr>
            </w:pPr>
          </w:p>
        </w:tc>
        <w:tc>
          <w:tcPr>
            <w:tcW w:w="236" w:type="dxa"/>
            <w:tcBorders>
              <w:top w:val="nil"/>
              <w:left w:val="nil"/>
              <w:bottom w:val="nil"/>
              <w:right w:val="nil"/>
            </w:tcBorders>
            <w:noWrap/>
            <w:vAlign w:val="bottom"/>
          </w:tcPr>
          <w:p>
            <w:pPr>
              <w:pStyle w:val="992"/>
              <w:widowControl/>
              <w:jc w:val="left"/>
              <w:rPr>
                <w:kern w:val="0"/>
                <w:sz w:val="20"/>
                <w:szCs w:val="20"/>
              </w:rPr>
            </w:pPr>
          </w:p>
        </w:tc>
        <w:tc>
          <w:tcPr>
            <w:tcW w:w="236" w:type="dxa"/>
            <w:tcBorders>
              <w:top w:val="nil"/>
              <w:left w:val="nil"/>
              <w:bottom w:val="nil"/>
              <w:right w:val="nil"/>
            </w:tcBorders>
            <w:noWrap/>
            <w:vAlign w:val="bottom"/>
          </w:tcPr>
          <w:p>
            <w:pPr>
              <w:pStyle w:val="992"/>
              <w:widowControl/>
              <w:jc w:val="left"/>
              <w:rPr>
                <w:kern w:val="0"/>
                <w:sz w:val="20"/>
                <w:szCs w:val="20"/>
              </w:rPr>
            </w:pPr>
          </w:p>
        </w:tc>
        <w:tc>
          <w:tcPr>
            <w:tcW w:w="4897" w:type="dxa"/>
            <w:tcBorders>
              <w:top w:val="nil"/>
              <w:left w:val="nil"/>
              <w:bottom w:val="nil"/>
              <w:right w:val="nil"/>
            </w:tcBorders>
            <w:noWrap/>
            <w:vAlign w:val="bottom"/>
          </w:tcPr>
          <w:p>
            <w:pPr>
              <w:pStyle w:val="992"/>
              <w:widowControl/>
              <w:jc w:val="left"/>
              <w:rPr>
                <w:kern w:val="0"/>
                <w:sz w:val="20"/>
                <w:szCs w:val="20"/>
              </w:rPr>
            </w:pPr>
          </w:p>
        </w:tc>
        <w:tc>
          <w:tcPr>
            <w:tcW w:w="1388" w:type="dxa"/>
            <w:tcBorders>
              <w:top w:val="nil"/>
              <w:left w:val="nil"/>
              <w:bottom w:val="nil"/>
              <w:right w:val="nil"/>
            </w:tcBorders>
            <w:noWrap/>
            <w:vAlign w:val="bottom"/>
          </w:tcPr>
          <w:p>
            <w:pPr>
              <w:pStyle w:val="992"/>
              <w:widowControl/>
              <w:jc w:val="left"/>
              <w:rPr>
                <w:kern w:val="0"/>
                <w:sz w:val="20"/>
                <w:szCs w:val="20"/>
              </w:rPr>
            </w:pPr>
          </w:p>
        </w:tc>
        <w:tc>
          <w:tcPr>
            <w:tcW w:w="953" w:type="dxa"/>
            <w:tcBorders>
              <w:top w:val="nil"/>
              <w:left w:val="nil"/>
              <w:bottom w:val="nil"/>
              <w:right w:val="nil"/>
            </w:tcBorders>
            <w:noWrap/>
            <w:vAlign w:val="bottom"/>
          </w:tcPr>
          <w:p>
            <w:pPr>
              <w:pStyle w:val="992"/>
              <w:widowControl/>
              <w:jc w:val="left"/>
              <w:rPr>
                <w:kern w:val="0"/>
                <w:sz w:val="20"/>
                <w:szCs w:val="20"/>
              </w:rPr>
            </w:pPr>
          </w:p>
        </w:tc>
        <w:tc>
          <w:tcPr>
            <w:tcW w:w="921" w:type="dxa"/>
            <w:tcBorders>
              <w:top w:val="nil"/>
              <w:left w:val="nil"/>
              <w:bottom w:val="nil"/>
              <w:right w:val="nil"/>
            </w:tcBorders>
            <w:noWrap/>
            <w:vAlign w:val="bottom"/>
          </w:tcPr>
          <w:p>
            <w:pPr>
              <w:pStyle w:val="992"/>
              <w:widowControl/>
              <w:jc w:val="left"/>
              <w:rPr>
                <w:kern w:val="0"/>
                <w:sz w:val="20"/>
                <w:szCs w:val="20"/>
              </w:rPr>
            </w:pPr>
          </w:p>
        </w:tc>
        <w:tc>
          <w:tcPr>
            <w:tcW w:w="953" w:type="dxa"/>
            <w:tcBorders>
              <w:top w:val="nil"/>
              <w:left w:val="nil"/>
              <w:bottom w:val="nil"/>
              <w:right w:val="nil"/>
            </w:tcBorders>
            <w:noWrap/>
            <w:vAlign w:val="bottom"/>
          </w:tcPr>
          <w:p>
            <w:pPr>
              <w:pStyle w:val="992"/>
              <w:widowControl/>
              <w:jc w:val="left"/>
              <w:rPr>
                <w:kern w:val="0"/>
                <w:sz w:val="20"/>
                <w:szCs w:val="20"/>
              </w:rPr>
            </w:pPr>
          </w:p>
        </w:tc>
        <w:tc>
          <w:tcPr>
            <w:tcW w:w="2342" w:type="dxa"/>
            <w:gridSpan w:val="2"/>
            <w:tcBorders>
              <w:top w:val="nil"/>
              <w:left w:val="nil"/>
              <w:bottom w:val="nil"/>
              <w:right w:val="nil"/>
            </w:tcBorders>
            <w:noWrap/>
            <w:vAlign w:val="bottom"/>
          </w:tcPr>
          <w:p>
            <w:pPr>
              <w:pStyle w:val="992"/>
              <w:widowControl/>
              <w:jc w:val="right"/>
              <w:rPr>
                <w:kern w:val="0"/>
                <w:sz w:val="20"/>
                <w:szCs w:val="20"/>
              </w:rPr>
            </w:pPr>
            <w:r>
              <w:rPr>
                <w:kern w:val="0"/>
                <w:sz w:val="20"/>
                <w:szCs w:val="20"/>
              </w:rPr>
              <w:t>公开07表</w:t>
            </w:r>
          </w:p>
        </w:tc>
      </w:tr>
      <w:tr>
        <w:trPr>
          <w:trHeight w:val="255"/>
        </w:trPr>
        <w:tc>
          <w:tcPr>
            <w:tcW w:w="2250" w:type="dxa"/>
            <w:tcBorders>
              <w:top w:val="nil"/>
              <w:left w:val="nil"/>
              <w:bottom w:val="nil"/>
              <w:right w:val="nil"/>
            </w:tcBorders>
            <w:noWrap/>
            <w:vAlign w:val="bottom"/>
          </w:tcPr>
          <w:p>
            <w:pPr>
              <w:pStyle w:val="992"/>
              <w:widowControl/>
              <w:jc w:val="left"/>
              <w:rPr>
                <w:kern w:val="0"/>
                <w:sz w:val="20"/>
                <w:szCs w:val="20"/>
              </w:rPr>
            </w:pPr>
            <w:r>
              <w:rPr>
                <w:kern w:val="0"/>
                <w:sz w:val="20"/>
                <w:szCs w:val="20"/>
              </w:rPr>
              <w:t>单位：中华人民共和国东乌海关</w:t>
            </w:r>
          </w:p>
        </w:tc>
        <w:tc>
          <w:tcPr>
            <w:tcW w:w="236" w:type="dxa"/>
            <w:tcBorders>
              <w:top w:val="nil"/>
              <w:left w:val="nil"/>
              <w:bottom w:val="nil"/>
              <w:right w:val="nil"/>
            </w:tcBorders>
            <w:noWrap/>
            <w:vAlign w:val="bottom"/>
          </w:tcPr>
          <w:p>
            <w:pPr>
              <w:pStyle w:val="992"/>
              <w:widowControl/>
              <w:jc w:val="left"/>
              <w:rPr>
                <w:kern w:val="0"/>
                <w:sz w:val="20"/>
                <w:szCs w:val="20"/>
              </w:rPr>
            </w:pPr>
          </w:p>
        </w:tc>
        <w:tc>
          <w:tcPr>
            <w:tcW w:w="236" w:type="dxa"/>
            <w:tcBorders>
              <w:top w:val="nil"/>
              <w:left w:val="nil"/>
              <w:bottom w:val="nil"/>
              <w:right w:val="nil"/>
            </w:tcBorders>
            <w:noWrap/>
            <w:vAlign w:val="bottom"/>
          </w:tcPr>
          <w:p>
            <w:pPr>
              <w:pStyle w:val="992"/>
              <w:widowControl/>
              <w:jc w:val="left"/>
              <w:rPr>
                <w:kern w:val="0"/>
                <w:sz w:val="20"/>
                <w:szCs w:val="20"/>
              </w:rPr>
            </w:pPr>
          </w:p>
        </w:tc>
        <w:tc>
          <w:tcPr>
            <w:tcW w:w="4897" w:type="dxa"/>
            <w:tcBorders>
              <w:top w:val="nil"/>
              <w:left w:val="nil"/>
              <w:bottom w:val="nil"/>
              <w:right w:val="nil"/>
            </w:tcBorders>
            <w:noWrap/>
            <w:vAlign w:val="bottom"/>
          </w:tcPr>
          <w:p>
            <w:pPr>
              <w:pStyle w:val="992"/>
              <w:widowControl/>
              <w:jc w:val="left"/>
              <w:rPr>
                <w:kern w:val="0"/>
                <w:sz w:val="20"/>
                <w:szCs w:val="20"/>
              </w:rPr>
            </w:pPr>
          </w:p>
        </w:tc>
        <w:tc>
          <w:tcPr>
            <w:tcW w:w="1388" w:type="dxa"/>
            <w:tcBorders>
              <w:top w:val="nil"/>
              <w:left w:val="nil"/>
              <w:bottom w:val="nil"/>
              <w:right w:val="nil"/>
            </w:tcBorders>
            <w:noWrap/>
            <w:vAlign w:val="bottom"/>
          </w:tcPr>
          <w:p>
            <w:pPr>
              <w:pStyle w:val="992"/>
              <w:widowControl/>
              <w:jc w:val="left"/>
              <w:rPr>
                <w:kern w:val="0"/>
                <w:sz w:val="20"/>
                <w:szCs w:val="20"/>
              </w:rPr>
            </w:pPr>
          </w:p>
        </w:tc>
        <w:tc>
          <w:tcPr>
            <w:tcW w:w="953" w:type="dxa"/>
            <w:tcBorders>
              <w:top w:val="nil"/>
              <w:left w:val="nil"/>
              <w:bottom w:val="nil"/>
              <w:right w:val="nil"/>
            </w:tcBorders>
            <w:noWrap/>
            <w:vAlign w:val="bottom"/>
          </w:tcPr>
          <w:p>
            <w:pPr>
              <w:pStyle w:val="992"/>
              <w:widowControl/>
              <w:jc w:val="left"/>
              <w:rPr>
                <w:kern w:val="0"/>
                <w:sz w:val="20"/>
                <w:szCs w:val="20"/>
              </w:rPr>
            </w:pPr>
          </w:p>
        </w:tc>
        <w:tc>
          <w:tcPr>
            <w:tcW w:w="921" w:type="dxa"/>
            <w:tcBorders>
              <w:top w:val="nil"/>
              <w:left w:val="nil"/>
              <w:bottom w:val="nil"/>
              <w:right w:val="nil"/>
            </w:tcBorders>
            <w:noWrap/>
            <w:vAlign w:val="bottom"/>
          </w:tcPr>
          <w:p>
            <w:pPr>
              <w:pStyle w:val="992"/>
              <w:widowControl/>
              <w:jc w:val="left"/>
              <w:rPr>
                <w:kern w:val="0"/>
                <w:sz w:val="20"/>
                <w:szCs w:val="20"/>
              </w:rPr>
            </w:pPr>
          </w:p>
        </w:tc>
        <w:tc>
          <w:tcPr>
            <w:tcW w:w="953" w:type="dxa"/>
            <w:tcBorders>
              <w:top w:val="nil"/>
              <w:left w:val="nil"/>
              <w:bottom w:val="nil"/>
              <w:right w:val="nil"/>
            </w:tcBorders>
            <w:noWrap/>
            <w:vAlign w:val="bottom"/>
          </w:tcPr>
          <w:p>
            <w:pPr>
              <w:pStyle w:val="992"/>
              <w:widowControl/>
              <w:jc w:val="left"/>
              <w:rPr>
                <w:kern w:val="0"/>
                <w:sz w:val="20"/>
                <w:szCs w:val="20"/>
              </w:rPr>
            </w:pPr>
          </w:p>
        </w:tc>
        <w:tc>
          <w:tcPr>
            <w:tcW w:w="2342" w:type="dxa"/>
            <w:gridSpan w:val="2"/>
            <w:tcBorders>
              <w:top w:val="nil"/>
              <w:left w:val="nil"/>
              <w:bottom w:val="single" w:sz="6" w:space="0" w:color="000000"/>
              <w:right w:val="nil"/>
            </w:tcBorders>
            <w:noWrap/>
            <w:vAlign w:val="bottom"/>
          </w:tcPr>
          <w:p>
            <w:pPr>
              <w:pStyle w:val="992"/>
              <w:widowControl/>
              <w:jc w:val="right"/>
              <w:rPr>
                <w:kern w:val="0"/>
                <w:sz w:val="20"/>
                <w:szCs w:val="20"/>
              </w:rPr>
            </w:pPr>
            <w:r>
              <w:rPr>
                <w:kern w:val="0"/>
                <w:sz w:val="20"/>
                <w:szCs w:val="20"/>
              </w:rPr>
              <w:t>金额单位：万元</w:t>
            </w:r>
          </w:p>
        </w:tc>
      </w:tr>
      <w:tr>
        <w:trPr>
          <w:trHeight w:val="315"/>
        </w:trPr>
        <w:tc>
          <w:tcPr>
            <w:tcW w:w="7619" w:type="dxa"/>
            <w:gridSpan w:val="4"/>
            <w:tcBorders>
              <w:top w:val="single" w:sz="6" w:space="0" w:color="000000"/>
              <w:left w:val="single" w:sz="6" w:space="0" w:color="000000"/>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项目</w:t>
            </w:r>
          </w:p>
        </w:tc>
        <w:tc>
          <w:tcPr>
            <w:tcW w:w="1388" w:type="dxa"/>
            <w:vMerge w:val="restart"/>
            <w:tcBorders>
              <w:top w:val="single" w:sz="6" w:space="0" w:color="000000"/>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年初结转和结余</w:t>
            </w:r>
          </w:p>
        </w:tc>
        <w:tc>
          <w:tcPr>
            <w:tcW w:w="953" w:type="dxa"/>
            <w:vMerge w:val="restart"/>
            <w:tcBorders>
              <w:top w:val="single" w:sz="6" w:space="0" w:color="000000"/>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本年收入</w:t>
            </w:r>
          </w:p>
        </w:tc>
        <w:tc>
          <w:tcPr>
            <w:tcW w:w="2949" w:type="dxa"/>
            <w:gridSpan w:val="3"/>
            <w:tcBorders>
              <w:top w:val="single" w:sz="6" w:space="0" w:color="000000"/>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本年支出</w:t>
            </w:r>
          </w:p>
        </w:tc>
        <w:tc>
          <w:tcPr>
            <w:tcW w:w="1267" w:type="dxa"/>
            <w:vMerge w:val="restart"/>
            <w:tcBorders>
              <w:top w:val="single" w:sz="6" w:space="0" w:color="000000"/>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年末结转和结余</w:t>
            </w:r>
          </w:p>
        </w:tc>
      </w:tr>
      <w:tr>
        <w:trPr>
          <w:trHeight w:val="315"/>
        </w:trPr>
        <w:tc>
          <w:tcPr>
            <w:tcW w:w="2722" w:type="dxa"/>
            <w:gridSpan w:val="3"/>
            <w:vMerge w:val="restart"/>
            <w:tcBorders>
              <w:top w:val="nil"/>
              <w:left w:val="single" w:sz="6" w:space="0" w:color="000000"/>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功能分类科目编码</w:t>
            </w:r>
          </w:p>
        </w:tc>
        <w:tc>
          <w:tcPr>
            <w:tcW w:w="4897" w:type="dxa"/>
            <w:vMerge w:val="restart"/>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科目名称</w:t>
            </w:r>
          </w:p>
        </w:tc>
        <w:tc>
          <w:tcPr>
            <w:tcW w:w="1388" w:type="dxa"/>
            <w:vMerge/>
            <w:tcBorders>
              <w:top w:val="single" w:sz="6" w:space="0" w:color="000000"/>
              <w:left w:val="nil"/>
              <w:bottom w:val="single" w:sz="6" w:space="0" w:color="000000"/>
              <w:right w:val="single" w:sz="6" w:space="0" w:color="000000"/>
            </w:tcBorders>
            <w:vAlign w:val="center"/>
          </w:tcPr>
          <w:p/>
        </w:tc>
        <w:tc>
          <w:tcPr>
            <w:tcW w:w="953" w:type="dxa"/>
            <w:vMerge/>
            <w:tcBorders>
              <w:top w:val="single" w:sz="6" w:space="0" w:color="000000"/>
              <w:left w:val="nil"/>
              <w:bottom w:val="single" w:sz="6" w:space="0" w:color="000000"/>
              <w:right w:val="single" w:sz="6" w:space="0" w:color="000000"/>
            </w:tcBorders>
            <w:vAlign w:val="center"/>
          </w:tcPr>
          <w:p/>
        </w:tc>
        <w:tc>
          <w:tcPr>
            <w:tcW w:w="921" w:type="dxa"/>
            <w:vMerge w:val="restart"/>
            <w:tcBorders>
              <w:top w:val="nil"/>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小计</w:t>
            </w:r>
          </w:p>
        </w:tc>
        <w:tc>
          <w:tcPr>
            <w:tcW w:w="953" w:type="dxa"/>
            <w:vMerge w:val="restart"/>
            <w:tcBorders>
              <w:top w:val="nil"/>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基本支出</w:t>
            </w:r>
          </w:p>
        </w:tc>
        <w:tc>
          <w:tcPr>
            <w:tcW w:w="1075" w:type="dxa"/>
            <w:vMerge w:val="restart"/>
            <w:tcBorders>
              <w:top w:val="nil"/>
              <w:left w:val="nil"/>
              <w:bottom w:val="single" w:sz="6" w:space="0" w:color="000000"/>
              <w:right w:val="single" w:sz="6" w:space="0" w:color="000000"/>
            </w:tcBorders>
            <w:vAlign w:val="center"/>
          </w:tcPr>
          <w:p>
            <w:pPr>
              <w:pStyle w:val="992"/>
              <w:widowControl/>
              <w:jc w:val="center"/>
              <w:rPr>
                <w:kern w:val="0"/>
                <w:sz w:val="22"/>
                <w:szCs w:val="22"/>
              </w:rPr>
            </w:pPr>
            <w:r>
              <w:rPr>
                <w:kern w:val="0"/>
                <w:sz w:val="22"/>
                <w:szCs w:val="22"/>
              </w:rPr>
              <w:t>项目支出</w:t>
            </w:r>
          </w:p>
        </w:tc>
        <w:tc>
          <w:tcPr>
            <w:tcW w:w="1267" w:type="dxa"/>
            <w:vMerge/>
            <w:tcBorders>
              <w:top w:val="single" w:sz="6" w:space="0" w:color="000000"/>
              <w:left w:val="nil"/>
              <w:bottom w:val="single" w:sz="6" w:space="0" w:color="000000"/>
              <w:right w:val="single" w:sz="6" w:space="0" w:color="000000"/>
            </w:tcBorders>
            <w:vAlign w:val="center"/>
          </w:tcPr>
          <w:p/>
        </w:tc>
      </w:tr>
      <w:tr>
        <w:trPr>
          <w:trHeight w:val="315"/>
        </w:trPr>
        <w:tc>
          <w:tcPr>
            <w:tcW w:w="2722" w:type="dxa"/>
            <w:gridSpan w:val="3"/>
            <w:vMerge/>
            <w:tcBorders>
              <w:top w:val="nil"/>
              <w:left w:val="single" w:sz="6" w:space="0" w:color="000000"/>
              <w:bottom w:val="single" w:sz="6" w:space="0" w:color="000000"/>
              <w:right w:val="single" w:sz="6" w:space="0" w:color="000000"/>
            </w:tcBorders>
            <w:vAlign w:val="center"/>
          </w:tcPr>
          <w:p/>
        </w:tc>
        <w:tc>
          <w:tcPr>
            <w:tcW w:w="4897" w:type="dxa"/>
            <w:vMerge/>
            <w:tcBorders>
              <w:top w:val="nil"/>
              <w:left w:val="nil"/>
              <w:bottom w:val="single" w:sz="6" w:space="0" w:color="000000"/>
              <w:right w:val="single" w:sz="6" w:space="0" w:color="000000"/>
            </w:tcBorders>
            <w:vAlign w:val="center"/>
          </w:tcPr>
          <w:p/>
        </w:tc>
        <w:tc>
          <w:tcPr>
            <w:tcW w:w="1388" w:type="dxa"/>
            <w:vMerge/>
            <w:tcBorders>
              <w:top w:val="single" w:sz="6" w:space="0" w:color="000000"/>
              <w:left w:val="nil"/>
              <w:bottom w:val="single" w:sz="6" w:space="0" w:color="000000"/>
              <w:right w:val="single" w:sz="6" w:space="0" w:color="000000"/>
            </w:tcBorders>
            <w:vAlign w:val="center"/>
          </w:tcPr>
          <w:p/>
        </w:tc>
        <w:tc>
          <w:tcPr>
            <w:tcW w:w="953" w:type="dxa"/>
            <w:vMerge/>
            <w:tcBorders>
              <w:top w:val="single" w:sz="6" w:space="0" w:color="000000"/>
              <w:left w:val="nil"/>
              <w:bottom w:val="single" w:sz="6" w:space="0" w:color="000000"/>
              <w:right w:val="single" w:sz="6" w:space="0" w:color="000000"/>
            </w:tcBorders>
            <w:vAlign w:val="center"/>
          </w:tcPr>
          <w:p/>
        </w:tc>
        <w:tc>
          <w:tcPr>
            <w:tcW w:w="921" w:type="dxa"/>
            <w:vMerge/>
            <w:tcBorders>
              <w:top w:val="nil"/>
              <w:left w:val="nil"/>
              <w:bottom w:val="single" w:sz="6" w:space="0" w:color="000000"/>
              <w:right w:val="single" w:sz="6" w:space="0" w:color="000000"/>
            </w:tcBorders>
            <w:vAlign w:val="center"/>
          </w:tcPr>
          <w:p/>
        </w:tc>
        <w:tc>
          <w:tcPr>
            <w:tcW w:w="953" w:type="dxa"/>
            <w:vMerge/>
            <w:tcBorders>
              <w:top w:val="nil"/>
              <w:left w:val="nil"/>
              <w:bottom w:val="single" w:sz="6" w:space="0" w:color="000000"/>
              <w:right w:val="single" w:sz="6" w:space="0" w:color="000000"/>
            </w:tcBorders>
            <w:vAlign w:val="center"/>
          </w:tcPr>
          <w:p/>
        </w:tc>
        <w:tc>
          <w:tcPr>
            <w:tcW w:w="1075" w:type="dxa"/>
            <w:vMerge/>
            <w:tcBorders>
              <w:top w:val="nil"/>
              <w:left w:val="nil"/>
              <w:bottom w:val="single" w:sz="6" w:space="0" w:color="000000"/>
              <w:right w:val="single" w:sz="6" w:space="0" w:color="000000"/>
            </w:tcBorders>
            <w:vAlign w:val="center"/>
          </w:tcPr>
          <w:p/>
        </w:tc>
        <w:tc>
          <w:tcPr>
            <w:tcW w:w="1267" w:type="dxa"/>
            <w:vMerge/>
            <w:tcBorders>
              <w:top w:val="single" w:sz="6" w:space="0" w:color="000000"/>
              <w:left w:val="nil"/>
              <w:bottom w:val="single" w:sz="6" w:space="0" w:color="000000"/>
              <w:right w:val="single" w:sz="6" w:space="0" w:color="000000"/>
            </w:tcBorders>
            <w:vAlign w:val="center"/>
          </w:tcPr>
          <w:p/>
        </w:tc>
      </w:tr>
      <w:tr>
        <w:trPr>
          <w:trHeight w:val="315"/>
        </w:trPr>
        <w:tc>
          <w:tcPr>
            <w:tcW w:w="2722" w:type="dxa"/>
            <w:gridSpan w:val="3"/>
            <w:vMerge/>
            <w:tcBorders>
              <w:top w:val="nil"/>
              <w:left w:val="single" w:sz="6" w:space="0" w:color="000000"/>
              <w:bottom w:val="single" w:sz="6" w:space="0" w:color="000000"/>
              <w:right w:val="single" w:sz="6" w:space="0" w:color="000000"/>
            </w:tcBorders>
            <w:vAlign w:val="center"/>
          </w:tcPr>
          <w:p/>
        </w:tc>
        <w:tc>
          <w:tcPr>
            <w:tcW w:w="4897" w:type="dxa"/>
            <w:vMerge/>
            <w:tcBorders>
              <w:top w:val="nil"/>
              <w:left w:val="nil"/>
              <w:bottom w:val="single" w:sz="6" w:space="0" w:color="000000"/>
              <w:right w:val="single" w:sz="6" w:space="0" w:color="000000"/>
            </w:tcBorders>
            <w:vAlign w:val="center"/>
          </w:tcPr>
          <w:p/>
        </w:tc>
        <w:tc>
          <w:tcPr>
            <w:tcW w:w="1388" w:type="dxa"/>
            <w:vMerge/>
            <w:tcBorders>
              <w:top w:val="single" w:sz="6" w:space="0" w:color="000000"/>
              <w:left w:val="nil"/>
              <w:bottom w:val="single" w:sz="6" w:space="0" w:color="000000"/>
              <w:right w:val="single" w:sz="6" w:space="0" w:color="000000"/>
            </w:tcBorders>
            <w:vAlign w:val="center"/>
          </w:tcPr>
          <w:p/>
        </w:tc>
        <w:tc>
          <w:tcPr>
            <w:tcW w:w="953" w:type="dxa"/>
            <w:vMerge/>
            <w:tcBorders>
              <w:top w:val="single" w:sz="6" w:space="0" w:color="000000"/>
              <w:left w:val="nil"/>
              <w:bottom w:val="single" w:sz="6" w:space="0" w:color="000000"/>
              <w:right w:val="single" w:sz="6" w:space="0" w:color="000000"/>
            </w:tcBorders>
            <w:vAlign w:val="center"/>
          </w:tcPr>
          <w:p/>
        </w:tc>
        <w:tc>
          <w:tcPr>
            <w:tcW w:w="921" w:type="dxa"/>
            <w:vMerge/>
            <w:tcBorders>
              <w:top w:val="nil"/>
              <w:left w:val="nil"/>
              <w:bottom w:val="single" w:sz="6" w:space="0" w:color="000000"/>
              <w:right w:val="single" w:sz="6" w:space="0" w:color="000000"/>
            </w:tcBorders>
            <w:vAlign w:val="center"/>
          </w:tcPr>
          <w:p/>
        </w:tc>
        <w:tc>
          <w:tcPr>
            <w:tcW w:w="953" w:type="dxa"/>
            <w:vMerge/>
            <w:tcBorders>
              <w:top w:val="nil"/>
              <w:left w:val="nil"/>
              <w:bottom w:val="single" w:sz="6" w:space="0" w:color="000000"/>
              <w:right w:val="single" w:sz="6" w:space="0" w:color="000000"/>
            </w:tcBorders>
            <w:vAlign w:val="center"/>
          </w:tcPr>
          <w:p/>
        </w:tc>
        <w:tc>
          <w:tcPr>
            <w:tcW w:w="1075" w:type="dxa"/>
            <w:vMerge/>
            <w:tcBorders>
              <w:top w:val="nil"/>
              <w:left w:val="nil"/>
              <w:bottom w:val="single" w:sz="6" w:space="0" w:color="000000"/>
              <w:right w:val="single" w:sz="6" w:space="0" w:color="000000"/>
            </w:tcBorders>
            <w:vAlign w:val="center"/>
          </w:tcPr>
          <w:p/>
        </w:tc>
        <w:tc>
          <w:tcPr>
            <w:tcW w:w="1267" w:type="dxa"/>
            <w:vMerge/>
            <w:tcBorders>
              <w:top w:val="single" w:sz="6" w:space="0" w:color="000000"/>
              <w:left w:val="nil"/>
              <w:bottom w:val="single" w:sz="6" w:space="0" w:color="000000"/>
              <w:right w:val="single" w:sz="6" w:space="0" w:color="000000"/>
            </w:tcBorders>
            <w:vAlign w:val="center"/>
          </w:tcPr>
          <w:p/>
        </w:tc>
      </w:tr>
      <w:tr>
        <w:trPr>
          <w:trHeight w:val="315"/>
        </w:trPr>
        <w:tc>
          <w:tcPr>
            <w:tcW w:w="7619" w:type="dxa"/>
            <w:gridSpan w:val="4"/>
            <w:tcBorders>
              <w:top w:val="nil"/>
              <w:left w:val="single" w:sz="6" w:space="0" w:color="000000"/>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栏次</w:t>
            </w:r>
          </w:p>
        </w:tc>
        <w:tc>
          <w:tcPr>
            <w:tcW w:w="1388" w:type="dxa"/>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1</w:t>
            </w:r>
          </w:p>
        </w:tc>
        <w:tc>
          <w:tcPr>
            <w:tcW w:w="953" w:type="dxa"/>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2</w:t>
            </w:r>
          </w:p>
        </w:tc>
        <w:tc>
          <w:tcPr>
            <w:tcW w:w="921" w:type="dxa"/>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3</w:t>
            </w:r>
          </w:p>
        </w:tc>
        <w:tc>
          <w:tcPr>
            <w:tcW w:w="953" w:type="dxa"/>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4</w:t>
            </w:r>
          </w:p>
        </w:tc>
        <w:tc>
          <w:tcPr>
            <w:tcW w:w="1075" w:type="dxa"/>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5</w:t>
            </w:r>
          </w:p>
        </w:tc>
        <w:tc>
          <w:tcPr>
            <w:tcW w:w="1267" w:type="dxa"/>
            <w:tcBorders>
              <w:top w:val="nil"/>
              <w:left w:val="nil"/>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6</w:t>
            </w:r>
          </w:p>
        </w:tc>
      </w:tr>
      <w:tr>
        <w:trPr>
          <w:trHeight w:val="315"/>
        </w:trPr>
        <w:tc>
          <w:tcPr>
            <w:tcW w:w="7619" w:type="dxa"/>
            <w:gridSpan w:val="4"/>
            <w:tcBorders>
              <w:top w:val="nil"/>
              <w:left w:val="single" w:sz="6" w:space="0" w:color="000000"/>
              <w:bottom w:val="single" w:sz="6" w:space="0" w:color="000000"/>
              <w:right w:val="single" w:sz="6" w:space="0" w:color="000000"/>
            </w:tcBorders>
            <w:noWrap/>
            <w:vAlign w:val="center"/>
          </w:tcPr>
          <w:p>
            <w:pPr>
              <w:pStyle w:val="992"/>
              <w:widowControl/>
              <w:jc w:val="center"/>
              <w:rPr>
                <w:kern w:val="0"/>
                <w:sz w:val="22"/>
                <w:szCs w:val="22"/>
              </w:rPr>
            </w:pPr>
            <w:r>
              <w:rPr>
                <w:kern w:val="0"/>
                <w:sz w:val="22"/>
                <w:szCs w:val="22"/>
              </w:rPr>
              <w:t>合计</w:t>
            </w:r>
          </w:p>
        </w:tc>
        <w:tc>
          <w:tcPr>
            <w:tcW w:w="1388" w:type="dxa"/>
            <w:tcBorders>
              <w:top w:val="nil"/>
              <w:left w:val="nil"/>
              <w:bottom w:val="single" w:sz="6" w:space="0" w:color="000000"/>
              <w:right w:val="single" w:sz="6" w:space="0" w:color="000000"/>
            </w:tcBorders>
            <w:noWrap/>
            <w:vAlign w:val="center"/>
          </w:tcPr>
          <w:p>
            <w:pPr>
              <w:pStyle w:val="992"/>
              <w:widowControl/>
              <w:jc w:val="right"/>
              <w:rPr>
                <w:b/>
                <w:bCs/>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b/>
                <w:bCs/>
                <w:kern w:val="0"/>
                <w:sz w:val="22"/>
                <w:szCs w:val="22"/>
              </w:rPr>
            </w:pPr>
          </w:p>
        </w:tc>
        <w:tc>
          <w:tcPr>
            <w:tcW w:w="921" w:type="dxa"/>
            <w:tcBorders>
              <w:top w:val="nil"/>
              <w:left w:val="nil"/>
              <w:bottom w:val="single" w:sz="6" w:space="0" w:color="000000"/>
              <w:right w:val="single" w:sz="6" w:space="0" w:color="000000"/>
            </w:tcBorders>
            <w:noWrap/>
            <w:vAlign w:val="center"/>
          </w:tcPr>
          <w:p>
            <w:pPr>
              <w:pStyle w:val="992"/>
              <w:widowControl/>
              <w:jc w:val="right"/>
              <w:rPr>
                <w:b/>
                <w:bCs/>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b/>
                <w:bCs/>
                <w:kern w:val="0"/>
                <w:sz w:val="22"/>
                <w:szCs w:val="22"/>
              </w:rPr>
            </w:pPr>
          </w:p>
        </w:tc>
        <w:tc>
          <w:tcPr>
            <w:tcW w:w="1075" w:type="dxa"/>
            <w:tcBorders>
              <w:top w:val="nil"/>
              <w:left w:val="nil"/>
              <w:bottom w:val="single" w:sz="6" w:space="0" w:color="000000"/>
              <w:right w:val="single" w:sz="6" w:space="0" w:color="000000"/>
            </w:tcBorders>
            <w:noWrap/>
            <w:vAlign w:val="center"/>
          </w:tcPr>
          <w:p>
            <w:pPr>
              <w:pStyle w:val="992"/>
              <w:widowControl/>
              <w:jc w:val="right"/>
              <w:rPr>
                <w:b/>
                <w:bCs/>
                <w:kern w:val="0"/>
                <w:sz w:val="22"/>
                <w:szCs w:val="22"/>
              </w:rPr>
            </w:pPr>
          </w:p>
        </w:tc>
        <w:tc>
          <w:tcPr>
            <w:tcW w:w="1267" w:type="dxa"/>
            <w:tcBorders>
              <w:top w:val="nil"/>
              <w:left w:val="nil"/>
              <w:bottom w:val="single" w:sz="6" w:space="0" w:color="000000"/>
              <w:right w:val="single" w:sz="6" w:space="0" w:color="000000"/>
            </w:tcBorders>
            <w:noWrap/>
            <w:vAlign w:val="center"/>
          </w:tcPr>
          <w:p>
            <w:pPr>
              <w:pStyle w:val="992"/>
              <w:widowControl/>
              <w:jc w:val="right"/>
              <w:rPr>
                <w:b/>
                <w:bCs/>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pStyle w:val="992"/>
              <w:widowControl/>
              <w:jc w:val="left"/>
              <w:rPr>
                <w:kern w:val="0"/>
                <w:sz w:val="22"/>
                <w:szCs w:val="22"/>
              </w:rPr>
            </w:pPr>
          </w:p>
        </w:tc>
        <w:tc>
          <w:tcPr>
            <w:tcW w:w="4897" w:type="dxa"/>
            <w:tcBorders>
              <w:top w:val="nil"/>
              <w:left w:val="nil"/>
              <w:bottom w:val="single" w:sz="6" w:space="0" w:color="000000"/>
              <w:right w:val="single" w:sz="6" w:space="0" w:color="000000"/>
            </w:tcBorders>
            <w:noWrap/>
            <w:vAlign w:val="center"/>
          </w:tcPr>
          <w:p>
            <w:pPr>
              <w:pStyle w:val="992"/>
              <w:widowControl/>
              <w:jc w:val="left"/>
              <w:rPr>
                <w:kern w:val="0"/>
                <w:sz w:val="22"/>
                <w:szCs w:val="22"/>
              </w:rPr>
            </w:pPr>
          </w:p>
        </w:tc>
        <w:tc>
          <w:tcPr>
            <w:tcW w:w="1388"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21"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1075"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1267"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pStyle w:val="992"/>
              <w:widowControl/>
              <w:jc w:val="left"/>
              <w:rPr>
                <w:kern w:val="0"/>
                <w:sz w:val="22"/>
                <w:szCs w:val="22"/>
              </w:rPr>
            </w:pPr>
          </w:p>
        </w:tc>
        <w:tc>
          <w:tcPr>
            <w:tcW w:w="4897" w:type="dxa"/>
            <w:tcBorders>
              <w:top w:val="nil"/>
              <w:left w:val="nil"/>
              <w:bottom w:val="single" w:sz="6" w:space="0" w:color="000000"/>
              <w:right w:val="single" w:sz="6" w:space="0" w:color="000000"/>
            </w:tcBorders>
            <w:noWrap/>
            <w:vAlign w:val="center"/>
          </w:tcPr>
          <w:p>
            <w:pPr>
              <w:pStyle w:val="992"/>
              <w:widowControl/>
              <w:jc w:val="left"/>
              <w:rPr>
                <w:kern w:val="0"/>
                <w:sz w:val="22"/>
                <w:szCs w:val="22"/>
              </w:rPr>
            </w:pPr>
          </w:p>
        </w:tc>
        <w:tc>
          <w:tcPr>
            <w:tcW w:w="1388"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21"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1075"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1267"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pStyle w:val="992"/>
              <w:widowControl/>
              <w:jc w:val="left"/>
              <w:rPr>
                <w:kern w:val="0"/>
                <w:sz w:val="22"/>
                <w:szCs w:val="22"/>
              </w:rPr>
            </w:pPr>
          </w:p>
        </w:tc>
        <w:tc>
          <w:tcPr>
            <w:tcW w:w="4897" w:type="dxa"/>
            <w:tcBorders>
              <w:top w:val="nil"/>
              <w:left w:val="nil"/>
              <w:bottom w:val="single" w:sz="6" w:space="0" w:color="000000"/>
              <w:right w:val="single" w:sz="6" w:space="0" w:color="000000"/>
            </w:tcBorders>
            <w:noWrap/>
            <w:vAlign w:val="center"/>
          </w:tcPr>
          <w:p>
            <w:pPr>
              <w:pStyle w:val="992"/>
              <w:widowControl/>
              <w:jc w:val="left"/>
              <w:rPr>
                <w:kern w:val="0"/>
                <w:sz w:val="22"/>
                <w:szCs w:val="22"/>
              </w:rPr>
            </w:pPr>
            <w:r>
              <w:rPr>
                <w:kern w:val="0"/>
                <w:sz w:val="22"/>
                <w:szCs w:val="22"/>
              </w:rPr>
              <w:t> </w:t>
            </w:r>
          </w:p>
        </w:tc>
        <w:tc>
          <w:tcPr>
            <w:tcW w:w="1388"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21"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1075"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c>
          <w:tcPr>
            <w:tcW w:w="1267"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pStyle w:val="992"/>
              <w:widowControl/>
              <w:jc w:val="left"/>
              <w:rPr>
                <w:kern w:val="0"/>
                <w:sz w:val="22"/>
                <w:szCs w:val="22"/>
              </w:rPr>
            </w:pPr>
            <w:r>
              <w:rPr>
                <w:kern w:val="0"/>
                <w:sz w:val="22"/>
                <w:szCs w:val="22"/>
              </w:rPr>
              <w:t>　</w:t>
            </w:r>
          </w:p>
        </w:tc>
        <w:tc>
          <w:tcPr>
            <w:tcW w:w="4897" w:type="dxa"/>
            <w:tcBorders>
              <w:top w:val="nil"/>
              <w:left w:val="nil"/>
              <w:bottom w:val="single" w:sz="6" w:space="0" w:color="000000"/>
              <w:right w:val="single" w:sz="6" w:space="0" w:color="000000"/>
            </w:tcBorders>
            <w:noWrap/>
            <w:vAlign w:val="center"/>
          </w:tcPr>
          <w:p>
            <w:pPr>
              <w:pStyle w:val="992"/>
              <w:widowControl/>
              <w:jc w:val="left"/>
              <w:rPr>
                <w:kern w:val="0"/>
                <w:sz w:val="22"/>
                <w:szCs w:val="22"/>
              </w:rPr>
            </w:pPr>
            <w:r>
              <w:rPr>
                <w:kern w:val="0"/>
                <w:sz w:val="22"/>
                <w:szCs w:val="22"/>
              </w:rPr>
              <w:t>　</w:t>
            </w:r>
          </w:p>
        </w:tc>
        <w:tc>
          <w:tcPr>
            <w:tcW w:w="1388"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r>
              <w:rPr>
                <w:kern w:val="0"/>
                <w:sz w:val="22"/>
                <w:szCs w:val="22"/>
              </w:rPr>
              <w:t>　</w:t>
            </w: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r>
              <w:rPr>
                <w:kern w:val="0"/>
                <w:sz w:val="22"/>
                <w:szCs w:val="22"/>
              </w:rPr>
              <w:t>　</w:t>
            </w:r>
          </w:p>
        </w:tc>
        <w:tc>
          <w:tcPr>
            <w:tcW w:w="921"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r>
              <w:rPr>
                <w:kern w:val="0"/>
                <w:sz w:val="22"/>
                <w:szCs w:val="22"/>
              </w:rPr>
              <w:t>　</w:t>
            </w:r>
          </w:p>
        </w:tc>
        <w:tc>
          <w:tcPr>
            <w:tcW w:w="953"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r>
              <w:rPr>
                <w:kern w:val="0"/>
                <w:sz w:val="22"/>
                <w:szCs w:val="22"/>
              </w:rPr>
              <w:t>　</w:t>
            </w:r>
          </w:p>
        </w:tc>
        <w:tc>
          <w:tcPr>
            <w:tcW w:w="1075"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r>
              <w:rPr>
                <w:kern w:val="0"/>
                <w:sz w:val="22"/>
                <w:szCs w:val="22"/>
              </w:rPr>
              <w:t>　</w:t>
            </w:r>
          </w:p>
        </w:tc>
        <w:tc>
          <w:tcPr>
            <w:tcW w:w="1267" w:type="dxa"/>
            <w:tcBorders>
              <w:top w:val="nil"/>
              <w:left w:val="nil"/>
              <w:bottom w:val="single" w:sz="6" w:space="0" w:color="000000"/>
              <w:right w:val="single" w:sz="6" w:space="0" w:color="000000"/>
            </w:tcBorders>
            <w:noWrap/>
            <w:vAlign w:val="center"/>
          </w:tcPr>
          <w:p>
            <w:pPr>
              <w:pStyle w:val="992"/>
              <w:widowControl/>
              <w:jc w:val="right"/>
              <w:rPr>
                <w:kern w:val="0"/>
                <w:sz w:val="22"/>
                <w:szCs w:val="22"/>
              </w:rPr>
            </w:pPr>
            <w:r>
              <w:rPr>
                <w:kern w:val="0"/>
                <w:sz w:val="22"/>
                <w:szCs w:val="22"/>
              </w:rPr>
              <w:t>　</w:t>
            </w:r>
          </w:p>
        </w:tc>
      </w:tr>
      <w:tr>
        <w:trPr>
          <w:trHeight w:val="315"/>
        </w:trPr>
        <w:tc>
          <w:tcPr>
            <w:tcW w:w="14176" w:type="dxa"/>
            <w:gridSpan w:val="10"/>
            <w:tcBorders>
              <w:top w:val="nil"/>
              <w:left w:val="nil"/>
              <w:bottom w:val="nil"/>
              <w:right w:val="nil"/>
            </w:tcBorders>
            <w:noWrap/>
            <w:vAlign w:val="center"/>
          </w:tcPr>
          <w:p>
            <w:pPr>
              <w:pStyle w:val="992"/>
              <w:widowControl/>
              <w:jc w:val="left"/>
              <w:rPr>
                <w:kern w:val="0"/>
                <w:sz w:val="22"/>
                <w:szCs w:val="22"/>
              </w:rPr>
            </w:pPr>
            <w:r>
              <w:rPr>
                <w:kern w:val="0"/>
                <w:sz w:val="22"/>
                <w:szCs w:val="22"/>
              </w:rPr>
              <w:t>注：本表反映单位本年度政府性基金预算财政拨款收入、支出及结转和结余情况。</w:t>
            </w:r>
          </w:p>
        </w:tc>
      </w:tr>
    </w:tbl>
    <w:p>
      <w:pPr>
        <w:pStyle w:val="992"/>
      </w:pPr>
    </w:p>
    <w:p>
      <w:pPr>
        <w:pStyle w:val="992"/>
        <w:rPr>
          <w:b/>
          <w:sz w:val="28"/>
          <w:szCs w:val="28"/>
        </w:rPr>
      </w:pPr>
      <w:r>
        <w:rPr>
          <w:b/>
          <w:sz w:val="28"/>
          <w:szCs w:val="28"/>
        </w:rPr>
        <w:t>说明：</w:t>
      </w:r>
      <w:r>
        <w:rPr>
          <w:b/>
          <w:kern w:val="0"/>
          <w:sz w:val="28"/>
          <w:szCs w:val="28"/>
        </w:rPr>
        <w:t>东乌</w:t>
      </w:r>
      <w:r>
        <w:rPr>
          <w:b/>
          <w:sz w:val="28"/>
          <w:szCs w:val="28"/>
        </w:rPr>
        <w:t>海关没有政府性基金收入，也没有使用政府性基金安排的支出，故本表无数据。</w:t>
      </w:r>
    </w:p>
    <w:p>
      <w:pPr>
        <w:pStyle w:val="992"/>
      </w:pPr>
    </w:p>
    <w:p/>
    <w:p/>
    <w:p>
      <w:pPr>
        <w:sectPr>
          <w:pgSz w:w="16840" w:h="11907" w:orient="landscape"/>
          <w:pgMar w:top="1701" w:right="1440" w:bottom="1701" w:left="1440" w:header="851" w:footer="992" w:gutter="0"/>
          <w:docGrid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20"/>
        <w:gridCol w:w="4668"/>
        <w:gridCol w:w="952"/>
        <w:gridCol w:w="668"/>
        <w:gridCol w:w="1012"/>
        <w:gridCol w:w="2048"/>
        <w:gridCol w:w="3808"/>
      </w:tblGrid>
      <w:tr>
        <w:trPr>
          <w:trHeight w:val="675"/>
        </w:trPr>
        <w:tc>
          <w:tcPr>
            <w:tcW w:w="14176" w:type="dxa"/>
            <w:gridSpan w:val="7"/>
            <w:tcBorders>
              <w:top w:val="nil"/>
              <w:left w:val="nil"/>
              <w:bottom w:val="nil"/>
              <w:right w:val="nil"/>
            </w:tcBorders>
            <w:noWrap/>
            <w:vAlign w:val="center"/>
          </w:tcPr>
          <w:p>
            <w:pPr>
              <w:pStyle w:val="2"/>
              <w:jc w:val="center"/>
              <w:rPr>
                <w:rFonts w:ascii="Times New Roman" w:cs="Times New Roman" w:hAnsi="Times New Roman"/>
                <w:kern w:val="0"/>
              </w:rPr>
            </w:pPr>
            <w:bookmarkStart w:id="24" w:name="_Toc44862960"/>
            <w:r>
              <w:rPr>
                <w:rFonts w:ascii="Times New Roman" w:cs="Times New Roman" w:hAnsi="Times New Roman"/>
                <w:kern w:val="0"/>
              </w:rPr>
              <w:t>国有资本经营预算财政拨款支出决算表</w:t>
            </w:r>
            <w:bookmarkEnd w:id="24"/>
          </w:p>
        </w:tc>
      </w:tr>
      <w:tr>
        <w:trPr>
          <w:trHeight w:val="255"/>
        </w:trPr>
        <w:tc>
          <w:tcPr>
            <w:tcW w:w="5688" w:type="dxa"/>
            <w:gridSpan w:val="2"/>
            <w:tcBorders>
              <w:top w:val="nil"/>
              <w:left w:val="nil"/>
              <w:bottom w:val="nil"/>
              <w:right w:val="nil"/>
            </w:tcBorders>
            <w:shd w:val="clear" w:color="auto" w:fill="auto"/>
            <w:noWrap/>
            <w:vAlign w:val="bottom"/>
          </w:tcPr>
          <w:p>
            <w:pPr>
              <w:pStyle w:val="1132"/>
              <w:widowControl/>
              <w:ind w:firstLineChars="100" w:firstLine="200"/>
              <w:jc w:val="left"/>
              <w:rPr>
                <w:kern w:val="0"/>
                <w:sz w:val="20"/>
                <w:szCs w:val="20"/>
              </w:rPr>
            </w:pPr>
            <w:r>
              <w:rPr>
                <w:kern w:val="0"/>
                <w:sz w:val="20"/>
                <w:szCs w:val="20"/>
              </w:rPr>
              <w:t>单位：中华人民共和国东乌海关</w:t>
            </w:r>
          </w:p>
        </w:tc>
        <w:tc>
          <w:tcPr>
            <w:tcW w:w="952" w:type="dxa"/>
            <w:tcBorders>
              <w:top w:val="nil"/>
              <w:left w:val="nil"/>
              <w:bottom w:val="nil"/>
              <w:right w:val="nil"/>
            </w:tcBorders>
            <w:shd w:val="clear" w:color="auto" w:fill="auto"/>
            <w:noWrap/>
            <w:vAlign w:val="bottom"/>
          </w:tcPr>
          <w:p>
            <w:pPr>
              <w:pStyle w:val="1132"/>
              <w:widowControl/>
              <w:jc w:val="left"/>
              <w:rPr>
                <w:kern w:val="0"/>
                <w:sz w:val="20"/>
                <w:szCs w:val="20"/>
              </w:rPr>
            </w:pPr>
          </w:p>
        </w:tc>
        <w:tc>
          <w:tcPr>
            <w:tcW w:w="1680" w:type="dxa"/>
            <w:gridSpan w:val="2"/>
            <w:tcBorders>
              <w:top w:val="nil"/>
              <w:left w:val="nil"/>
              <w:bottom w:val="nil"/>
              <w:right w:val="nil"/>
            </w:tcBorders>
            <w:shd w:val="clear" w:color="auto" w:fill="auto"/>
            <w:noWrap/>
            <w:vAlign w:val="bottom"/>
          </w:tcPr>
          <w:p>
            <w:pPr>
              <w:pStyle w:val="1132"/>
              <w:widowControl/>
              <w:jc w:val="left"/>
              <w:rPr>
                <w:kern w:val="0"/>
                <w:sz w:val="20"/>
                <w:szCs w:val="20"/>
              </w:rPr>
            </w:pPr>
          </w:p>
        </w:tc>
        <w:tc>
          <w:tcPr>
            <w:tcW w:w="5856" w:type="dxa"/>
            <w:gridSpan w:val="2"/>
            <w:tcBorders>
              <w:top w:val="nil"/>
              <w:left w:val="nil"/>
              <w:bottom w:val="nil"/>
              <w:right w:val="nil"/>
            </w:tcBorders>
            <w:shd w:val="clear" w:color="auto" w:fill="auto"/>
            <w:noWrap/>
            <w:vAlign w:val="bottom"/>
          </w:tcPr>
          <w:p>
            <w:pPr>
              <w:pStyle w:val="1132"/>
              <w:widowControl/>
              <w:jc w:val="right"/>
              <w:rPr>
                <w:kern w:val="0"/>
                <w:sz w:val="20"/>
                <w:szCs w:val="20"/>
              </w:rPr>
            </w:pPr>
            <w:r>
              <w:rPr>
                <w:kern w:val="0"/>
                <w:sz w:val="20"/>
                <w:szCs w:val="20"/>
              </w:rPr>
              <w:t>公开08表</w:t>
            </w:r>
          </w:p>
          <w:p>
            <w:pPr>
              <w:pStyle w:val="1132"/>
              <w:widowControl/>
              <w:jc w:val="right"/>
              <w:rPr>
                <w:kern w:val="0"/>
                <w:sz w:val="20"/>
                <w:szCs w:val="20"/>
              </w:rPr>
            </w:pPr>
            <w:r>
              <w:rPr>
                <w:kern w:val="0"/>
                <w:sz w:val="20"/>
                <w:szCs w:val="20"/>
              </w:rPr>
              <w:t>金额单位：万元</w:t>
            </w:r>
          </w:p>
        </w:tc>
      </w:tr>
      <w:tr>
        <w:trPr>
          <w:trHeight w:val="308"/>
        </w:trPr>
        <w:tc>
          <w:tcPr>
            <w:tcW w:w="568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项目</w:t>
            </w:r>
          </w:p>
        </w:tc>
        <w:tc>
          <w:tcPr>
            <w:tcW w:w="8488" w:type="dxa"/>
            <w:gridSpan w:val="5"/>
            <w:tcBorders>
              <w:top w:val="single" w:sz="4" w:space="0" w:color="000000"/>
              <w:left w:val="nil"/>
              <w:bottom w:val="single" w:sz="4" w:space="0" w:color="000000"/>
              <w:right w:val="single" w:sz="4" w:space="0" w:color="000000"/>
            </w:tcBorders>
            <w:shd w:val="clear" w:color="auto" w:fill="FFFFFF"/>
            <w:vAlign w:val="center"/>
          </w:tcPr>
          <w:p>
            <w:pPr>
              <w:pStyle w:val="1132"/>
              <w:widowControl/>
              <w:jc w:val="center"/>
              <w:rPr>
                <w:kern w:val="0"/>
                <w:sz w:val="22"/>
                <w:szCs w:val="22"/>
              </w:rPr>
            </w:pPr>
            <w:r>
              <w:rPr>
                <w:kern w:val="0"/>
                <w:sz w:val="22"/>
                <w:szCs w:val="22"/>
              </w:rPr>
              <w:t>本年支出</w:t>
            </w:r>
          </w:p>
        </w:tc>
      </w:tr>
      <w:tr>
        <w:trPr>
          <w:trHeight w:val="312"/>
        </w:trPr>
        <w:tc>
          <w:tcPr>
            <w:tcW w:w="1020" w:type="dxa"/>
            <w:vMerge w:val="restart"/>
            <w:tcBorders>
              <w:top w:val="nil"/>
              <w:left w:val="single" w:sz="4" w:space="0" w:color="000000"/>
              <w:bottom w:val="single" w:sz="4" w:space="0" w:color="000000"/>
              <w:right w:val="single" w:sz="4" w:space="0" w:color="000000"/>
            </w:tcBorders>
            <w:shd w:val="clear" w:color="auto" w:fill="FFFFFF"/>
            <w:vAlign w:val="center"/>
          </w:tcPr>
          <w:p>
            <w:pPr>
              <w:pStyle w:val="1132"/>
              <w:widowControl/>
              <w:jc w:val="center"/>
              <w:rPr>
                <w:kern w:val="0"/>
                <w:sz w:val="22"/>
                <w:szCs w:val="22"/>
              </w:rPr>
            </w:pPr>
            <w:r>
              <w:rPr>
                <w:kern w:val="0"/>
                <w:sz w:val="22"/>
                <w:szCs w:val="22"/>
              </w:rPr>
              <w:t>功能分类科目编码</w:t>
            </w:r>
          </w:p>
        </w:tc>
        <w:tc>
          <w:tcPr>
            <w:tcW w:w="4668" w:type="dxa"/>
            <w:vMerge w:val="restart"/>
            <w:tcBorders>
              <w:top w:val="nil"/>
              <w:left w:val="nil"/>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科目名称</w:t>
            </w:r>
          </w:p>
        </w:tc>
        <w:tc>
          <w:tcPr>
            <w:tcW w:w="1620" w:type="dxa"/>
            <w:gridSpan w:val="2"/>
            <w:vMerge w:val="restart"/>
            <w:tcBorders>
              <w:top w:val="nil"/>
              <w:left w:val="nil"/>
              <w:bottom w:val="single" w:sz="4" w:space="0" w:color="000000"/>
              <w:right w:val="single" w:sz="4" w:space="0" w:color="000000"/>
            </w:tcBorders>
            <w:shd w:val="clear" w:color="auto" w:fill="FFFFFF"/>
            <w:vAlign w:val="center"/>
          </w:tcPr>
          <w:p>
            <w:pPr>
              <w:pStyle w:val="1132"/>
              <w:widowControl/>
              <w:jc w:val="center"/>
              <w:rPr>
                <w:kern w:val="0"/>
                <w:sz w:val="22"/>
                <w:szCs w:val="22"/>
              </w:rPr>
            </w:pPr>
            <w:r>
              <w:rPr>
                <w:kern w:val="0"/>
                <w:sz w:val="22"/>
                <w:szCs w:val="22"/>
              </w:rPr>
              <w:t>合计</w:t>
            </w:r>
          </w:p>
        </w:tc>
        <w:tc>
          <w:tcPr>
            <w:tcW w:w="3060" w:type="dxa"/>
            <w:gridSpan w:val="2"/>
            <w:vMerge w:val="restart"/>
            <w:tcBorders>
              <w:top w:val="nil"/>
              <w:left w:val="nil"/>
              <w:bottom w:val="single" w:sz="4" w:space="0" w:color="000000"/>
              <w:right w:val="single" w:sz="4" w:space="0" w:color="000000"/>
            </w:tcBorders>
            <w:shd w:val="clear" w:color="auto" w:fill="FFFFFF"/>
            <w:vAlign w:val="center"/>
          </w:tcPr>
          <w:p>
            <w:pPr>
              <w:pStyle w:val="1132"/>
              <w:widowControl/>
              <w:jc w:val="center"/>
              <w:rPr>
                <w:kern w:val="0"/>
                <w:sz w:val="22"/>
                <w:szCs w:val="22"/>
              </w:rPr>
            </w:pPr>
            <w:r>
              <w:rPr>
                <w:kern w:val="0"/>
                <w:sz w:val="22"/>
                <w:szCs w:val="22"/>
              </w:rPr>
              <w:t>基本支出</w:t>
            </w:r>
          </w:p>
        </w:tc>
        <w:tc>
          <w:tcPr>
            <w:tcW w:w="3808" w:type="dxa"/>
            <w:vMerge w:val="restart"/>
            <w:tcBorders>
              <w:top w:val="nil"/>
              <w:left w:val="nil"/>
              <w:bottom w:val="single" w:sz="4" w:space="0" w:color="000000"/>
              <w:right w:val="single" w:sz="4" w:space="0" w:color="000000"/>
            </w:tcBorders>
            <w:shd w:val="clear" w:color="auto" w:fill="FFFFFF"/>
            <w:vAlign w:val="center"/>
          </w:tcPr>
          <w:p>
            <w:pPr>
              <w:pStyle w:val="1132"/>
              <w:widowControl/>
              <w:jc w:val="center"/>
              <w:rPr>
                <w:kern w:val="0"/>
                <w:sz w:val="22"/>
                <w:szCs w:val="22"/>
              </w:rPr>
            </w:pPr>
            <w:r>
              <w:rPr>
                <w:kern w:val="0"/>
                <w:sz w:val="22"/>
                <w:szCs w:val="22"/>
              </w:rPr>
              <w:t>项目支出</w:t>
            </w:r>
          </w:p>
        </w:tc>
      </w:tr>
      <w:tr>
        <w:trPr>
          <w:trHeight w:val="312"/>
        </w:trPr>
        <w:tc>
          <w:tcPr>
            <w:tcW w:w="1020" w:type="dxa"/>
            <w:vMerge/>
            <w:tcBorders>
              <w:top w:val="nil"/>
              <w:left w:val="single" w:sz="4" w:space="0" w:color="000000"/>
              <w:bottom w:val="single" w:sz="4" w:space="0" w:color="000000"/>
              <w:right w:val="single" w:sz="4" w:space="0" w:color="000000"/>
            </w:tcBorders>
            <w:shd w:val="clear" w:color="auto" w:fill="FFFFFF"/>
            <w:vAlign w:val="center"/>
          </w:tcPr>
          <w:p/>
        </w:tc>
        <w:tc>
          <w:tcPr>
            <w:tcW w:w="4668" w:type="dxa"/>
            <w:vMerge/>
            <w:tcBorders>
              <w:top w:val="nil"/>
              <w:left w:val="nil"/>
              <w:bottom w:val="single" w:sz="4" w:space="0" w:color="000000"/>
              <w:right w:val="single" w:sz="4" w:space="0" w:color="000000"/>
            </w:tcBorders>
            <w:shd w:val="clear" w:color="auto" w:fill="FFFFFF"/>
            <w:vAlign w:val="center"/>
          </w:tcPr>
          <w:p/>
        </w:tc>
        <w:tc>
          <w:tcPr>
            <w:tcW w:w="1620" w:type="dxa"/>
            <w:gridSpan w:val="2"/>
            <w:vMerge/>
            <w:tcBorders>
              <w:top w:val="nil"/>
              <w:left w:val="nil"/>
              <w:bottom w:val="single" w:sz="4" w:space="0" w:color="000000"/>
              <w:right w:val="single" w:sz="4" w:space="0" w:color="000000"/>
            </w:tcBorders>
            <w:shd w:val="clear" w:color="auto" w:fill="FFFFFF"/>
            <w:vAlign w:val="center"/>
          </w:tcPr>
          <w:p/>
        </w:tc>
        <w:tc>
          <w:tcPr>
            <w:tcW w:w="3060" w:type="dxa"/>
            <w:gridSpan w:val="2"/>
            <w:vMerge/>
            <w:tcBorders>
              <w:top w:val="nil"/>
              <w:left w:val="nil"/>
              <w:bottom w:val="single" w:sz="4" w:space="0" w:color="000000"/>
              <w:right w:val="single" w:sz="4" w:space="0" w:color="000000"/>
            </w:tcBorders>
            <w:shd w:val="clear" w:color="auto" w:fill="FFFFFF"/>
            <w:vAlign w:val="center"/>
          </w:tcPr>
          <w:p/>
        </w:tc>
        <w:tc>
          <w:tcPr>
            <w:tcW w:w="3808" w:type="dxa"/>
            <w:vMerge/>
            <w:tcBorders>
              <w:top w:val="nil"/>
              <w:left w:val="nil"/>
              <w:bottom w:val="single" w:sz="4" w:space="0" w:color="000000"/>
              <w:right w:val="single" w:sz="4" w:space="0" w:color="000000"/>
            </w:tcBorders>
            <w:shd w:val="clear" w:color="auto" w:fill="FFFFFF"/>
            <w:vAlign w:val="center"/>
          </w:tcPr>
          <w:p/>
        </w:tc>
      </w:tr>
      <w:tr>
        <w:trPr>
          <w:trHeight w:val="312"/>
        </w:trPr>
        <w:tc>
          <w:tcPr>
            <w:tcW w:w="1020" w:type="dxa"/>
            <w:vMerge/>
            <w:tcBorders>
              <w:top w:val="nil"/>
              <w:left w:val="single" w:sz="4" w:space="0" w:color="000000"/>
              <w:bottom w:val="single" w:sz="4" w:space="0" w:color="000000"/>
              <w:right w:val="single" w:sz="4" w:space="0" w:color="000000"/>
            </w:tcBorders>
            <w:shd w:val="clear" w:color="auto" w:fill="FFFFFF"/>
            <w:vAlign w:val="center"/>
          </w:tcPr>
          <w:p/>
        </w:tc>
        <w:tc>
          <w:tcPr>
            <w:tcW w:w="4668" w:type="dxa"/>
            <w:vMerge/>
            <w:tcBorders>
              <w:top w:val="nil"/>
              <w:left w:val="nil"/>
              <w:bottom w:val="single" w:sz="4" w:space="0" w:color="000000"/>
              <w:right w:val="single" w:sz="4" w:space="0" w:color="000000"/>
            </w:tcBorders>
            <w:shd w:val="clear" w:color="auto" w:fill="FFFFFF"/>
            <w:vAlign w:val="center"/>
          </w:tcPr>
          <w:p/>
        </w:tc>
        <w:tc>
          <w:tcPr>
            <w:tcW w:w="1620" w:type="dxa"/>
            <w:gridSpan w:val="2"/>
            <w:vMerge/>
            <w:tcBorders>
              <w:top w:val="nil"/>
              <w:left w:val="nil"/>
              <w:bottom w:val="single" w:sz="4" w:space="0" w:color="000000"/>
              <w:right w:val="single" w:sz="4" w:space="0" w:color="000000"/>
            </w:tcBorders>
            <w:shd w:val="clear" w:color="auto" w:fill="FFFFFF"/>
            <w:vAlign w:val="center"/>
          </w:tcPr>
          <w:p/>
        </w:tc>
        <w:tc>
          <w:tcPr>
            <w:tcW w:w="3060" w:type="dxa"/>
            <w:gridSpan w:val="2"/>
            <w:vMerge/>
            <w:tcBorders>
              <w:top w:val="nil"/>
              <w:left w:val="nil"/>
              <w:bottom w:val="single" w:sz="4" w:space="0" w:color="000000"/>
              <w:right w:val="single" w:sz="4" w:space="0" w:color="000000"/>
            </w:tcBorders>
            <w:shd w:val="clear" w:color="auto" w:fill="FFFFFF"/>
            <w:vAlign w:val="center"/>
          </w:tcPr>
          <w:p/>
        </w:tc>
        <w:tc>
          <w:tcPr>
            <w:tcW w:w="3808" w:type="dxa"/>
            <w:vMerge/>
            <w:tcBorders>
              <w:top w:val="nil"/>
              <w:left w:val="nil"/>
              <w:bottom w:val="single" w:sz="4" w:space="0" w:color="000000"/>
              <w:right w:val="single" w:sz="4" w:space="0" w:color="000000"/>
            </w:tcBorders>
            <w:shd w:val="clear" w:color="auto" w:fill="FFFFFF"/>
            <w:vAlign w:val="center"/>
          </w:tcPr>
          <w:p/>
        </w:tc>
      </w:tr>
      <w:tr>
        <w:trPr>
          <w:trHeight w:val="308"/>
        </w:trPr>
        <w:tc>
          <w:tcPr>
            <w:tcW w:w="5688" w:type="dxa"/>
            <w:gridSpan w:val="2"/>
            <w:tcBorders>
              <w:top w:val="nil"/>
              <w:left w:val="single" w:sz="4" w:space="0" w:color="000000"/>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栏次</w:t>
            </w:r>
          </w:p>
        </w:tc>
        <w:tc>
          <w:tcPr>
            <w:tcW w:w="1620" w:type="dxa"/>
            <w:gridSpan w:val="2"/>
            <w:tcBorders>
              <w:top w:val="nil"/>
              <w:left w:val="nil"/>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1</w:t>
            </w:r>
          </w:p>
        </w:tc>
        <w:tc>
          <w:tcPr>
            <w:tcW w:w="3060" w:type="dxa"/>
            <w:gridSpan w:val="2"/>
            <w:tcBorders>
              <w:top w:val="nil"/>
              <w:left w:val="nil"/>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2</w:t>
            </w:r>
          </w:p>
        </w:tc>
        <w:tc>
          <w:tcPr>
            <w:tcW w:w="3808" w:type="dxa"/>
            <w:tcBorders>
              <w:top w:val="nil"/>
              <w:left w:val="nil"/>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3</w:t>
            </w:r>
          </w:p>
        </w:tc>
      </w:tr>
      <w:tr>
        <w:trPr>
          <w:trHeight w:val="308"/>
        </w:trPr>
        <w:tc>
          <w:tcPr>
            <w:tcW w:w="5688" w:type="dxa"/>
            <w:gridSpan w:val="2"/>
            <w:tcBorders>
              <w:top w:val="nil"/>
              <w:left w:val="single" w:sz="4" w:space="0" w:color="000000"/>
              <w:bottom w:val="single" w:sz="4" w:space="0" w:color="000000"/>
              <w:right w:val="single" w:sz="4" w:space="0" w:color="000000"/>
            </w:tcBorders>
            <w:shd w:val="clear" w:color="auto" w:fill="FFFFFF"/>
            <w:noWrap/>
            <w:vAlign w:val="center"/>
          </w:tcPr>
          <w:p>
            <w:pPr>
              <w:pStyle w:val="1132"/>
              <w:widowControl/>
              <w:jc w:val="center"/>
              <w:rPr>
                <w:kern w:val="0"/>
                <w:sz w:val="22"/>
                <w:szCs w:val="22"/>
              </w:rPr>
            </w:pPr>
            <w:r>
              <w:rPr>
                <w:kern w:val="0"/>
                <w:sz w:val="22"/>
                <w:szCs w:val="22"/>
              </w:rPr>
              <w:t>合计</w:t>
            </w:r>
          </w:p>
        </w:tc>
        <w:tc>
          <w:tcPr>
            <w:tcW w:w="1620" w:type="dxa"/>
            <w:gridSpan w:val="2"/>
            <w:tcBorders>
              <w:top w:val="nil"/>
              <w:left w:val="nil"/>
              <w:bottom w:val="single" w:sz="4" w:space="0" w:color="000000"/>
              <w:right w:val="single" w:sz="4" w:space="0" w:color="000000"/>
            </w:tcBorders>
            <w:shd w:val="clear" w:color="auto" w:fill="FFFFFF"/>
            <w:noWrap/>
            <w:vAlign w:val="center"/>
          </w:tcPr>
          <w:p>
            <w:pPr>
              <w:pStyle w:val="1132"/>
              <w:widowControl/>
              <w:jc w:val="right"/>
              <w:rPr>
                <w:b/>
                <w:bCs/>
                <w:kern w:val="0"/>
                <w:sz w:val="22"/>
                <w:szCs w:val="22"/>
              </w:rPr>
            </w:pPr>
            <w:r>
              <w:rPr>
                <w:b/>
                <w:bCs/>
                <w:kern w:val="0"/>
                <w:sz w:val="22"/>
                <w:szCs w:val="22"/>
              </w:rPr>
              <w:t>　</w:t>
            </w:r>
          </w:p>
        </w:tc>
        <w:tc>
          <w:tcPr>
            <w:tcW w:w="3060" w:type="dxa"/>
            <w:gridSpan w:val="2"/>
            <w:tcBorders>
              <w:top w:val="nil"/>
              <w:left w:val="nil"/>
              <w:bottom w:val="single" w:sz="4" w:space="0" w:color="000000"/>
              <w:right w:val="single" w:sz="4" w:space="0" w:color="000000"/>
            </w:tcBorders>
            <w:shd w:val="clear" w:color="auto" w:fill="FFFFFF"/>
            <w:noWrap/>
            <w:vAlign w:val="center"/>
          </w:tcPr>
          <w:p>
            <w:pPr>
              <w:pStyle w:val="1132"/>
              <w:widowControl/>
              <w:jc w:val="right"/>
              <w:rPr>
                <w:b/>
                <w:bCs/>
                <w:kern w:val="0"/>
                <w:sz w:val="22"/>
                <w:szCs w:val="22"/>
              </w:rPr>
            </w:pPr>
            <w:r>
              <w:rPr>
                <w:b/>
                <w:bCs/>
                <w:kern w:val="0"/>
                <w:sz w:val="22"/>
                <w:szCs w:val="22"/>
              </w:rPr>
              <w:t>　</w:t>
            </w:r>
          </w:p>
        </w:tc>
        <w:tc>
          <w:tcPr>
            <w:tcW w:w="3808" w:type="dxa"/>
            <w:tcBorders>
              <w:top w:val="nil"/>
              <w:left w:val="nil"/>
              <w:bottom w:val="single" w:sz="4" w:space="0" w:color="000000"/>
              <w:right w:val="single" w:sz="4" w:space="0" w:color="000000"/>
            </w:tcBorders>
            <w:shd w:val="clear" w:color="auto" w:fill="FFFFFF"/>
            <w:noWrap/>
            <w:vAlign w:val="center"/>
          </w:tcPr>
          <w:p>
            <w:pPr>
              <w:pStyle w:val="1132"/>
              <w:widowControl/>
              <w:jc w:val="right"/>
              <w:rPr>
                <w:b/>
                <w:bCs/>
                <w:kern w:val="0"/>
                <w:sz w:val="22"/>
                <w:szCs w:val="22"/>
              </w:rPr>
            </w:pPr>
            <w:r>
              <w:rPr>
                <w:b/>
                <w:bCs/>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4668" w:type="dxa"/>
            <w:tcBorders>
              <w:top w:val="nil"/>
              <w:left w:val="nil"/>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4668" w:type="dxa"/>
            <w:tcBorders>
              <w:top w:val="nil"/>
              <w:left w:val="nil"/>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4668" w:type="dxa"/>
            <w:tcBorders>
              <w:top w:val="nil"/>
              <w:left w:val="nil"/>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4668" w:type="dxa"/>
            <w:tcBorders>
              <w:top w:val="nil"/>
              <w:left w:val="nil"/>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4668" w:type="dxa"/>
            <w:tcBorders>
              <w:top w:val="nil"/>
              <w:left w:val="nil"/>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4668" w:type="dxa"/>
            <w:tcBorders>
              <w:top w:val="nil"/>
              <w:left w:val="nil"/>
              <w:bottom w:val="single" w:sz="4" w:space="0" w:color="000000"/>
              <w:right w:val="single" w:sz="4" w:space="0" w:color="000000"/>
            </w:tcBorders>
            <w:shd w:val="clear" w:color="auto" w:fill="auto"/>
            <w:noWrap/>
            <w:vAlign w:val="center"/>
          </w:tcPr>
          <w:p>
            <w:pPr>
              <w:pStyle w:val="1132"/>
              <w:widowControl/>
              <w:jc w:val="left"/>
              <w:rPr>
                <w:kern w:val="0"/>
                <w:sz w:val="22"/>
                <w:szCs w:val="22"/>
              </w:rPr>
            </w:pPr>
            <w:r>
              <w:rPr>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pStyle w:val="1132"/>
              <w:widowControl/>
              <w:jc w:val="right"/>
              <w:rPr>
                <w:kern w:val="0"/>
                <w:sz w:val="22"/>
                <w:szCs w:val="22"/>
              </w:rPr>
            </w:pPr>
            <w:r>
              <w:rPr>
                <w:kern w:val="0"/>
                <w:sz w:val="22"/>
                <w:szCs w:val="22"/>
              </w:rPr>
              <w:t>　</w:t>
            </w:r>
          </w:p>
        </w:tc>
      </w:tr>
      <w:tr>
        <w:trPr>
          <w:trHeight w:val="308"/>
        </w:trPr>
        <w:tc>
          <w:tcPr>
            <w:tcW w:w="14176" w:type="dxa"/>
            <w:gridSpan w:val="7"/>
            <w:tcBorders>
              <w:top w:val="nil"/>
              <w:left w:val="nil"/>
              <w:bottom w:val="nil"/>
              <w:right w:val="nil"/>
            </w:tcBorders>
            <w:shd w:val="clear" w:color="auto" w:fill="auto"/>
            <w:noWrap/>
            <w:vAlign w:val="center"/>
          </w:tcPr>
          <w:p>
            <w:pPr>
              <w:pStyle w:val="1132"/>
              <w:widowControl/>
              <w:jc w:val="left"/>
              <w:rPr>
                <w:kern w:val="0"/>
                <w:sz w:val="22"/>
                <w:szCs w:val="22"/>
              </w:rPr>
            </w:pPr>
            <w:r>
              <w:rPr>
                <w:kern w:val="0"/>
                <w:sz w:val="22"/>
                <w:szCs w:val="22"/>
              </w:rPr>
              <w:t>注：本表反映单位本年度国有资本经营预算财政拨款支出情况。</w:t>
            </w:r>
          </w:p>
        </w:tc>
      </w:tr>
    </w:tbl>
    <w:p>
      <w:pPr>
        <w:pStyle w:val="1132"/>
      </w:pPr>
    </w:p>
    <w:p>
      <w:pPr>
        <w:pStyle w:val="1132"/>
      </w:pPr>
    </w:p>
    <w:p>
      <w:pPr>
        <w:pStyle w:val="1133"/>
        <w:rPr>
          <w:b/>
          <w:sz w:val="28"/>
          <w:szCs w:val="28"/>
        </w:rPr>
      </w:pPr>
      <w:r>
        <w:rPr>
          <w:b/>
          <w:sz w:val="28"/>
          <w:szCs w:val="28"/>
        </w:rPr>
        <w:t>说明：</w:t>
      </w:r>
      <w:r>
        <w:rPr>
          <w:b/>
          <w:kern w:val="0"/>
          <w:sz w:val="28"/>
          <w:szCs w:val="28"/>
        </w:rPr>
        <w:t>东乌</w:t>
      </w:r>
      <w:r>
        <w:rPr>
          <w:b/>
          <w:sz w:val="28"/>
          <w:szCs w:val="28"/>
        </w:rPr>
        <w:t>海关没有使用国有资本经营预算安排的支出，故本表无数据。</w:t>
      </w:r>
    </w:p>
    <w:p>
      <w:pPr>
        <w:rPr>
          <w:b/>
          <w:sz w:val="28"/>
          <w:szCs w:val="28"/>
        </w:rPr>
      </w:pPr>
    </w:p>
    <w:p>
      <w:pPr>
        <w:rPr>
          <w:b/>
          <w:sz w:val="28"/>
          <w:szCs w:val="28"/>
        </w:rPr>
      </w:pPr>
    </w:p>
    <w:p>
      <w:pPr>
        <w:rPr>
          <w:b/>
          <w:sz w:val="28"/>
          <w:szCs w:val="28"/>
        </w:rPr>
      </w:pPr>
    </w:p>
    <w:p>
      <w:pPr>
        <w:rPr>
          <w:b/>
          <w:sz w:val="28"/>
          <w:szCs w:val="28"/>
        </w:rPr>
      </w:pPr>
    </w:p>
    <w:tbl>
      <w:tblPr>
        <w:jc w:val="left"/>
        <w:tblW w:w="4999" w:type="pct"/>
        <w:tblBorders>
          <w:top w:val="none" w:sz="0" w:space="0" w:color="auto"/>
          <w:left w:val="none" w:sz="0" w:space="0" w:color="auto"/>
          <w:bottom w:val="none" w:sz="0" w:space="0" w:color="auto"/>
          <w:right w:val="none" w:sz="0" w:space="0" w:color="auto"/>
        </w:tblBorders>
        <w:tblLayout w:type="fixed"/>
        <w:tblCellMar>
          <w:top w:w="15" w:type="dxa"/>
          <w:left w:w="108" w:type="dxa"/>
          <w:bottom w:w="15" w:type="dxa"/>
          <w:right w:w="108" w:type="dxa"/>
        </w:tblCellMar>
      </w:tblPr>
      <w:tblGrid>
        <w:gridCol w:w="888"/>
        <w:gridCol w:w="962"/>
        <w:gridCol w:w="190"/>
        <w:gridCol w:w="340"/>
        <w:gridCol w:w="535"/>
        <w:gridCol w:w="3484"/>
        <w:gridCol w:w="506"/>
        <w:gridCol w:w="718"/>
        <w:gridCol w:w="326"/>
        <w:gridCol w:w="649"/>
        <w:gridCol w:w="1004"/>
        <w:gridCol w:w="843"/>
        <w:gridCol w:w="837"/>
        <w:gridCol w:w="878"/>
        <w:gridCol w:w="1138"/>
        <w:gridCol w:w="875"/>
      </w:tblGrid>
      <w:tr>
        <w:trPr>
          <w:trHeight w:val="510"/>
        </w:trPr>
        <w:tc>
          <w:tcPr>
            <w:tcW w:w="14173" w:type="dxa"/>
            <w:gridSpan w:val="16"/>
            <w:tcBorders>
              <w:top w:val="nil"/>
              <w:left w:val="nil"/>
              <w:bottom w:val="nil"/>
              <w:right w:val="nil"/>
            </w:tcBorders>
            <w:noWrap/>
            <w:vAlign w:val="bottom"/>
          </w:tcPr>
          <w:p>
            <w:pPr>
              <w:pStyle w:val="2"/>
              <w:jc w:val="center"/>
              <w:rPr>
                <w:rFonts w:ascii="Times New Roman" w:cs="Times New Roman" w:hAnsi="Times New Roman"/>
                <w:kern w:val="0"/>
              </w:rPr>
            </w:pPr>
            <w:bookmarkStart w:id="25" w:name="_Toc44862961"/>
            <w:r>
              <w:rPr>
                <w:rFonts w:ascii="Times New Roman" w:cs="Times New Roman" w:hAnsi="Times New Roman"/>
                <w:kern w:val="0"/>
              </w:rPr>
              <w:t>财政拨款“三公”经费支出决算表</w:t>
            </w:r>
            <w:bookmarkEnd w:id="25"/>
          </w:p>
        </w:tc>
      </w:tr>
      <w:tr>
        <w:trPr>
          <w:trHeight w:val="486"/>
        </w:trPr>
        <w:tc>
          <w:tcPr>
            <w:tcW w:w="888" w:type="dxa"/>
            <w:tcBorders>
              <w:top w:val="nil"/>
              <w:left w:val="nil"/>
              <w:bottom w:val="nil"/>
              <w:right w:val="nil"/>
            </w:tcBorders>
            <w:noWrap/>
            <w:vAlign w:val="bottom"/>
          </w:tcPr>
          <w:p>
            <w:pPr>
              <w:pStyle w:val="1183"/>
              <w:widowControl/>
              <w:jc w:val="left"/>
              <w:rPr>
                <w:kern w:val="0"/>
                <w:sz w:val="20"/>
                <w:szCs w:val="20"/>
              </w:rPr>
            </w:pPr>
          </w:p>
        </w:tc>
        <w:tc>
          <w:tcPr>
            <w:tcW w:w="962" w:type="dxa"/>
            <w:tcBorders>
              <w:top w:val="nil"/>
              <w:left w:val="nil"/>
              <w:bottom w:val="nil"/>
              <w:right w:val="nil"/>
            </w:tcBorders>
            <w:noWrap/>
            <w:vAlign w:val="bottom"/>
          </w:tcPr>
          <w:p>
            <w:pPr>
              <w:pStyle w:val="1183"/>
              <w:widowControl/>
              <w:jc w:val="left"/>
              <w:rPr>
                <w:kern w:val="0"/>
                <w:sz w:val="20"/>
                <w:szCs w:val="20"/>
              </w:rPr>
            </w:pPr>
          </w:p>
        </w:tc>
        <w:tc>
          <w:tcPr>
            <w:tcW w:w="530" w:type="dxa"/>
            <w:gridSpan w:val="2"/>
            <w:tcBorders>
              <w:top w:val="nil"/>
              <w:left w:val="nil"/>
              <w:bottom w:val="nil"/>
              <w:right w:val="nil"/>
            </w:tcBorders>
            <w:noWrap/>
            <w:vAlign w:val="bottom"/>
          </w:tcPr>
          <w:p>
            <w:pPr>
              <w:pStyle w:val="1183"/>
              <w:widowControl/>
              <w:jc w:val="left"/>
              <w:rPr>
                <w:kern w:val="0"/>
                <w:sz w:val="20"/>
                <w:szCs w:val="20"/>
              </w:rPr>
            </w:pPr>
          </w:p>
        </w:tc>
        <w:tc>
          <w:tcPr>
            <w:tcW w:w="4525" w:type="dxa"/>
            <w:gridSpan w:val="3"/>
            <w:tcBorders>
              <w:top w:val="nil"/>
              <w:left w:val="nil"/>
              <w:bottom w:val="nil"/>
              <w:right w:val="nil"/>
            </w:tcBorders>
            <w:noWrap/>
            <w:vAlign w:val="bottom"/>
          </w:tcPr>
          <w:p>
            <w:pPr>
              <w:pStyle w:val="1183"/>
              <w:widowControl/>
              <w:jc w:val="left"/>
              <w:rPr>
                <w:kern w:val="0"/>
                <w:sz w:val="20"/>
                <w:szCs w:val="20"/>
              </w:rPr>
            </w:pPr>
          </w:p>
        </w:tc>
        <w:tc>
          <w:tcPr>
            <w:tcW w:w="1044" w:type="dxa"/>
            <w:gridSpan w:val="2"/>
            <w:tcBorders>
              <w:top w:val="nil"/>
              <w:left w:val="nil"/>
              <w:bottom w:val="nil"/>
              <w:right w:val="nil"/>
            </w:tcBorders>
            <w:noWrap/>
            <w:vAlign w:val="bottom"/>
          </w:tcPr>
          <w:p>
            <w:pPr>
              <w:pStyle w:val="1183"/>
              <w:widowControl/>
              <w:jc w:val="left"/>
              <w:rPr>
                <w:kern w:val="0"/>
                <w:sz w:val="20"/>
                <w:szCs w:val="20"/>
              </w:rPr>
            </w:pPr>
          </w:p>
        </w:tc>
        <w:tc>
          <w:tcPr>
            <w:tcW w:w="649" w:type="dxa"/>
            <w:tcBorders>
              <w:top w:val="nil"/>
              <w:left w:val="nil"/>
              <w:bottom w:val="nil"/>
              <w:right w:val="nil"/>
            </w:tcBorders>
            <w:noWrap/>
            <w:vAlign w:val="bottom"/>
          </w:tcPr>
          <w:p>
            <w:pPr>
              <w:pStyle w:val="1183"/>
              <w:widowControl/>
              <w:jc w:val="left"/>
              <w:rPr>
                <w:kern w:val="0"/>
                <w:sz w:val="20"/>
                <w:szCs w:val="20"/>
              </w:rPr>
            </w:pPr>
          </w:p>
        </w:tc>
        <w:tc>
          <w:tcPr>
            <w:tcW w:w="1004" w:type="dxa"/>
            <w:tcBorders>
              <w:top w:val="nil"/>
              <w:left w:val="nil"/>
              <w:bottom w:val="nil"/>
              <w:right w:val="nil"/>
            </w:tcBorders>
            <w:noWrap/>
            <w:vAlign w:val="bottom"/>
          </w:tcPr>
          <w:p>
            <w:pPr>
              <w:pStyle w:val="1183"/>
              <w:widowControl/>
              <w:jc w:val="left"/>
              <w:rPr>
                <w:kern w:val="0"/>
                <w:sz w:val="20"/>
                <w:szCs w:val="20"/>
              </w:rPr>
            </w:pPr>
          </w:p>
        </w:tc>
        <w:tc>
          <w:tcPr>
            <w:tcW w:w="843" w:type="dxa"/>
            <w:tcBorders>
              <w:top w:val="nil"/>
              <w:left w:val="nil"/>
              <w:bottom w:val="nil"/>
              <w:right w:val="nil"/>
            </w:tcBorders>
            <w:noWrap/>
            <w:vAlign w:val="bottom"/>
          </w:tcPr>
          <w:p>
            <w:pPr>
              <w:pStyle w:val="1183"/>
              <w:widowControl/>
              <w:jc w:val="left"/>
              <w:rPr>
                <w:kern w:val="0"/>
                <w:sz w:val="20"/>
                <w:szCs w:val="20"/>
              </w:rPr>
            </w:pPr>
          </w:p>
        </w:tc>
        <w:tc>
          <w:tcPr>
            <w:tcW w:w="837" w:type="dxa"/>
            <w:tcBorders>
              <w:top w:val="nil"/>
              <w:left w:val="nil"/>
              <w:bottom w:val="nil"/>
              <w:right w:val="nil"/>
            </w:tcBorders>
            <w:noWrap/>
            <w:vAlign w:val="bottom"/>
          </w:tcPr>
          <w:p>
            <w:pPr>
              <w:pStyle w:val="1183"/>
              <w:widowControl/>
              <w:jc w:val="left"/>
              <w:rPr>
                <w:kern w:val="0"/>
                <w:sz w:val="20"/>
                <w:szCs w:val="20"/>
              </w:rPr>
            </w:pPr>
          </w:p>
        </w:tc>
        <w:tc>
          <w:tcPr>
            <w:tcW w:w="878" w:type="dxa"/>
            <w:tcBorders>
              <w:top w:val="nil"/>
              <w:left w:val="nil"/>
              <w:bottom w:val="nil"/>
              <w:right w:val="nil"/>
            </w:tcBorders>
            <w:noWrap/>
            <w:vAlign w:val="bottom"/>
          </w:tcPr>
          <w:p>
            <w:pPr>
              <w:pStyle w:val="1183"/>
              <w:widowControl/>
              <w:jc w:val="left"/>
              <w:rPr>
                <w:kern w:val="0"/>
                <w:sz w:val="20"/>
                <w:szCs w:val="20"/>
              </w:rPr>
            </w:pPr>
          </w:p>
        </w:tc>
        <w:tc>
          <w:tcPr>
            <w:tcW w:w="2013" w:type="dxa"/>
            <w:gridSpan w:val="2"/>
            <w:tcBorders>
              <w:top w:val="nil"/>
              <w:left w:val="nil"/>
              <w:bottom w:val="nil"/>
              <w:right w:val="nil"/>
            </w:tcBorders>
            <w:noWrap/>
            <w:vAlign w:val="bottom"/>
          </w:tcPr>
          <w:p>
            <w:pPr>
              <w:pStyle w:val="1183"/>
              <w:widowControl/>
              <w:jc w:val="right"/>
              <w:rPr>
                <w:kern w:val="0"/>
                <w:sz w:val="20"/>
                <w:szCs w:val="20"/>
              </w:rPr>
            </w:pPr>
            <w:r>
              <w:rPr>
                <w:kern w:val="0"/>
                <w:sz w:val="20"/>
                <w:szCs w:val="20"/>
              </w:rPr>
              <w:t>公开09表</w:t>
            </w:r>
          </w:p>
        </w:tc>
      </w:tr>
      <w:tr>
        <w:trPr>
          <w:trHeight w:val="255"/>
        </w:trPr>
        <w:tc>
          <w:tcPr>
            <w:tcW w:w="2040" w:type="dxa"/>
            <w:gridSpan w:val="3"/>
            <w:tcBorders>
              <w:top w:val="nil"/>
              <w:left w:val="nil"/>
              <w:bottom w:val="single" w:sz="6" w:space="0" w:color="000000"/>
              <w:right w:val="nil"/>
            </w:tcBorders>
            <w:noWrap/>
            <w:vAlign w:val="bottom"/>
          </w:tcPr>
          <w:p>
            <w:pPr>
              <w:pStyle w:val="1183"/>
              <w:widowControl/>
              <w:jc w:val="left"/>
              <w:rPr>
                <w:kern w:val="0"/>
                <w:sz w:val="20"/>
                <w:szCs w:val="20"/>
              </w:rPr>
            </w:pPr>
            <w:r>
              <w:rPr>
                <w:kern w:val="0"/>
                <w:sz w:val="20"/>
                <w:szCs w:val="20"/>
              </w:rPr>
              <w:t>单位：中华人民共和国东乌海关</w:t>
            </w:r>
          </w:p>
        </w:tc>
        <w:tc>
          <w:tcPr>
            <w:tcW w:w="340" w:type="dxa"/>
            <w:tcBorders>
              <w:top w:val="nil"/>
              <w:left w:val="nil"/>
              <w:bottom w:val="nil"/>
              <w:right w:val="nil"/>
            </w:tcBorders>
            <w:noWrap/>
            <w:vAlign w:val="bottom"/>
          </w:tcPr>
          <w:p>
            <w:pPr>
              <w:pStyle w:val="1183"/>
              <w:widowControl/>
              <w:jc w:val="left"/>
              <w:rPr>
                <w:kern w:val="0"/>
                <w:sz w:val="20"/>
                <w:szCs w:val="20"/>
              </w:rPr>
            </w:pPr>
          </w:p>
        </w:tc>
        <w:tc>
          <w:tcPr>
            <w:tcW w:w="4525" w:type="dxa"/>
            <w:gridSpan w:val="3"/>
            <w:tcBorders>
              <w:top w:val="nil"/>
              <w:left w:val="nil"/>
              <w:bottom w:val="nil"/>
              <w:right w:val="nil"/>
            </w:tcBorders>
            <w:noWrap/>
            <w:vAlign w:val="bottom"/>
          </w:tcPr>
          <w:p>
            <w:pPr>
              <w:pStyle w:val="1183"/>
              <w:widowControl/>
              <w:jc w:val="left"/>
              <w:rPr>
                <w:kern w:val="0"/>
                <w:sz w:val="20"/>
                <w:szCs w:val="20"/>
              </w:rPr>
            </w:pPr>
          </w:p>
        </w:tc>
        <w:tc>
          <w:tcPr>
            <w:tcW w:w="1044" w:type="dxa"/>
            <w:gridSpan w:val="2"/>
            <w:tcBorders>
              <w:top w:val="nil"/>
              <w:left w:val="nil"/>
              <w:bottom w:val="nil"/>
              <w:right w:val="nil"/>
            </w:tcBorders>
            <w:noWrap/>
            <w:vAlign w:val="bottom"/>
          </w:tcPr>
          <w:p>
            <w:pPr>
              <w:pStyle w:val="1183"/>
              <w:widowControl/>
              <w:jc w:val="left"/>
              <w:rPr>
                <w:kern w:val="0"/>
                <w:sz w:val="20"/>
                <w:szCs w:val="20"/>
              </w:rPr>
            </w:pPr>
          </w:p>
        </w:tc>
        <w:tc>
          <w:tcPr>
            <w:tcW w:w="649" w:type="dxa"/>
            <w:tcBorders>
              <w:top w:val="nil"/>
              <w:left w:val="nil"/>
              <w:bottom w:val="nil"/>
              <w:right w:val="nil"/>
            </w:tcBorders>
            <w:noWrap/>
            <w:vAlign w:val="bottom"/>
          </w:tcPr>
          <w:p>
            <w:pPr>
              <w:pStyle w:val="1183"/>
              <w:widowControl/>
              <w:jc w:val="left"/>
              <w:rPr>
                <w:kern w:val="0"/>
                <w:sz w:val="20"/>
                <w:szCs w:val="20"/>
              </w:rPr>
            </w:pPr>
          </w:p>
        </w:tc>
        <w:tc>
          <w:tcPr>
            <w:tcW w:w="1004" w:type="dxa"/>
            <w:tcBorders>
              <w:top w:val="nil"/>
              <w:left w:val="nil"/>
              <w:bottom w:val="nil"/>
              <w:right w:val="nil"/>
            </w:tcBorders>
            <w:noWrap/>
            <w:vAlign w:val="bottom"/>
          </w:tcPr>
          <w:p>
            <w:pPr>
              <w:pStyle w:val="1183"/>
              <w:widowControl/>
              <w:jc w:val="left"/>
              <w:rPr>
                <w:kern w:val="0"/>
                <w:sz w:val="20"/>
                <w:szCs w:val="20"/>
              </w:rPr>
            </w:pPr>
          </w:p>
        </w:tc>
        <w:tc>
          <w:tcPr>
            <w:tcW w:w="843" w:type="dxa"/>
            <w:tcBorders>
              <w:top w:val="nil"/>
              <w:left w:val="nil"/>
              <w:bottom w:val="nil"/>
              <w:right w:val="nil"/>
            </w:tcBorders>
            <w:noWrap/>
            <w:vAlign w:val="bottom"/>
          </w:tcPr>
          <w:p>
            <w:pPr>
              <w:pStyle w:val="1183"/>
              <w:widowControl/>
              <w:jc w:val="left"/>
              <w:rPr>
                <w:kern w:val="0"/>
                <w:sz w:val="20"/>
                <w:szCs w:val="20"/>
              </w:rPr>
            </w:pPr>
          </w:p>
        </w:tc>
        <w:tc>
          <w:tcPr>
            <w:tcW w:w="837" w:type="dxa"/>
            <w:tcBorders>
              <w:top w:val="nil"/>
              <w:left w:val="nil"/>
              <w:bottom w:val="nil"/>
              <w:right w:val="nil"/>
            </w:tcBorders>
            <w:noWrap/>
            <w:vAlign w:val="bottom"/>
          </w:tcPr>
          <w:p>
            <w:pPr>
              <w:pStyle w:val="1183"/>
              <w:widowControl/>
              <w:jc w:val="left"/>
              <w:rPr>
                <w:kern w:val="0"/>
                <w:sz w:val="20"/>
                <w:szCs w:val="20"/>
              </w:rPr>
            </w:pPr>
          </w:p>
        </w:tc>
        <w:tc>
          <w:tcPr>
            <w:tcW w:w="878" w:type="dxa"/>
            <w:tcBorders>
              <w:top w:val="nil"/>
              <w:left w:val="nil"/>
              <w:bottom w:val="nil"/>
              <w:right w:val="nil"/>
            </w:tcBorders>
            <w:noWrap/>
            <w:vAlign w:val="bottom"/>
          </w:tcPr>
          <w:p>
            <w:pPr>
              <w:pStyle w:val="1183"/>
              <w:widowControl/>
              <w:jc w:val="left"/>
              <w:rPr>
                <w:kern w:val="0"/>
                <w:sz w:val="20"/>
                <w:szCs w:val="20"/>
              </w:rPr>
            </w:pPr>
          </w:p>
        </w:tc>
        <w:tc>
          <w:tcPr>
            <w:tcW w:w="2013" w:type="dxa"/>
            <w:gridSpan w:val="2"/>
            <w:tcBorders>
              <w:top w:val="nil"/>
              <w:left w:val="nil"/>
              <w:bottom w:val="single" w:sz="6" w:space="0" w:color="000000"/>
              <w:right w:val="nil"/>
            </w:tcBorders>
            <w:noWrap/>
            <w:vAlign w:val="bottom"/>
          </w:tcPr>
          <w:p>
            <w:pPr>
              <w:pStyle w:val="1183"/>
              <w:widowControl/>
              <w:jc w:val="right"/>
              <w:rPr>
                <w:kern w:val="0"/>
                <w:sz w:val="20"/>
                <w:szCs w:val="20"/>
              </w:rPr>
            </w:pPr>
            <w:r>
              <w:rPr>
                <w:kern w:val="0"/>
                <w:sz w:val="20"/>
                <w:szCs w:val="20"/>
              </w:rPr>
              <w:t>金额单位：万元</w:t>
            </w:r>
          </w:p>
        </w:tc>
      </w:tr>
      <w:tr>
        <w:trPr>
          <w:trHeight w:val="315"/>
        </w:trPr>
        <w:tc>
          <w:tcPr>
            <w:tcW w:w="8598" w:type="dxa"/>
            <w:gridSpan w:val="10"/>
            <w:tcBorders>
              <w:top w:val="single" w:sz="6" w:space="0" w:color="000000"/>
              <w:left w:val="single" w:sz="6" w:space="0" w:color="000000"/>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预算数</w:t>
            </w:r>
          </w:p>
        </w:tc>
        <w:tc>
          <w:tcPr>
            <w:tcW w:w="5575" w:type="dxa"/>
            <w:gridSpan w:val="6"/>
            <w:tcBorders>
              <w:top w:val="single" w:sz="6" w:space="0" w:color="000000"/>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决算数</w:t>
            </w:r>
          </w:p>
        </w:tc>
      </w:tr>
      <w:tr>
        <w:trPr>
          <w:trHeight w:val="315"/>
        </w:trPr>
        <w:tc>
          <w:tcPr>
            <w:tcW w:w="888" w:type="dxa"/>
            <w:vMerge w:val="restart"/>
            <w:tcBorders>
              <w:top w:val="nil"/>
              <w:left w:val="single" w:sz="6" w:space="0" w:color="000000"/>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合计</w:t>
            </w:r>
          </w:p>
        </w:tc>
        <w:tc>
          <w:tcPr>
            <w:tcW w:w="962" w:type="dxa"/>
            <w:vMerge w:val="restart"/>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因公出国（境）费</w:t>
            </w:r>
          </w:p>
        </w:tc>
        <w:tc>
          <w:tcPr>
            <w:tcW w:w="5773" w:type="dxa"/>
            <w:gridSpan w:val="6"/>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公务用车购置及运行费</w:t>
            </w:r>
          </w:p>
        </w:tc>
        <w:tc>
          <w:tcPr>
            <w:tcW w:w="975" w:type="dxa"/>
            <w:gridSpan w:val="2"/>
            <w:vMerge w:val="restart"/>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公务接待费</w:t>
            </w:r>
          </w:p>
        </w:tc>
        <w:tc>
          <w:tcPr>
            <w:tcW w:w="1004" w:type="dxa"/>
            <w:vMerge w:val="restart"/>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合计</w:t>
            </w:r>
          </w:p>
        </w:tc>
        <w:tc>
          <w:tcPr>
            <w:tcW w:w="843" w:type="dxa"/>
            <w:vMerge w:val="restart"/>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因公出国（境）费</w:t>
            </w:r>
          </w:p>
        </w:tc>
        <w:tc>
          <w:tcPr>
            <w:tcW w:w="2853" w:type="dxa"/>
            <w:gridSpan w:val="3"/>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公务用车购置及运行费</w:t>
            </w:r>
          </w:p>
        </w:tc>
        <w:tc>
          <w:tcPr>
            <w:tcW w:w="875" w:type="dxa"/>
            <w:vMerge w:val="restart"/>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公务接待费</w:t>
            </w:r>
          </w:p>
        </w:tc>
      </w:tr>
      <w:tr>
        <w:trPr>
          <w:trHeight w:val="615"/>
        </w:trPr>
        <w:tc>
          <w:tcPr>
            <w:tcW w:w="888" w:type="dxa"/>
            <w:vMerge/>
            <w:tcBorders>
              <w:top w:val="nil"/>
              <w:left w:val="single" w:sz="6" w:space="0" w:color="000000"/>
              <w:bottom w:val="single" w:sz="6" w:space="0" w:color="000000"/>
              <w:right w:val="single" w:sz="6" w:space="0" w:color="000000"/>
            </w:tcBorders>
            <w:noWrap/>
            <w:vAlign w:val="center"/>
          </w:tcPr>
          <w:p/>
        </w:tc>
        <w:tc>
          <w:tcPr>
            <w:tcW w:w="962" w:type="dxa"/>
            <w:vMerge/>
            <w:tcBorders>
              <w:top w:val="nil"/>
              <w:left w:val="nil"/>
              <w:bottom w:val="single" w:sz="6" w:space="0" w:color="000000"/>
              <w:right w:val="single" w:sz="6" w:space="0" w:color="000000"/>
            </w:tcBorders>
            <w:noWrap/>
            <w:vAlign w:val="center"/>
          </w:tcPr>
          <w:p/>
        </w:tc>
        <w:tc>
          <w:tcPr>
            <w:tcW w:w="1065" w:type="dxa"/>
            <w:gridSpan w:val="3"/>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小计</w:t>
            </w:r>
          </w:p>
        </w:tc>
        <w:tc>
          <w:tcPr>
            <w:tcW w:w="3484"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公务用车购置费</w:t>
            </w:r>
          </w:p>
        </w:tc>
        <w:tc>
          <w:tcPr>
            <w:tcW w:w="1224" w:type="dxa"/>
            <w:gridSpan w:val="2"/>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公务用车运行费</w:t>
            </w:r>
          </w:p>
        </w:tc>
        <w:tc>
          <w:tcPr>
            <w:tcW w:w="975" w:type="dxa"/>
            <w:gridSpan w:val="2"/>
            <w:vMerge/>
            <w:tcBorders>
              <w:top w:val="nil"/>
              <w:left w:val="nil"/>
              <w:bottom w:val="single" w:sz="6" w:space="0" w:color="000000"/>
              <w:right w:val="single" w:sz="6" w:space="0" w:color="000000"/>
            </w:tcBorders>
            <w:noWrap/>
            <w:vAlign w:val="center"/>
          </w:tcPr>
          <w:p/>
        </w:tc>
        <w:tc>
          <w:tcPr>
            <w:tcW w:w="1004" w:type="dxa"/>
            <w:vMerge/>
            <w:tcBorders>
              <w:top w:val="nil"/>
              <w:left w:val="nil"/>
              <w:bottom w:val="single" w:sz="6" w:space="0" w:color="000000"/>
              <w:right w:val="single" w:sz="6" w:space="0" w:color="000000"/>
            </w:tcBorders>
            <w:noWrap/>
            <w:vAlign w:val="center"/>
          </w:tcPr>
          <w:p/>
        </w:tc>
        <w:tc>
          <w:tcPr>
            <w:tcW w:w="843" w:type="dxa"/>
            <w:vMerge/>
            <w:tcBorders>
              <w:top w:val="nil"/>
              <w:left w:val="nil"/>
              <w:bottom w:val="single" w:sz="6" w:space="0" w:color="000000"/>
              <w:right w:val="single" w:sz="6" w:space="0" w:color="000000"/>
            </w:tcBorders>
            <w:noWrap/>
            <w:vAlign w:val="center"/>
          </w:tcPr>
          <w:p/>
        </w:tc>
        <w:tc>
          <w:tcPr>
            <w:tcW w:w="837"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小计</w:t>
            </w:r>
          </w:p>
        </w:tc>
        <w:tc>
          <w:tcPr>
            <w:tcW w:w="878"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公务用车购置费</w:t>
            </w:r>
          </w:p>
        </w:tc>
        <w:tc>
          <w:tcPr>
            <w:tcW w:w="1138"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公务用车运行费</w:t>
            </w:r>
          </w:p>
        </w:tc>
        <w:tc>
          <w:tcPr>
            <w:tcW w:w="875" w:type="dxa"/>
            <w:vMerge/>
            <w:tcBorders>
              <w:top w:val="nil"/>
              <w:left w:val="nil"/>
              <w:bottom w:val="single" w:sz="6" w:space="0" w:color="000000"/>
              <w:right w:val="single" w:sz="6" w:space="0" w:color="000000"/>
            </w:tcBorders>
            <w:noWrap/>
            <w:vAlign w:val="center"/>
          </w:tcPr>
          <w:p/>
        </w:tc>
      </w:tr>
      <w:tr>
        <w:trPr>
          <w:trHeight w:val="315"/>
        </w:trPr>
        <w:tc>
          <w:tcPr>
            <w:tcW w:w="888" w:type="dxa"/>
            <w:tcBorders>
              <w:top w:val="nil"/>
              <w:left w:val="single" w:sz="6" w:space="0" w:color="000000"/>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1</w:t>
            </w:r>
          </w:p>
        </w:tc>
        <w:tc>
          <w:tcPr>
            <w:tcW w:w="962"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2</w:t>
            </w:r>
          </w:p>
        </w:tc>
        <w:tc>
          <w:tcPr>
            <w:tcW w:w="1065" w:type="dxa"/>
            <w:gridSpan w:val="3"/>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3</w:t>
            </w:r>
          </w:p>
        </w:tc>
        <w:tc>
          <w:tcPr>
            <w:tcW w:w="3484"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4</w:t>
            </w:r>
          </w:p>
        </w:tc>
        <w:tc>
          <w:tcPr>
            <w:tcW w:w="1224" w:type="dxa"/>
            <w:gridSpan w:val="2"/>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5</w:t>
            </w:r>
          </w:p>
        </w:tc>
        <w:tc>
          <w:tcPr>
            <w:tcW w:w="975" w:type="dxa"/>
            <w:gridSpan w:val="2"/>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6</w:t>
            </w:r>
          </w:p>
        </w:tc>
        <w:tc>
          <w:tcPr>
            <w:tcW w:w="1004"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7</w:t>
            </w:r>
          </w:p>
        </w:tc>
        <w:tc>
          <w:tcPr>
            <w:tcW w:w="843"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8</w:t>
            </w:r>
          </w:p>
        </w:tc>
        <w:tc>
          <w:tcPr>
            <w:tcW w:w="837"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9</w:t>
            </w:r>
          </w:p>
        </w:tc>
        <w:tc>
          <w:tcPr>
            <w:tcW w:w="878"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10</w:t>
            </w:r>
          </w:p>
        </w:tc>
        <w:tc>
          <w:tcPr>
            <w:tcW w:w="1138"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11</w:t>
            </w:r>
          </w:p>
        </w:tc>
        <w:tc>
          <w:tcPr>
            <w:tcW w:w="875" w:type="dxa"/>
            <w:tcBorders>
              <w:top w:val="nil"/>
              <w:left w:val="nil"/>
              <w:bottom w:val="single" w:sz="6" w:space="0" w:color="000000"/>
              <w:right w:val="single" w:sz="6" w:space="0" w:color="000000"/>
            </w:tcBorders>
            <w:noWrap/>
            <w:vAlign w:val="center"/>
          </w:tcPr>
          <w:p>
            <w:pPr>
              <w:pStyle w:val="1183"/>
              <w:widowControl/>
              <w:jc w:val="center"/>
              <w:rPr>
                <w:kern w:val="0"/>
                <w:sz w:val="22"/>
                <w:szCs w:val="22"/>
              </w:rPr>
            </w:pPr>
            <w:r>
              <w:rPr>
                <w:kern w:val="0"/>
                <w:sz w:val="22"/>
                <w:szCs w:val="22"/>
              </w:rPr>
              <w:t>12</w:t>
            </w:r>
          </w:p>
        </w:tc>
      </w:tr>
      <w:tr>
        <w:trPr>
          <w:trHeight w:val="315"/>
        </w:trPr>
        <w:tc>
          <w:tcPr>
            <w:tcW w:w="888" w:type="dxa"/>
            <w:tcBorders>
              <w:top w:val="nil"/>
              <w:left w:val="single" w:sz="6" w:space="0" w:color="000000"/>
              <w:bottom w:val="single" w:sz="6" w:space="0" w:color="000000"/>
              <w:right w:val="single" w:sz="6" w:space="0" w:color="000000"/>
            </w:tcBorders>
            <w:noWrap/>
            <w:vAlign w:val="center"/>
          </w:tcPr>
          <w:p>
            <w:pPr>
              <w:pStyle w:val="1183"/>
              <w:jc w:val="right"/>
              <w:rPr>
                <w:sz w:val="22"/>
              </w:rPr>
            </w:pPr>
            <w:r>
              <w:rPr>
                <w:sz w:val="22"/>
              </w:rPr>
              <w:t>43.04</w:t>
            </w:r>
          </w:p>
        </w:tc>
        <w:tc>
          <w:tcPr>
            <w:tcW w:w="962" w:type="dxa"/>
            <w:tcBorders>
              <w:top w:val="nil"/>
              <w:left w:val="nil"/>
              <w:bottom w:val="single" w:sz="6" w:space="0" w:color="000000"/>
              <w:right w:val="single" w:sz="6" w:space="0" w:color="000000"/>
            </w:tcBorders>
            <w:noWrap/>
            <w:vAlign w:val="center"/>
          </w:tcPr>
          <w:p>
            <w:pPr>
              <w:pStyle w:val="1183"/>
              <w:jc w:val="right"/>
              <w:rPr>
                <w:sz w:val="22"/>
              </w:rPr>
            </w:pPr>
          </w:p>
        </w:tc>
        <w:tc>
          <w:tcPr>
            <w:tcW w:w="1065" w:type="dxa"/>
            <w:gridSpan w:val="3"/>
            <w:tcBorders>
              <w:top w:val="nil"/>
              <w:left w:val="nil"/>
              <w:bottom w:val="single" w:sz="6" w:space="0" w:color="000000"/>
              <w:right w:val="single" w:sz="6" w:space="0" w:color="000000"/>
            </w:tcBorders>
            <w:noWrap/>
            <w:vAlign w:val="center"/>
          </w:tcPr>
          <w:p>
            <w:pPr>
              <w:pStyle w:val="1183"/>
              <w:jc w:val="right"/>
              <w:rPr>
                <w:sz w:val="22"/>
              </w:rPr>
            </w:pPr>
            <w:r>
              <w:rPr>
                <w:sz w:val="22"/>
              </w:rPr>
              <w:t>42.09</w:t>
            </w:r>
          </w:p>
        </w:tc>
        <w:tc>
          <w:tcPr>
            <w:tcW w:w="3484" w:type="dxa"/>
            <w:tcBorders>
              <w:top w:val="nil"/>
              <w:left w:val="nil"/>
              <w:bottom w:val="single" w:sz="6" w:space="0" w:color="000000"/>
              <w:right w:val="single" w:sz="6" w:space="0" w:color="000000"/>
            </w:tcBorders>
            <w:noWrap/>
            <w:vAlign w:val="center"/>
          </w:tcPr>
          <w:p>
            <w:pPr>
              <w:pStyle w:val="1183"/>
              <w:jc w:val="right"/>
              <w:rPr>
                <w:sz w:val="22"/>
              </w:rPr>
            </w:pPr>
          </w:p>
        </w:tc>
        <w:tc>
          <w:tcPr>
            <w:tcW w:w="1224" w:type="dxa"/>
            <w:gridSpan w:val="2"/>
            <w:tcBorders>
              <w:top w:val="nil"/>
              <w:left w:val="nil"/>
              <w:bottom w:val="single" w:sz="6" w:space="0" w:color="000000"/>
              <w:right w:val="single" w:sz="6" w:space="0" w:color="000000"/>
            </w:tcBorders>
            <w:noWrap/>
            <w:vAlign w:val="center"/>
          </w:tcPr>
          <w:p>
            <w:pPr>
              <w:pStyle w:val="1183"/>
              <w:jc w:val="right"/>
              <w:rPr>
                <w:sz w:val="22"/>
              </w:rPr>
            </w:pPr>
            <w:r>
              <w:rPr>
                <w:sz w:val="22"/>
              </w:rPr>
              <w:t>42.09</w:t>
            </w:r>
          </w:p>
        </w:tc>
        <w:tc>
          <w:tcPr>
            <w:tcW w:w="975" w:type="dxa"/>
            <w:gridSpan w:val="2"/>
            <w:tcBorders>
              <w:top w:val="nil"/>
              <w:left w:val="nil"/>
              <w:bottom w:val="single" w:sz="6" w:space="0" w:color="000000"/>
              <w:right w:val="single" w:sz="6" w:space="0" w:color="000000"/>
            </w:tcBorders>
            <w:noWrap/>
            <w:vAlign w:val="center"/>
          </w:tcPr>
          <w:p>
            <w:pPr>
              <w:pStyle w:val="1183"/>
              <w:jc w:val="right"/>
              <w:rPr>
                <w:sz w:val="22"/>
              </w:rPr>
            </w:pPr>
            <w:r>
              <w:rPr>
                <w:sz w:val="22"/>
              </w:rPr>
              <w:t>0.95</w:t>
            </w:r>
          </w:p>
        </w:tc>
        <w:tc>
          <w:tcPr>
            <w:tcW w:w="1004" w:type="dxa"/>
            <w:tcBorders>
              <w:top w:val="nil"/>
              <w:left w:val="nil"/>
              <w:bottom w:val="single" w:sz="6" w:space="0" w:color="000000"/>
              <w:right w:val="single" w:sz="6" w:space="0" w:color="000000"/>
            </w:tcBorders>
            <w:noWrap/>
            <w:vAlign w:val="center"/>
          </w:tcPr>
          <w:p>
            <w:pPr>
              <w:pStyle w:val="1183"/>
              <w:jc w:val="right"/>
              <w:rPr>
                <w:sz w:val="22"/>
              </w:rPr>
            </w:pPr>
            <w:r>
              <w:rPr>
                <w:sz w:val="22"/>
              </w:rPr>
              <w:t>40.48</w:t>
            </w:r>
          </w:p>
        </w:tc>
        <w:tc>
          <w:tcPr>
            <w:tcW w:w="843" w:type="dxa"/>
            <w:tcBorders>
              <w:top w:val="nil"/>
              <w:left w:val="nil"/>
              <w:bottom w:val="single" w:sz="6" w:space="0" w:color="000000"/>
              <w:right w:val="single" w:sz="6" w:space="0" w:color="000000"/>
            </w:tcBorders>
            <w:noWrap/>
            <w:vAlign w:val="center"/>
          </w:tcPr>
          <w:p>
            <w:pPr>
              <w:pStyle w:val="1183"/>
              <w:jc w:val="right"/>
              <w:rPr>
                <w:sz w:val="22"/>
              </w:rPr>
            </w:pPr>
          </w:p>
        </w:tc>
        <w:tc>
          <w:tcPr>
            <w:tcW w:w="837" w:type="dxa"/>
            <w:tcBorders>
              <w:top w:val="nil"/>
              <w:left w:val="nil"/>
              <w:bottom w:val="single" w:sz="6" w:space="0" w:color="000000"/>
              <w:right w:val="single" w:sz="6" w:space="0" w:color="000000"/>
            </w:tcBorders>
            <w:noWrap/>
            <w:vAlign w:val="center"/>
          </w:tcPr>
          <w:p>
            <w:pPr>
              <w:pStyle w:val="1183"/>
              <w:jc w:val="right"/>
              <w:rPr>
                <w:sz w:val="22"/>
              </w:rPr>
            </w:pPr>
            <w:r>
              <w:rPr>
                <w:sz w:val="22"/>
              </w:rPr>
              <w:t>40.29</w:t>
            </w:r>
          </w:p>
        </w:tc>
        <w:tc>
          <w:tcPr>
            <w:tcW w:w="878" w:type="dxa"/>
            <w:tcBorders>
              <w:top w:val="nil"/>
              <w:left w:val="nil"/>
              <w:bottom w:val="single" w:sz="6" w:space="0" w:color="000000"/>
              <w:right w:val="single" w:sz="6" w:space="0" w:color="000000"/>
            </w:tcBorders>
            <w:noWrap/>
            <w:vAlign w:val="center"/>
          </w:tcPr>
          <w:p>
            <w:pPr>
              <w:pStyle w:val="1183"/>
              <w:jc w:val="right"/>
              <w:rPr>
                <w:sz w:val="22"/>
              </w:rPr>
            </w:pPr>
          </w:p>
        </w:tc>
        <w:tc>
          <w:tcPr>
            <w:tcW w:w="1138" w:type="dxa"/>
            <w:tcBorders>
              <w:top w:val="nil"/>
              <w:left w:val="nil"/>
              <w:bottom w:val="single" w:sz="6" w:space="0" w:color="000000"/>
              <w:right w:val="single" w:sz="6" w:space="0" w:color="000000"/>
            </w:tcBorders>
            <w:noWrap/>
            <w:vAlign w:val="center"/>
          </w:tcPr>
          <w:p>
            <w:pPr>
              <w:pStyle w:val="1183"/>
              <w:jc w:val="right"/>
              <w:rPr>
                <w:sz w:val="22"/>
              </w:rPr>
            </w:pPr>
            <w:r>
              <w:rPr>
                <w:sz w:val="22"/>
              </w:rPr>
              <w:t>40.29</w:t>
            </w:r>
          </w:p>
        </w:tc>
        <w:tc>
          <w:tcPr>
            <w:tcW w:w="875" w:type="dxa"/>
            <w:tcBorders>
              <w:top w:val="nil"/>
              <w:left w:val="nil"/>
              <w:bottom w:val="single" w:sz="6" w:space="0" w:color="000000"/>
              <w:right w:val="single" w:sz="6" w:space="0" w:color="000000"/>
            </w:tcBorders>
            <w:noWrap/>
            <w:vAlign w:val="center"/>
          </w:tcPr>
          <w:p>
            <w:pPr>
              <w:pStyle w:val="1183"/>
              <w:jc w:val="right"/>
              <w:rPr>
                <w:sz w:val="22"/>
              </w:rPr>
            </w:pPr>
            <w:r>
              <w:rPr>
                <w:sz w:val="22"/>
              </w:rPr>
              <w:t>0.19</w:t>
            </w:r>
          </w:p>
        </w:tc>
      </w:tr>
      <w:tr>
        <w:trPr>
          <w:trHeight w:val="615"/>
        </w:trPr>
        <w:tc>
          <w:tcPr>
            <w:tcW w:w="14173" w:type="dxa"/>
            <w:gridSpan w:val="16"/>
            <w:tcBorders>
              <w:top w:val="nil"/>
              <w:left w:val="nil"/>
              <w:bottom w:val="nil"/>
              <w:right w:val="nil"/>
            </w:tcBorders>
            <w:noWrap/>
            <w:vAlign w:val="center"/>
          </w:tcPr>
          <w:p>
            <w:pPr>
              <w:pStyle w:val="1183"/>
              <w:widowControl/>
              <w:jc w:val="left"/>
              <w:rPr>
                <w:kern w:val="0"/>
                <w:sz w:val="22"/>
                <w:szCs w:val="22"/>
              </w:rPr>
            </w:pPr>
            <w:r>
              <w:rPr>
                <w:kern w:val="0"/>
                <w:sz w:val="22"/>
                <w:szCs w:val="22"/>
              </w:rPr>
              <w:t>注：本表反映单位本年度“三公”经费支出预决算情况。其中：预算数为“三公”经费全年预算数，反映按规定程序调整后的预算数；决算数是包括当年一般公共预算财政拨款和以前年度结转资金安排的实际支出。</w:t>
            </w:r>
          </w:p>
        </w:tc>
      </w:tr>
    </w:tbl>
    <w:p>
      <w:pPr>
        <w:pStyle w:val="1183"/>
      </w:pPr>
    </w:p>
    <w:p>
      <w:pPr>
        <w:rPr>
          <w:rStyle w:val="9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sectPr>
          <w:pgSz w:w="16840" w:h="11907" w:orient="landscape"/>
          <w:pgMar w:top="1701" w:right="1440" w:bottom="1701" w:left="1440" w:header="851" w:footer="992" w:gutter="0"/>
          <w:docGrid w:linePitch="312" w:charSpace="0"/>
        </w:sectPr>
      </w:pPr>
    </w:p>
    <w:p>
      <w:pPr>
        <w:pStyle w:val="1"/>
        <w:spacing w:line="1200" w:lineRule="exact"/>
        <w:ind w:firstLineChars="600" w:firstLine="1920"/>
        <w:rPr>
          <w:rFonts w:eastAsia="方正黑体_GBK"/>
          <w:b w:val="0"/>
          <w:bCs w:val="0"/>
          <w:kern w:val="2"/>
          <w:sz w:val="32"/>
          <w:szCs w:val="32"/>
        </w:rPr>
      </w:pPr>
    </w:p>
    <w:p>
      <w:pPr>
        <w:pStyle w:val="1"/>
        <w:spacing w:line="1200" w:lineRule="exact"/>
        <w:ind w:firstLineChars="600" w:firstLine="1920"/>
        <w:rPr>
          <w:rFonts w:eastAsia="方正黑体_GBK"/>
          <w:b w:val="0"/>
          <w:bCs w:val="0"/>
          <w:kern w:val="2"/>
          <w:sz w:val="32"/>
          <w:szCs w:val="32"/>
        </w:rPr>
      </w:pPr>
      <w:r>
        <w:rPr>
          <w:rFonts w:eastAsia="方正黑体_GBK"/>
          <w:b w:val="0"/>
          <w:bCs w:val="0"/>
          <w:kern w:val="2"/>
          <w:sz w:val="32"/>
          <w:szCs w:val="32"/>
        </w:rPr>
        <w:t xml:space="preserve">    </w:t>
      </w:r>
    </w:p>
    <w:p/>
    <w:p>
      <w:pPr>
        <w:pStyle w:val="1"/>
        <w:spacing w:line="1200" w:lineRule="exact"/>
        <w:ind w:firstLineChars="350" w:firstLine="2940"/>
        <w:rPr>
          <w:rFonts w:eastAsia="方正黑体_GBK"/>
          <w:b w:val="0"/>
          <w:bCs w:val="0"/>
          <w:sz w:val="84"/>
          <w:szCs w:val="84"/>
        </w:rPr>
      </w:pPr>
      <w:bookmarkStart w:id="26" w:name="_Toc142905258"/>
      <w:bookmarkStart w:id="27" w:name="_Toc21085179"/>
      <w:bookmarkStart w:id="28" w:name="_Toc73694382"/>
      <w:bookmarkStart w:id="29" w:name="_Toc44862962"/>
      <w:r>
        <w:rPr>
          <w:rFonts w:eastAsia="方正黑体_GBK"/>
          <w:b w:val="0"/>
          <w:bCs w:val="0"/>
          <w:sz w:val="84"/>
          <w:szCs w:val="84"/>
        </w:rPr>
        <w:t>第三部分</w:t>
      </w:r>
      <w:bookmarkEnd w:id="26"/>
      <w:bookmarkEnd w:id="27"/>
      <w:bookmarkEnd w:id="28"/>
      <w:bookmarkEnd w:id="29"/>
    </w:p>
    <w:p>
      <w:pPr>
        <w:pStyle w:val="1"/>
        <w:spacing w:line="1200" w:lineRule="exact"/>
        <w:ind w:firstLineChars="50" w:firstLine="420"/>
        <w:rPr>
          <w:rFonts w:eastAsia="方正黑体_GBK"/>
          <w:b w:val="0"/>
          <w:bCs w:val="0"/>
          <w:sz w:val="84"/>
          <w:szCs w:val="84"/>
        </w:rPr>
      </w:pPr>
      <w:bookmarkStart w:id="30" w:name="_Toc21085180"/>
      <w:bookmarkStart w:id="31" w:name="_Toc73694383"/>
      <w:bookmarkStart w:id="32" w:name="_Toc44862963"/>
      <w:r>
        <w:rPr>
          <w:rFonts w:eastAsia="方正黑体_GBK"/>
          <w:b w:val="0"/>
          <w:bCs w:val="0"/>
          <w:sz w:val="84"/>
          <w:szCs w:val="84"/>
        </w:rPr>
        <w:t>2025年度部门决算表</w:t>
      </w:r>
      <w:bookmarkEnd w:id="30"/>
      <w:bookmarkEnd w:id="31"/>
      <w:bookmarkEnd w:id="32"/>
    </w:p>
    <w:p>
      <w:pPr>
        <w:pStyle w:val="1"/>
        <w:spacing w:line="1200" w:lineRule="exact"/>
        <w:ind w:firstLineChars="350" w:firstLine="2940"/>
        <w:rPr>
          <w:rFonts w:eastAsia="方正黑体_GBK"/>
          <w:b w:val="0"/>
          <w:bCs w:val="0"/>
          <w:sz w:val="84"/>
          <w:szCs w:val="84"/>
        </w:rPr>
      </w:pPr>
      <w:bookmarkStart w:id="33" w:name="_Toc44862964"/>
      <w:r>
        <w:rPr>
          <w:rFonts w:eastAsia="方正黑体_GBK"/>
          <w:b w:val="0"/>
          <w:bCs w:val="0"/>
          <w:sz w:val="84"/>
          <w:szCs w:val="84"/>
        </w:rPr>
        <w:t>情况说明</w:t>
      </w:r>
      <w:bookmarkEnd w:id="33"/>
    </w:p>
    <w:p>
      <w:pPr>
        <w:pStyle w:val="1177"/>
        <w:autoSpaceDN w:val="0"/>
        <w:spacing w:line="700" w:lineRule="exact"/>
        <w:ind w:firstLineChars="200" w:firstLine="1680"/>
        <w:rPr>
          <w:rFonts w:eastAsia="方正楷体_GBK"/>
          <w:b/>
          <w:bCs/>
          <w:sz w:val="84"/>
          <w:szCs w:val="84"/>
        </w:rPr>
      </w:pPr>
    </w:p>
    <w:p>
      <w:pPr>
        <w:pStyle w:val="994"/>
        <w:autoSpaceDN w:val="0"/>
        <w:spacing w:line="560" w:lineRule="exact"/>
        <w:ind w:firstLineChars="200" w:firstLine="640"/>
        <w:rPr>
          <w:rFonts w:eastAsia="方正楷体_GBK"/>
          <w:b/>
          <w:bCs/>
          <w:sz w:val="32"/>
          <w:szCs w:val="32"/>
        </w:rPr>
      </w:pPr>
    </w:p>
    <w:p>
      <w:pPr>
        <w:pStyle w:val="994"/>
        <w:autoSpaceDN w:val="0"/>
        <w:spacing w:line="560" w:lineRule="exact"/>
        <w:ind w:firstLineChars="200" w:firstLine="640"/>
        <w:rPr>
          <w:rFonts w:eastAsia="方正楷体_GBK"/>
          <w:b/>
          <w:bCs/>
          <w:sz w:val="32"/>
          <w:szCs w:val="32"/>
        </w:rPr>
      </w:pPr>
    </w:p>
    <w:p>
      <w:pPr>
        <w:pStyle w:val="994"/>
        <w:autoSpaceDN w:val="0"/>
        <w:spacing w:line="560" w:lineRule="exact"/>
        <w:ind w:firstLineChars="200" w:firstLine="640"/>
        <w:rPr>
          <w:rFonts w:eastAsia="方正楷体_GBK"/>
          <w:b/>
          <w:bCs/>
          <w:sz w:val="32"/>
          <w:szCs w:val="32"/>
        </w:rPr>
      </w:pPr>
    </w:p>
    <w:p>
      <w:pPr>
        <w:pStyle w:val="994"/>
        <w:autoSpaceDN w:val="0"/>
        <w:spacing w:line="560" w:lineRule="exact"/>
        <w:ind w:firstLineChars="200" w:firstLine="640"/>
        <w:rPr>
          <w:rFonts w:eastAsia="方正楷体_GBK"/>
          <w:b/>
          <w:bCs/>
          <w:sz w:val="32"/>
          <w:szCs w:val="32"/>
        </w:rPr>
      </w:pPr>
    </w:p>
    <w:p>
      <w:pPr>
        <w:pStyle w:val="994"/>
        <w:autoSpaceDN w:val="0"/>
        <w:spacing w:line="560" w:lineRule="exact"/>
        <w:ind w:firstLineChars="200" w:firstLine="640"/>
        <w:rPr>
          <w:rFonts w:eastAsia="方正楷体_GBK"/>
          <w:b/>
          <w:bCs/>
          <w:sz w:val="32"/>
          <w:szCs w:val="32"/>
        </w:rPr>
      </w:pPr>
    </w:p>
    <w:p>
      <w:pPr>
        <w:pStyle w:val="994"/>
        <w:autoSpaceDN w:val="0"/>
        <w:spacing w:line="560" w:lineRule="exact"/>
        <w:ind w:firstLineChars="200" w:firstLine="640"/>
        <w:rPr>
          <w:rFonts w:eastAsia="方正楷体_GBK"/>
          <w:b/>
          <w:bCs/>
          <w:sz w:val="32"/>
          <w:szCs w:val="32"/>
        </w:rPr>
      </w:pPr>
    </w:p>
    <w:p>
      <w:pPr>
        <w:pStyle w:val="994"/>
        <w:autoSpaceDN w:val="0"/>
        <w:spacing w:line="560" w:lineRule="exact"/>
        <w:rPr>
          <w:rFonts w:eastAsia="方正楷体_GBK"/>
          <w:b/>
          <w:bCs/>
          <w:sz w:val="32"/>
          <w:szCs w:val="32"/>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34" w:name="_Toc44862965"/>
      <w:r>
        <w:rPr>
          <w:rFonts w:ascii="Times New Roman" w:eastAsia="方正黑体_GBK" w:cs="Times New Roman" w:hAnsi="Times New Roman"/>
          <w:b w:val="0"/>
          <w:bCs w:val="0"/>
        </w:rPr>
        <w:t>一、收入支出决算总体情况说明</w:t>
      </w:r>
      <w:bookmarkEnd w:id="34"/>
    </w:p>
    <w:p>
      <w:pPr>
        <w:pStyle w:val="994"/>
        <w:tabs>
          <w:tab w:val="left" w:pos="2100"/>
        </w:tabs>
        <w:autoSpaceDN w:val="0"/>
        <w:snapToGrid w:val="0"/>
        <w:spacing w:line="560" w:lineRule="exact"/>
        <w:ind w:firstLineChars="200" w:firstLine="640"/>
        <w:rPr>
          <w:rFonts w:eastAsia="方正仿宋_GBK"/>
          <w:sz w:val="32"/>
          <w:szCs w:val="32"/>
        </w:rPr>
      </w:pPr>
      <w:r>
        <w:rPr>
          <w:rFonts w:eastAsia="方正仿宋_GBK"/>
          <w:sz w:val="32"/>
          <w:szCs w:val="32"/>
        </w:rPr>
        <w:t>2025年度收入总计</w:t>
      </w:r>
      <w:r>
        <w:rPr>
          <w:rFonts w:ascii="仿宋_GB2312" w:eastAsia="仿宋_GB2312" w:hint="eastAsia"/>
          <w:sz w:val="32"/>
          <w:szCs w:val="32"/>
        </w:rPr>
        <w:t>1624.38</w:t>
      </w:r>
      <w:r>
        <w:rPr>
          <w:rFonts w:eastAsia="方正仿宋_GBK"/>
          <w:sz w:val="32"/>
          <w:szCs w:val="32"/>
        </w:rPr>
        <w:t>万元，支出总计</w:t>
      </w:r>
      <w:r>
        <w:rPr>
          <w:rFonts w:ascii="仿宋_GB2312" w:eastAsia="仿宋_GB2312" w:hint="eastAsia"/>
          <w:sz w:val="32"/>
          <w:szCs w:val="32"/>
        </w:rPr>
        <w:t>1599.58</w:t>
      </w:r>
      <w:r>
        <w:rPr>
          <w:rFonts w:eastAsia="方正仿宋_GBK"/>
          <w:sz w:val="32"/>
          <w:szCs w:val="32"/>
        </w:rPr>
        <w:t>万元。与2024年度相比，收入总计增加57.69</w:t>
      </w:r>
      <w:r>
        <w:rPr>
          <w:sz w:val="22"/>
        </w:rPr>
        <w:t xml:space="preserve"> </w:t>
      </w:r>
      <w:r>
        <w:rPr>
          <w:rFonts w:eastAsia="方正仿宋_GBK"/>
          <w:sz w:val="32"/>
          <w:szCs w:val="32"/>
        </w:rPr>
        <w:t>万元，增长3.68%；</w:t>
      </w:r>
      <w:r>
        <w:rPr>
          <w:rFonts w:ascii="仿宋_GB2312" w:eastAsia="仿宋_GB2312" w:cs="仿宋" w:hint="eastAsia"/>
          <w:color w:val="000000"/>
          <w:sz w:val="32"/>
          <w:szCs w:val="32"/>
        </w:rPr>
        <w:t>变动原因为202</w:t>
      </w:r>
      <w:r>
        <w:rPr>
          <w:rFonts w:ascii="仿宋_GB2312" w:eastAsia="仿宋_GB2312" w:cs="仿宋"/>
          <w:color w:val="000000"/>
          <w:sz w:val="32"/>
          <w:szCs w:val="32"/>
        </w:rPr>
        <w:t>5</w:t>
      </w:r>
      <w:r>
        <w:rPr>
          <w:rFonts w:ascii="仿宋_GB2312" w:eastAsia="仿宋_GB2312" w:cs="仿宋" w:hint="eastAsia"/>
          <w:color w:val="000000"/>
          <w:sz w:val="32"/>
          <w:szCs w:val="32"/>
        </w:rPr>
        <w:t>年</w:t>
      </w:r>
      <w:r>
        <w:rPr>
          <w:rFonts w:ascii="仿宋_GB2312" w:eastAsia="仿宋_GB2312" w:cs="仿宋"/>
          <w:color w:val="000000"/>
          <w:sz w:val="32"/>
          <w:szCs w:val="32"/>
        </w:rPr>
        <w:t>地方拨款收入增加</w:t>
      </w:r>
      <w:r>
        <w:rPr>
          <w:rFonts w:ascii="仿宋_GB2312" w:eastAsia="仿宋_GB2312" w:cs="仿宋" w:hint="eastAsia"/>
          <w:color w:val="000000"/>
          <w:sz w:val="32"/>
          <w:szCs w:val="32"/>
        </w:rPr>
        <w:t>。</w:t>
      </w:r>
      <w:r>
        <w:rPr>
          <w:rFonts w:eastAsia="方正仿宋_GBK"/>
          <w:sz w:val="32"/>
          <w:szCs w:val="32"/>
        </w:rPr>
        <w:t>支出总计增加64.7</w:t>
      </w:r>
      <w:r>
        <w:rPr>
          <w:rFonts w:eastAsia="方正仿宋_GBK"/>
          <w:color w:val="000000"/>
          <w:sz w:val="32"/>
          <w:szCs w:val="32"/>
        </w:rPr>
        <w:t>万元</w:t>
      </w:r>
      <w:r>
        <w:rPr>
          <w:rFonts w:eastAsia="方正仿宋_GBK"/>
          <w:sz w:val="32"/>
          <w:szCs w:val="32"/>
        </w:rPr>
        <w:t>，增长4.22%，</w:t>
      </w:r>
      <w:r>
        <w:rPr>
          <w:rFonts w:ascii="仿宋_GB2312" w:eastAsia="仿宋_GB2312" w:hint="eastAsia"/>
          <w:sz w:val="32"/>
          <w:szCs w:val="32"/>
        </w:rPr>
        <w:t>原因为</w:t>
      </w:r>
      <w:r>
        <w:rPr>
          <w:rFonts w:ascii="仿宋_GB2312" w:eastAsia="仿宋_GB2312"/>
          <w:sz w:val="32"/>
          <w:szCs w:val="32"/>
        </w:rPr>
        <w:t>2025年工资浮动。</w:t>
      </w:r>
    </w:p>
    <w:p>
      <w:pPr>
        <w:pStyle w:val="994"/>
        <w:tabs>
          <w:tab w:val="left" w:pos="2100"/>
        </w:tabs>
        <w:autoSpaceDN w:val="0"/>
        <w:snapToGrid w:val="0"/>
        <w:spacing w:line="560" w:lineRule="exact"/>
        <w:jc w:val="center"/>
        <w:rPr>
          <w:rFonts w:eastAsia="方正楷体_GBK"/>
          <w:b/>
          <w:bCs/>
          <w:sz w:val="32"/>
          <w:szCs w:val="32"/>
        </w:rPr>
      </w:pPr>
    </w:p>
    <w:p>
      <w:pPr>
        <w:pStyle w:val="994"/>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t>图1：收、支决算总计变动情况</w:t>
      </w:r>
    </w:p>
    <w:p>
      <w:pPr>
        <w:pStyle w:val="994"/>
        <w:tabs>
          <w:tab w:val="left" w:pos="2100"/>
        </w:tabs>
        <w:autoSpaceDN w:val="0"/>
        <w:snapToGrid w:val="0"/>
        <w:spacing w:line="560" w:lineRule="exact"/>
        <w:jc w:val="center"/>
        <w:rPr>
          <w:rFonts w:eastAsia="方正黑体_GBK"/>
        </w:rPr>
      </w:pPr>
      <w:r>
        <w:rPr>
          <w:rFonts w:eastAsia="方正楷体_GBK"/>
          <w:b/>
          <w:bCs/>
          <w:sz w:val="32"/>
          <w:szCs w:val="32"/>
        </w:rPr>
        <w:t>（单位：万元）</w:t>
      </w:r>
    </w:p>
    <w:p>
      <w:pPr>
        <w:pStyle w:val="1325"/>
        <w:tabs>
          <w:tab w:val="left" w:pos="2100"/>
        </w:tabs>
        <w:autoSpaceDN w:val="0"/>
        <w:snapToGrid w:val="0"/>
        <w:spacing w:line="560" w:lineRule="exact"/>
        <w:rPr>
          <w:rFonts w:eastAsia="方正楷体_GBK"/>
          <w:b/>
          <w:bCs/>
          <w:sz w:val="32"/>
          <w:szCs w:val="32"/>
        </w:rPr>
      </w:pPr>
      <w:r>
        <w:rPr>
          <w:rFonts w:eastAsia="方正楷体_GBK"/>
          <w:b/>
          <w:bCs/>
          <w:sz w:val="32"/>
          <w:szCs w:val="32"/>
        </w:rPr>
        <w:drawing>
          <wp:anchor distT="0" distB="0" distL="57149" distR="57149" simplePos="0" relativeHeight="25" behindDoc="0" locked="0" layoutInCell="1" hidden="0" allowOverlap="1">
            <wp:simplePos x="0" y="0"/>
            <wp:positionH relativeFrom="column">
              <wp:posOffset>266695</wp:posOffset>
            </wp:positionH>
            <wp:positionV relativeFrom="paragraph">
              <wp:posOffset>127029</wp:posOffset>
            </wp:positionV>
            <wp:extent cx="4571929" cy="2743157"/>
            <wp:effectExtent l="0" t="0" r="0" b="0"/>
            <wp:wrapNone/>
            <wp:docPr id="1" name="图片"/>
            <wp:cNvGraphicFramePr>
              <a:graphicFrameLocks noChangeAspect="1"/>
            </wp:cNvGraphicFramePr>
            <a:graphic>
              <a:graphicData uri="http://schemas.openxmlformats.org/drawingml/2006/picture">
                <pic:pic>
                  <pic:nvPicPr>
                    <pic:cNvPr id="3" name="图片 3"/>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anchor>
        </w:drawing>
      </w: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1325"/>
        <w:tabs>
          <w:tab w:val="left" w:pos="2100"/>
        </w:tabs>
        <w:autoSpaceDN w:val="0"/>
        <w:snapToGrid w:val="0"/>
        <w:spacing w:line="560" w:lineRule="exact"/>
        <w:rPr>
          <w:rFonts w:eastAsia="方正楷体_GBK"/>
          <w:b/>
          <w:bCs/>
          <w:sz w:val="32"/>
          <w:szCs w:val="32"/>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35" w:name="_Toc44862966"/>
      <w:r>
        <w:rPr>
          <w:rFonts w:ascii="Times New Roman" w:eastAsia="方正黑体_GBK" w:cs="Times New Roman" w:hAnsi="Times New Roman"/>
          <w:b w:val="0"/>
          <w:bCs w:val="0"/>
        </w:rPr>
        <w:t xml:space="preserve">二、收入决算情况说明 </w:t>
      </w:r>
      <w:bookmarkEnd w:id="35"/>
    </w:p>
    <w:p>
      <w:pPr>
        <w:pStyle w:val="1166"/>
        <w:tabs>
          <w:tab w:val="left" w:pos="2100"/>
        </w:tabs>
        <w:autoSpaceDN w:val="0"/>
        <w:snapToGrid w:val="0"/>
        <w:spacing w:line="560" w:lineRule="exact"/>
        <w:ind w:firstLineChars="200" w:firstLine="640"/>
      </w:pPr>
      <w:r>
        <w:rPr>
          <w:rFonts w:eastAsia="方正仿宋_GBK"/>
          <w:sz w:val="32"/>
          <w:szCs w:val="32"/>
        </w:rPr>
        <w:t>2025年度收入合计</w:t>
      </w:r>
      <w:r>
        <w:rPr>
          <w:rFonts w:ascii="仿宋_GB2312" w:eastAsia="仿宋_GB2312"/>
          <w:sz w:val="32"/>
          <w:szCs w:val="32"/>
        </w:rPr>
        <w:t>1624.38</w:t>
      </w:r>
      <w:r>
        <w:rPr>
          <w:rFonts w:eastAsia="方正仿宋_GBK"/>
          <w:sz w:val="32"/>
          <w:szCs w:val="32"/>
        </w:rPr>
        <w:t>万元。其中</w:t>
      </w:r>
      <w:r>
        <w:rPr>
          <w:rFonts w:eastAsia="方正仿宋_GBK"/>
          <w:b/>
          <w:bCs/>
          <w:sz w:val="32"/>
          <w:szCs w:val="32"/>
        </w:rPr>
        <w:t>：</w:t>
      </w:r>
      <w:r>
        <w:rPr>
          <w:rFonts w:eastAsia="方正仿宋_GBK"/>
          <w:bCs/>
          <w:sz w:val="32"/>
          <w:szCs w:val="32"/>
        </w:rPr>
        <w:t>财政拨款收入</w:t>
      </w:r>
      <w:r>
        <w:rPr>
          <w:rFonts w:ascii="仿宋_GB2312" w:eastAsia="仿宋_GB2312"/>
          <w:sz w:val="32"/>
          <w:szCs w:val="32"/>
        </w:rPr>
        <w:t>1510.04</w:t>
      </w:r>
      <w:r>
        <w:rPr>
          <w:rFonts w:eastAsia="方正仿宋_GBK"/>
          <w:sz w:val="32"/>
          <w:szCs w:val="32"/>
        </w:rPr>
        <w:t>万元，占</w:t>
      </w:r>
      <w:r>
        <w:rPr>
          <w:sz w:val="32"/>
          <w:szCs w:val="32"/>
        </w:rPr>
        <w:t>92.96%</w:t>
      </w:r>
      <w:r>
        <w:rPr>
          <w:rFonts w:eastAsia="方正仿宋_GBK"/>
          <w:kern w:val="0"/>
          <w:sz w:val="32"/>
          <w:szCs w:val="32"/>
        </w:rPr>
        <w:t>；</w:t>
      </w:r>
      <w:r>
        <w:rPr>
          <w:rFonts w:eastAsia="方正仿宋_GBK"/>
          <w:bCs/>
          <w:sz w:val="32"/>
          <w:szCs w:val="32"/>
        </w:rPr>
        <w:t>其他收入</w:t>
      </w:r>
      <w:r>
        <w:rPr>
          <w:rFonts w:ascii="仿宋_GB2312" w:eastAsia="仿宋_GB2312"/>
          <w:sz w:val="32"/>
          <w:szCs w:val="32"/>
        </w:rPr>
        <w:t>114.34</w:t>
      </w:r>
      <w:r>
        <w:rPr>
          <w:rFonts w:eastAsia="方正仿宋_GBK"/>
          <w:bCs/>
          <w:kern w:val="0"/>
          <w:sz w:val="32"/>
          <w:szCs w:val="32"/>
        </w:rPr>
        <w:t>万元，占7.04%。</w:t>
      </w:r>
    </w:p>
    <w:p>
      <w:pPr>
        <w:pStyle w:val="1167"/>
        <w:tabs>
          <w:tab w:val="left" w:pos="2100"/>
        </w:tabs>
        <w:autoSpaceDN w:val="0"/>
        <w:snapToGrid w:val="0"/>
        <w:spacing w:line="560" w:lineRule="exact"/>
        <w:jc w:val="center"/>
        <w:rPr>
          <w:rFonts w:eastAsia="方正楷体_GBK"/>
          <w:b/>
          <w:bCs/>
          <w:sz w:val="32"/>
          <w:szCs w:val="32"/>
        </w:rPr>
      </w:pPr>
    </w:p>
    <w:p>
      <w:pPr>
        <w:pStyle w:val="1167"/>
        <w:tabs>
          <w:tab w:val="left" w:pos="2100"/>
        </w:tabs>
        <w:autoSpaceDN w:val="0"/>
        <w:snapToGrid w:val="0"/>
        <w:spacing w:line="560" w:lineRule="exact"/>
        <w:jc w:val="center"/>
        <w:rPr>
          <w:rFonts w:eastAsia="方正楷体_GBK"/>
          <w:b/>
          <w:bCs/>
          <w:sz w:val="32"/>
          <w:szCs w:val="32"/>
        </w:rPr>
      </w:pPr>
    </w:p>
    <w:p>
      <w:pPr>
        <w:pStyle w:val="1167"/>
        <w:tabs>
          <w:tab w:val="left" w:pos="2100"/>
        </w:tabs>
        <w:autoSpaceDN w:val="0"/>
        <w:snapToGrid w:val="0"/>
        <w:spacing w:line="560" w:lineRule="exact"/>
        <w:jc w:val="center"/>
        <w:rPr>
          <w:rFonts w:eastAsia="方正楷体_GBK"/>
          <w:b/>
          <w:bCs/>
          <w:sz w:val="32"/>
          <w:szCs w:val="32"/>
        </w:rPr>
      </w:pPr>
    </w:p>
    <w:p>
      <w:pPr>
        <w:pStyle w:val="1167"/>
        <w:tabs>
          <w:tab w:val="left" w:pos="2100"/>
        </w:tabs>
        <w:autoSpaceDN w:val="0"/>
        <w:snapToGrid w:val="0"/>
        <w:spacing w:line="560" w:lineRule="exact"/>
        <w:jc w:val="center"/>
        <w:rPr>
          <w:rFonts w:eastAsia="方正楷体_GBK"/>
          <w:b/>
          <w:bCs/>
          <w:sz w:val="32"/>
          <w:szCs w:val="32"/>
        </w:rPr>
      </w:pPr>
    </w:p>
    <w:p>
      <w:pPr>
        <w:pStyle w:val="1167"/>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t>图2：收入决算结构</w:t>
      </w:r>
    </w:p>
    <w:p>
      <w:pPr>
        <w:pStyle w:val="1167"/>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drawing>
          <wp:anchor distT="0" distB="0" distL="57149" distR="57149" simplePos="0" relativeHeight="26" behindDoc="0" locked="0" layoutInCell="1" hidden="0" allowOverlap="1">
            <wp:simplePos x="0" y="0"/>
            <wp:positionH relativeFrom="column">
              <wp:posOffset>625824</wp:posOffset>
            </wp:positionH>
            <wp:positionV relativeFrom="paragraph">
              <wp:posOffset>57154</wp:posOffset>
            </wp:positionV>
            <wp:extent cx="4571929" cy="2743157"/>
            <wp:effectExtent l="0" t="0" r="0" b="0"/>
            <wp:wrapNone/>
            <wp:docPr id="4" name="图片"/>
            <wp:cNvGraphicFramePr>
              <a:graphicFrameLocks noChangeAspect="1"/>
            </wp:cNvGraphicFramePr>
            <a:graphic>
              <a:graphicData uri="http://schemas.openxmlformats.org/drawingml/2006/picture">
                <pic:pic>
                  <pic:nvPicPr>
                    <pic:cNvPr id="6" name="图片 6"/>
                    <pic:cNvPicPr/>
                  </pic:nvPicPr>
                  <pic:blipFill>
                    <a:blip r:embed="rId7"/>
                    <a:stretch>
                      <a:fillRect/>
                    </a:stretch>
                  </pic:blipFill>
                  <pic:spPr>
                    <a:xfrm rot="0">
                      <a:off x="0" y="0"/>
                      <a:ext cx="4571929" cy="2743157"/>
                    </a:xfrm>
                    <a:prstGeom prst="rect"/>
                    <a:noFill/>
                    <a:ln w="9525" cmpd="sng" cap="flat">
                      <a:noFill/>
                      <a:prstDash val="solid"/>
                      <a:miter/>
                    </a:ln>
                  </pic:spPr>
                </pic:pic>
              </a:graphicData>
            </a:graphic>
          </wp:anchor>
        </w:drawing>
      </w:r>
    </w:p>
    <w:p>
      <w:pPr>
        <w:ind w:firstLineChars="200" w:firstLine="640"/>
        <w:rPr>
          <w:rFonts w:eastAsia="方正黑体_GBK"/>
          <w:sz w:val="32"/>
          <w:szCs w:val="32"/>
        </w:rPr>
      </w:pPr>
    </w:p>
    <w:p>
      <w:pPr>
        <w:ind w:firstLineChars="200" w:firstLine="640"/>
        <w:rPr>
          <w:rFonts w:eastAsia="方正黑体_GBK"/>
          <w:sz w:val="32"/>
          <w:szCs w:val="32"/>
        </w:rPr>
      </w:pPr>
    </w:p>
    <w:p>
      <w:pPr>
        <w:ind w:firstLineChars="200" w:firstLine="640"/>
        <w:rPr>
          <w:rFonts w:eastAsia="方正黑体_GBK"/>
          <w:sz w:val="32"/>
          <w:szCs w:val="32"/>
        </w:rPr>
      </w:pPr>
    </w:p>
    <w:p>
      <w:pPr>
        <w:ind w:firstLineChars="200" w:firstLine="640"/>
        <w:rPr>
          <w:rFonts w:eastAsia="方正黑体_GBK"/>
          <w:sz w:val="32"/>
          <w:szCs w:val="32"/>
        </w:rPr>
      </w:pPr>
    </w:p>
    <w:p>
      <w:pPr>
        <w:ind w:firstLineChars="200" w:firstLine="640"/>
        <w:rPr>
          <w:rFonts w:eastAsia="方正黑体_GBK"/>
          <w:sz w:val="32"/>
          <w:szCs w:val="32"/>
        </w:rPr>
      </w:pPr>
    </w:p>
    <w:p>
      <w:pPr>
        <w:ind w:firstLineChars="200" w:firstLine="640"/>
        <w:rPr>
          <w:rFonts w:eastAsia="方正黑体_GBK"/>
          <w:sz w:val="32"/>
          <w:szCs w:val="32"/>
        </w:rPr>
      </w:pPr>
    </w:p>
    <w:p>
      <w:pPr>
        <w:ind w:firstLineChars="200" w:firstLine="640"/>
        <w:rPr>
          <w:rFonts w:eastAsia="方正黑体_GBK"/>
          <w:sz w:val="32"/>
          <w:szCs w:val="32"/>
        </w:rPr>
      </w:pPr>
    </w:p>
    <w:p>
      <w:pPr>
        <w:ind w:firstLineChars="200" w:firstLine="640"/>
        <w:rPr>
          <w:rFonts w:eastAsia="方正黑体_GBK"/>
          <w:sz w:val="32"/>
          <w:szCs w:val="32"/>
        </w:rPr>
      </w:pPr>
      <w:r>
        <w:rPr>
          <w:rFonts w:eastAsia="方正黑体_GBK"/>
          <w:sz w:val="32"/>
          <w:szCs w:val="32"/>
        </w:rPr>
        <w:t>三、支出决算情况说明</w:t>
      </w:r>
    </w:p>
    <w:p>
      <w:pPr>
        <w:pStyle w:val="355"/>
        <w:autoSpaceDN w:val="0"/>
        <w:snapToGrid w:val="0"/>
        <w:spacing w:line="520" w:lineRule="exact"/>
        <w:ind w:firstLineChars="200" w:firstLine="640"/>
      </w:pPr>
      <w:r>
        <w:rPr>
          <w:rFonts w:eastAsia="方正仿宋_GBK"/>
          <w:sz w:val="32"/>
          <w:szCs w:val="32"/>
        </w:rPr>
        <w:t>2025度支出合计</w:t>
      </w:r>
      <w:r>
        <w:rPr>
          <w:rFonts w:ascii="仿宋_GB2312" w:eastAsia="仿宋_GB2312"/>
          <w:sz w:val="32"/>
          <w:szCs w:val="32"/>
        </w:rPr>
        <w:t>1599.58</w:t>
      </w:r>
      <w:r>
        <w:rPr>
          <w:rFonts w:eastAsia="方正仿宋_GBK"/>
          <w:sz w:val="32"/>
          <w:szCs w:val="32"/>
        </w:rPr>
        <w:t>万元，其中：基本支出</w:t>
      </w:r>
      <w:r>
        <w:rPr>
          <w:sz w:val="32"/>
          <w:szCs w:val="32"/>
        </w:rPr>
        <w:t>1308.96</w:t>
      </w:r>
      <w:r>
        <w:rPr>
          <w:rFonts w:eastAsia="方正仿宋_GBK"/>
          <w:sz w:val="32"/>
          <w:szCs w:val="32"/>
        </w:rPr>
        <w:t>万元，占</w:t>
      </w:r>
      <w:r>
        <w:rPr>
          <w:sz w:val="32"/>
          <w:szCs w:val="32"/>
        </w:rPr>
        <w:t>81.83%</w:t>
      </w:r>
      <w:r>
        <w:rPr>
          <w:rFonts w:eastAsia="方正仿宋_GBK"/>
          <w:sz w:val="32"/>
          <w:szCs w:val="32"/>
        </w:rPr>
        <w:t>；项目支出</w:t>
      </w:r>
      <w:r>
        <w:rPr>
          <w:rFonts w:ascii="仿宋_GB2312" w:eastAsia="仿宋_GB2312"/>
          <w:sz w:val="32"/>
          <w:szCs w:val="32"/>
        </w:rPr>
        <w:t>290.62</w:t>
      </w:r>
      <w:r>
        <w:rPr>
          <w:rFonts w:eastAsia="方正仿宋_GBK"/>
          <w:sz w:val="32"/>
          <w:szCs w:val="32"/>
        </w:rPr>
        <w:t>万元，占</w:t>
      </w:r>
      <w:r>
        <w:rPr>
          <w:sz w:val="32"/>
          <w:szCs w:val="32"/>
        </w:rPr>
        <w:t>18.17</w:t>
      </w:r>
      <w:r>
        <w:rPr>
          <w:rFonts w:eastAsia="方正仿宋_GBK"/>
          <w:sz w:val="32"/>
          <w:szCs w:val="32"/>
        </w:rPr>
        <w:t>%。</w:t>
      </w:r>
    </w:p>
    <w:p>
      <w:pPr>
        <w:pStyle w:val="994"/>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t>图3：支出决算结构</w:t>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r>
        <w:rPr>
          <w:rFonts w:ascii="Times New Roman" w:eastAsia="方正黑体_GBK" w:cs="Times New Roman" w:hAnsi="Times New Roman"/>
          <w:b w:val="0"/>
          <w:bCs w:val="0"/>
        </w:rPr>
        <w:drawing>
          <wp:anchor distT="0" distB="0" distL="57149" distR="57149" simplePos="0" relativeHeight="27" behindDoc="0" locked="0" layoutInCell="1" hidden="0" allowOverlap="1">
            <wp:simplePos x="0" y="0"/>
            <wp:positionH relativeFrom="column">
              <wp:posOffset>406400</wp:posOffset>
            </wp:positionH>
            <wp:positionV relativeFrom="paragraph">
              <wp:posOffset>-2387558</wp:posOffset>
            </wp:positionV>
            <wp:extent cx="4571929" cy="2743157"/>
            <wp:effectExtent l="0" t="0" r="0" b="0"/>
            <wp:wrapNone/>
            <wp:docPr id="7" name="图片"/>
            <wp:cNvGraphicFramePr>
              <a:graphicFrameLocks noChangeAspect="1"/>
            </wp:cNvGraphicFramePr>
            <a:graphic>
              <a:graphicData uri="http://schemas.openxmlformats.org/drawingml/2006/picture">
                <pic:pic>
                  <pic:nvPicPr>
                    <pic:cNvPr id="9" name="图片 9"/>
                    <pic:cNvPicPr/>
                  </pic:nvPicPr>
                  <pic:blipFill>
                    <a:blip r:embed="rId8"/>
                    <a:stretch>
                      <a:fillRect/>
                    </a:stretch>
                  </pic:blipFill>
                  <pic:spPr>
                    <a:xfrm rot="0">
                      <a:off x="0" y="0"/>
                      <a:ext cx="4571929" cy="2743157"/>
                    </a:xfrm>
                    <a:prstGeom prst="rect"/>
                    <a:noFill/>
                    <a:ln w="9525" cmpd="sng" cap="flat">
                      <a:noFill/>
                      <a:prstDash val="solid"/>
                      <a:miter/>
                    </a:ln>
                  </pic:spPr>
                </pic:pic>
              </a:graphicData>
            </a:graphic>
          </wp:anchor>
        </w:drawing>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36" w:name="_Toc44862967"/>
      <w:r>
        <w:rPr>
          <w:rFonts w:ascii="Times New Roman" w:eastAsia="方正黑体_GBK" w:cs="Times New Roman" w:hAnsi="Times New Roman"/>
          <w:b w:val="0"/>
          <w:bCs w:val="0"/>
        </w:rPr>
        <w:t>四、财政拨款收入支出决算总体情况说明</w:t>
      </w:r>
      <w:bookmarkEnd w:id="36"/>
    </w:p>
    <w:p>
      <w:pPr>
        <w:pStyle w:val="355"/>
        <w:autoSpaceDN w:val="0"/>
        <w:snapToGrid w:val="0"/>
        <w:spacing w:line="520" w:lineRule="exact"/>
        <w:ind w:firstLineChars="200" w:firstLine="640"/>
      </w:pPr>
      <w:r>
        <w:rPr>
          <w:rFonts w:eastAsia="方正仿宋_GBK"/>
          <w:sz w:val="32"/>
          <w:szCs w:val="32"/>
        </w:rPr>
        <w:t>2025年度财政拨款收入总计</w:t>
      </w:r>
      <w:r>
        <w:rPr>
          <w:rFonts w:ascii="仿宋_GB2312" w:eastAsia="仿宋_GB2312" w:hint="eastAsia"/>
          <w:sz w:val="32"/>
          <w:szCs w:val="32"/>
        </w:rPr>
        <w:t>15</w:t>
      </w:r>
      <w:r>
        <w:rPr>
          <w:rFonts w:ascii="仿宋_GB2312" w:eastAsia="仿宋_GB2312"/>
          <w:sz w:val="32"/>
          <w:szCs w:val="32"/>
        </w:rPr>
        <w:t>10.04</w:t>
      </w:r>
      <w:r>
        <w:rPr>
          <w:rFonts w:eastAsia="方正仿宋_GBK"/>
          <w:sz w:val="32"/>
          <w:szCs w:val="32"/>
        </w:rPr>
        <w:t>万元，与2024年度相比，</w:t>
      </w:r>
      <w:r>
        <w:rPr>
          <w:rFonts w:ascii="仿宋_GB2312" w:eastAsia="仿宋_GB2312" w:hint="eastAsia"/>
          <w:sz w:val="32"/>
          <w:szCs w:val="32"/>
        </w:rPr>
        <w:t>较上年</w:t>
      </w:r>
      <w:r>
        <w:rPr>
          <w:rFonts w:ascii="仿宋_GB2312" w:eastAsia="仿宋_GB2312"/>
          <w:sz w:val="32"/>
          <w:szCs w:val="32"/>
        </w:rPr>
        <w:t>增加0.53</w:t>
      </w:r>
      <w:r>
        <w:rPr>
          <w:rFonts w:ascii="仿宋_GB2312" w:eastAsia="仿宋_GB2312" w:hint="eastAsia"/>
          <w:sz w:val="32"/>
          <w:szCs w:val="32"/>
        </w:rPr>
        <w:t>%</w:t>
      </w:r>
      <w:r>
        <w:rPr>
          <w:rFonts w:eastAsia="方正仿宋_GBK"/>
          <w:sz w:val="32"/>
          <w:szCs w:val="32"/>
        </w:rPr>
        <w:t>；支出总计</w:t>
      </w:r>
      <w:r>
        <w:rPr>
          <w:rFonts w:ascii="仿宋_GB2312" w:eastAsia="仿宋_GB2312"/>
          <w:sz w:val="32"/>
          <w:szCs w:val="32"/>
        </w:rPr>
        <w:t>1503.36</w:t>
      </w:r>
      <w:r>
        <w:rPr>
          <w:rFonts w:eastAsia="方正仿宋_GBK"/>
          <w:sz w:val="32"/>
          <w:szCs w:val="32"/>
        </w:rPr>
        <w:t>万元</w:t>
      </w:r>
      <w:r>
        <w:rPr>
          <w:rFonts w:eastAsia="方正仿宋_GBK" w:hint="eastAsia"/>
          <w:sz w:val="32"/>
          <w:szCs w:val="32"/>
        </w:rPr>
        <w:t>,</w:t>
      </w:r>
      <w:r>
        <w:rPr>
          <w:rFonts w:ascii="仿宋_GB2312" w:eastAsia="仿宋_GB2312" w:hint="eastAsia"/>
          <w:sz w:val="32"/>
          <w:szCs w:val="32"/>
        </w:rPr>
        <w:t>较上年</w:t>
      </w:r>
      <w:r>
        <w:rPr>
          <w:rFonts w:ascii="仿宋_GB2312" w:eastAsia="仿宋_GB2312"/>
          <w:sz w:val="32"/>
          <w:szCs w:val="32"/>
        </w:rPr>
        <w:t>增加0.09</w:t>
      </w:r>
      <w:r>
        <w:rPr>
          <w:rFonts w:ascii="仿宋_GB2312" w:eastAsia="仿宋_GB2312" w:hint="eastAsia"/>
          <w:sz w:val="32"/>
          <w:szCs w:val="32"/>
        </w:rPr>
        <w:t>%</w:t>
      </w:r>
      <w:r>
        <w:rPr>
          <w:rFonts w:eastAsia="方正仿宋_GBK"/>
          <w:sz w:val="32"/>
          <w:szCs w:val="32"/>
        </w:rPr>
        <w:t>。</w:t>
      </w:r>
    </w:p>
    <w:p>
      <w:pPr>
        <w:pStyle w:val="994"/>
        <w:tabs>
          <w:tab w:val="left" w:pos="2100"/>
        </w:tabs>
        <w:autoSpaceDN w:val="0"/>
        <w:snapToGrid w:val="0"/>
        <w:spacing w:line="560" w:lineRule="exact"/>
        <w:jc w:val="center"/>
        <w:rPr>
          <w:rFonts w:eastAsia="方正楷体_GBK"/>
          <w:b/>
          <w:bCs/>
          <w:sz w:val="32"/>
          <w:szCs w:val="32"/>
        </w:rPr>
      </w:pPr>
    </w:p>
    <w:p>
      <w:pPr>
        <w:pStyle w:val="994"/>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t>图4：财政拨款收、支决算总计变动情况</w:t>
      </w:r>
    </w:p>
    <w:p>
      <w:pPr>
        <w:pStyle w:val="994"/>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t>（单位：万元）</w:t>
      </w:r>
    </w:p>
    <w:p>
      <w:pPr>
        <w:pStyle w:val="994"/>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drawing>
          <wp:anchor distT="0" distB="0" distL="57149" distR="57149" simplePos="0" relativeHeight="28" behindDoc="0" locked="0" layoutInCell="1" hidden="0" allowOverlap="1">
            <wp:simplePos x="0" y="0"/>
            <wp:positionH relativeFrom="column">
              <wp:posOffset>511527</wp:posOffset>
            </wp:positionH>
            <wp:positionV relativeFrom="paragraph">
              <wp:posOffset>120653</wp:posOffset>
            </wp:positionV>
            <wp:extent cx="4571929" cy="2743157"/>
            <wp:effectExtent l="0" t="0" r="0" b="0"/>
            <wp:wrapNone/>
            <wp:docPr id="10" name="图片"/>
            <wp:cNvGraphicFramePr>
              <a:graphicFrameLocks noChangeAspect="1"/>
            </wp:cNvGraphicFramePr>
            <a:graphic>
              <a:graphicData uri="http://schemas.openxmlformats.org/drawingml/2006/picture">
                <pic:pic>
                  <pic:nvPicPr>
                    <pic:cNvPr id="12" name="图片 12"/>
                    <pic:cNvPicPr/>
                  </pic:nvPicPr>
                  <pic:blipFill>
                    <a:blip r:embed="rId9"/>
                    <a:stretch>
                      <a:fillRect/>
                    </a:stretch>
                  </pic:blipFill>
                  <pic:spPr>
                    <a:xfrm rot="0">
                      <a:off x="0" y="0"/>
                      <a:ext cx="4571929" cy="2743157"/>
                    </a:xfrm>
                    <a:prstGeom prst="rect"/>
                    <a:noFill/>
                    <a:ln w="9525" cmpd="sng" cap="flat">
                      <a:noFill/>
                      <a:prstDash val="solid"/>
                      <a:miter/>
                    </a:ln>
                  </pic:spPr>
                </pic:pic>
              </a:graphicData>
            </a:graphic>
          </wp:anchor>
        </w:drawing>
      </w:r>
    </w:p>
    <w:p>
      <w:pPr>
        <w:pStyle w:val="994"/>
        <w:tabs>
          <w:tab w:val="left" w:pos="2100"/>
        </w:tabs>
        <w:autoSpaceDN w:val="0"/>
        <w:snapToGrid w:val="0"/>
        <w:spacing w:line="560" w:lineRule="exact"/>
        <w:rPr>
          <w:rFonts w:eastAsia="方正楷体_GBK"/>
          <w:b/>
          <w:bCs/>
          <w:sz w:val="32"/>
          <w:szCs w:val="32"/>
        </w:rPr>
      </w:pPr>
    </w:p>
    <w:p>
      <w:pPr>
        <w:pStyle w:val="994"/>
        <w:tabs>
          <w:tab w:val="left" w:pos="2100"/>
        </w:tabs>
        <w:autoSpaceDN w:val="0"/>
        <w:snapToGrid w:val="0"/>
        <w:spacing w:line="560" w:lineRule="exact"/>
        <w:jc w:val="center"/>
        <w:rPr>
          <w:rFonts w:eastAsia="方正楷体_GBK"/>
          <w:b/>
          <w:bCs/>
          <w:sz w:val="32"/>
          <w:szCs w:val="32"/>
        </w:rPr>
      </w:pPr>
    </w:p>
    <w:p>
      <w:pPr>
        <w:pStyle w:val="994"/>
        <w:tabs>
          <w:tab w:val="left" w:pos="2100"/>
        </w:tabs>
        <w:autoSpaceDN w:val="0"/>
        <w:snapToGrid w:val="0"/>
        <w:spacing w:line="560" w:lineRule="exact"/>
        <w:jc w:val="center"/>
        <w:rPr>
          <w:rFonts w:eastAsia="方正楷体_GBK"/>
          <w:b/>
          <w:bCs/>
          <w:sz w:val="32"/>
          <w:szCs w:val="32"/>
        </w:rPr>
      </w:pPr>
    </w:p>
    <w:p>
      <w:pPr>
        <w:pStyle w:val="994"/>
        <w:tabs>
          <w:tab w:val="left" w:pos="2100"/>
        </w:tabs>
        <w:autoSpaceDN w:val="0"/>
        <w:snapToGrid w:val="0"/>
        <w:spacing w:line="560" w:lineRule="exact"/>
        <w:jc w:val="center"/>
        <w:rPr>
          <w:rFonts w:eastAsia="方正仿宋_GBK"/>
          <w:sz w:val="32"/>
          <w:szCs w:val="32"/>
        </w:rPr>
      </w:pPr>
    </w:p>
    <w:p>
      <w:pPr>
        <w:pStyle w:val="994"/>
        <w:tabs>
          <w:tab w:val="left" w:pos="2100"/>
        </w:tabs>
        <w:autoSpaceDN w:val="0"/>
        <w:snapToGrid w:val="0"/>
        <w:spacing w:line="560" w:lineRule="exact"/>
        <w:ind w:firstLineChars="200" w:firstLine="640"/>
        <w:rPr>
          <w:rFonts w:eastAsia="方正楷体_GBK"/>
          <w:b/>
          <w:bCs/>
          <w:sz w:val="32"/>
          <w:szCs w:val="32"/>
        </w:rPr>
      </w:pPr>
    </w:p>
    <w:p>
      <w:pPr>
        <w:pStyle w:val="994"/>
        <w:tabs>
          <w:tab w:val="left" w:pos="2100"/>
        </w:tabs>
        <w:autoSpaceDN w:val="0"/>
        <w:snapToGrid w:val="0"/>
        <w:spacing w:line="560" w:lineRule="exact"/>
        <w:ind w:firstLineChars="200" w:firstLine="640"/>
        <w:rPr>
          <w:rFonts w:eastAsia="方正楷体_GBK"/>
          <w:b/>
          <w:bCs/>
          <w:sz w:val="32"/>
          <w:szCs w:val="32"/>
        </w:rPr>
      </w:pPr>
    </w:p>
    <w:p>
      <w:pPr>
        <w:pStyle w:val="994"/>
        <w:tabs>
          <w:tab w:val="left" w:pos="2100"/>
        </w:tabs>
        <w:autoSpaceDN w:val="0"/>
        <w:snapToGrid w:val="0"/>
        <w:spacing w:line="560" w:lineRule="exact"/>
        <w:ind w:firstLineChars="200" w:firstLine="640"/>
        <w:rPr>
          <w:rFonts w:eastAsia="方正楷体_GBK"/>
          <w:b/>
          <w:bCs/>
          <w:sz w:val="32"/>
          <w:szCs w:val="32"/>
        </w:rPr>
      </w:pPr>
    </w:p>
    <w:p>
      <w:pPr>
        <w:pStyle w:val="994"/>
        <w:tabs>
          <w:tab w:val="left" w:pos="2100"/>
        </w:tabs>
        <w:autoSpaceDN w:val="0"/>
        <w:snapToGrid w:val="0"/>
        <w:spacing w:line="560" w:lineRule="exact"/>
        <w:ind w:firstLineChars="200" w:firstLine="640"/>
        <w:rPr>
          <w:rFonts w:eastAsia="方正楷体_GBK"/>
          <w:b/>
          <w:bCs/>
          <w:sz w:val="32"/>
          <w:szCs w:val="32"/>
        </w:rPr>
      </w:pP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37" w:name="_Toc44862968"/>
      <w:r>
        <w:rPr>
          <w:rFonts w:ascii="Times New Roman" w:eastAsia="方正黑体_GBK" w:cs="Times New Roman" w:hAnsi="Times New Roman"/>
          <w:b w:val="0"/>
          <w:bCs w:val="0"/>
        </w:rPr>
        <w:t>五、一般公共预算财政拨款支出决算情况说明</w:t>
      </w:r>
      <w:bookmarkEnd w:id="37"/>
    </w:p>
    <w:p>
      <w:pPr>
        <w:pStyle w:val="994"/>
        <w:tabs>
          <w:tab w:val="left" w:pos="2100"/>
        </w:tabs>
        <w:autoSpaceDN w:val="0"/>
        <w:snapToGrid w:val="0"/>
        <w:spacing w:line="560" w:lineRule="exact"/>
        <w:ind w:firstLineChars="200" w:firstLine="640"/>
        <w:rPr>
          <w:rFonts w:eastAsia="方正楷体_GBK"/>
          <w:b/>
          <w:bCs/>
          <w:kern w:val="0"/>
          <w:sz w:val="32"/>
          <w:szCs w:val="32"/>
        </w:rPr>
      </w:pPr>
      <w:r>
        <w:rPr>
          <w:rFonts w:eastAsia="方正楷体_GBK"/>
          <w:b/>
          <w:bCs/>
          <w:kern w:val="0"/>
          <w:sz w:val="32"/>
          <w:szCs w:val="32"/>
        </w:rPr>
        <w:t>（一）财政拨款支出决算总体情况。</w:t>
      </w:r>
    </w:p>
    <w:p>
      <w:pPr>
        <w:pStyle w:val="15"/>
        <w:autoSpaceDN w:val="0"/>
        <w:snapToGrid w:val="0"/>
        <w:spacing w:line="520" w:lineRule="exact"/>
        <w:ind w:firstLineChars="200" w:firstLine="640"/>
        <w:rPr>
          <w:rFonts w:ascii="仿宋_GB2312" w:eastAsia="仿宋_GB2312" w:cs="仿宋"/>
          <w:sz w:val="32"/>
          <w:szCs w:val="32"/>
        </w:rPr>
      </w:pPr>
      <w:r>
        <w:rPr>
          <w:rFonts w:eastAsia="方正仿宋_GBK"/>
          <w:kern w:val="0"/>
          <w:sz w:val="32"/>
          <w:szCs w:val="32"/>
        </w:rPr>
        <w:t>2025年度财政拨款支出</w:t>
      </w:r>
      <w:r>
        <w:rPr>
          <w:rFonts w:ascii="仿宋_GB2312" w:eastAsia="仿宋_GB2312" w:hint="eastAsia"/>
          <w:sz w:val="32"/>
          <w:szCs w:val="32"/>
        </w:rPr>
        <w:t>150</w:t>
      </w:r>
      <w:r>
        <w:rPr>
          <w:rFonts w:ascii="仿宋_GB2312" w:eastAsia="仿宋_GB2312"/>
          <w:sz w:val="32"/>
          <w:szCs w:val="32"/>
        </w:rPr>
        <w:t>3.36</w:t>
      </w:r>
      <w:r>
        <w:rPr>
          <w:rFonts w:eastAsia="方正仿宋_GBK"/>
          <w:kern w:val="0"/>
          <w:sz w:val="32"/>
          <w:szCs w:val="32"/>
        </w:rPr>
        <w:t>万元，占本年支出合计的</w:t>
      </w:r>
      <w:r>
        <w:rPr>
          <w:rFonts w:eastAsia="方正仿宋_GBK" w:hint="eastAsia"/>
          <w:sz w:val="32"/>
          <w:szCs w:val="32"/>
        </w:rPr>
        <w:t>9</w:t>
      </w:r>
      <w:r>
        <w:rPr>
          <w:rFonts w:eastAsia="方正仿宋_GBK"/>
          <w:sz w:val="32"/>
          <w:szCs w:val="32"/>
        </w:rPr>
        <w:t>3.98%</w:t>
      </w:r>
      <w:r>
        <w:rPr>
          <w:rFonts w:eastAsia="方正仿宋_GBK"/>
          <w:kern w:val="0"/>
          <w:sz w:val="32"/>
          <w:szCs w:val="32"/>
        </w:rPr>
        <w:t>。与2024年度相比，财政拨款支出增加</w:t>
      </w:r>
      <w:r>
        <w:rPr>
          <w:rFonts w:eastAsia="方正仿宋_GBK" w:hint="eastAsia"/>
          <w:kern w:val="0"/>
          <w:sz w:val="32"/>
          <w:szCs w:val="32"/>
        </w:rPr>
        <w:t>1</w:t>
      </w:r>
      <w:r>
        <w:rPr>
          <w:rFonts w:eastAsia="方正仿宋_GBK"/>
          <w:kern w:val="0"/>
          <w:sz w:val="32"/>
          <w:szCs w:val="32"/>
        </w:rPr>
        <w:t>.3万元，</w:t>
      </w:r>
      <w:r>
        <w:rPr>
          <w:rFonts w:ascii="仿宋_GB2312" w:eastAsia="仿宋_GB2312" w:hint="eastAsia"/>
          <w:sz w:val="32"/>
          <w:szCs w:val="32"/>
        </w:rPr>
        <w:t>较上年</w:t>
      </w:r>
      <w:r>
        <w:rPr>
          <w:rFonts w:ascii="仿宋_GB2312" w:eastAsia="仿宋_GB2312"/>
          <w:sz w:val="32"/>
          <w:szCs w:val="32"/>
        </w:rPr>
        <w:t>增加0.09</w:t>
      </w:r>
      <w:r>
        <w:rPr>
          <w:rFonts w:ascii="仿宋_GB2312" w:eastAsia="仿宋_GB2312" w:hint="eastAsia"/>
          <w:sz w:val="32"/>
          <w:szCs w:val="32"/>
        </w:rPr>
        <w:t>%</w:t>
      </w:r>
      <w:r>
        <w:rPr>
          <w:rFonts w:ascii="仿宋_GB2312" w:eastAsia="仿宋_GB2312"/>
          <w:sz w:val="32"/>
          <w:szCs w:val="32"/>
        </w:rPr>
        <w:t>，</w:t>
      </w:r>
      <w:r>
        <w:rPr>
          <w:rFonts w:eastAsia="方正仿宋_GBK"/>
          <w:kern w:val="0"/>
          <w:sz w:val="32"/>
          <w:szCs w:val="32"/>
        </w:rPr>
        <w:t>基本保持不变</w:t>
      </w:r>
    </w:p>
    <w:p>
      <w:pPr>
        <w:pStyle w:val="994"/>
        <w:tabs>
          <w:tab w:val="left" w:pos="2100"/>
        </w:tabs>
        <w:autoSpaceDN w:val="0"/>
        <w:snapToGrid w:val="0"/>
        <w:spacing w:line="560" w:lineRule="exact"/>
        <w:ind w:left="640"/>
        <w:rPr>
          <w:rFonts w:eastAsia="方正楷体_GBK"/>
          <w:b/>
          <w:bCs/>
          <w:kern w:val="0"/>
          <w:sz w:val="32"/>
          <w:szCs w:val="32"/>
        </w:rPr>
      </w:pPr>
      <w:r>
        <w:rPr>
          <w:rFonts w:eastAsia="方正楷体_GBK"/>
          <w:b/>
          <w:bCs/>
          <w:kern w:val="0"/>
          <w:sz w:val="32"/>
          <w:szCs w:val="32"/>
        </w:rPr>
        <w:t>（二）财政拨款支出决算结构情况。</w:t>
      </w:r>
    </w:p>
    <w:p>
      <w:pPr>
        <w:pStyle w:val="111"/>
        <w:autoSpaceDN w:val="0"/>
        <w:snapToGrid w:val="0"/>
        <w:spacing w:line="520" w:lineRule="exact"/>
        <w:ind w:firstLineChars="200" w:firstLine="640"/>
        <w:jc w:val="left"/>
      </w:pPr>
      <w:r>
        <w:rPr>
          <w:rFonts w:eastAsia="方正仿宋_GBK"/>
          <w:kern w:val="0"/>
          <w:sz w:val="32"/>
          <w:szCs w:val="32"/>
        </w:rPr>
        <w:t>2025年度财政拨款支出</w:t>
      </w:r>
      <w:r>
        <w:rPr>
          <w:rFonts w:ascii="仿宋_GB2312" w:eastAsia="仿宋_GB2312" w:hint="eastAsia"/>
          <w:sz w:val="32"/>
          <w:szCs w:val="32"/>
        </w:rPr>
        <w:t>150</w:t>
      </w:r>
      <w:r>
        <w:rPr>
          <w:rFonts w:ascii="仿宋_GB2312" w:eastAsia="仿宋_GB2312"/>
          <w:sz w:val="32"/>
          <w:szCs w:val="32"/>
        </w:rPr>
        <w:t>3.36</w:t>
      </w:r>
      <w:r>
        <w:rPr>
          <w:rFonts w:eastAsia="方正仿宋_GBK"/>
          <w:kern w:val="0"/>
          <w:sz w:val="32"/>
          <w:szCs w:val="32"/>
        </w:rPr>
        <w:t>万元，主要用于以下方面：一般公共服务支出1219.22万元，占81.10%；社会保障和就业支出113.29万元，占7.54%；卫生健康支出37.06万元，占2.47%；住房保障支出133.79万元，占</w:t>
      </w:r>
      <w:r>
        <w:rPr>
          <w:rFonts w:eastAsia="方正仿宋_GBK" w:hint="eastAsia"/>
          <w:kern w:val="0"/>
          <w:sz w:val="32"/>
          <w:szCs w:val="32"/>
        </w:rPr>
        <w:t>8.</w:t>
      </w:r>
      <w:r>
        <w:rPr>
          <w:rFonts w:eastAsia="方正仿宋_GBK"/>
          <w:kern w:val="0"/>
          <w:sz w:val="32"/>
          <w:szCs w:val="32"/>
        </w:rPr>
        <w:t>90%。</w:t>
      </w:r>
    </w:p>
    <w:p>
      <w:pPr>
        <w:pStyle w:val="995"/>
        <w:tabs>
          <w:tab w:val="left" w:pos="2100"/>
        </w:tabs>
        <w:autoSpaceDN w:val="0"/>
        <w:snapToGrid w:val="0"/>
        <w:spacing w:line="560" w:lineRule="exact"/>
        <w:jc w:val="center"/>
        <w:rPr>
          <w:rFonts w:eastAsia="方正楷体_GBK"/>
          <w:b/>
          <w:bCs/>
          <w:sz w:val="32"/>
          <w:szCs w:val="32"/>
        </w:rPr>
      </w:pPr>
    </w:p>
    <w:p>
      <w:pPr>
        <w:pStyle w:val="995"/>
        <w:tabs>
          <w:tab w:val="left" w:pos="2100"/>
        </w:tabs>
        <w:autoSpaceDN w:val="0"/>
        <w:snapToGrid w:val="0"/>
        <w:spacing w:line="560" w:lineRule="exact"/>
        <w:jc w:val="center"/>
        <w:rPr>
          <w:rFonts w:eastAsia="方正楷体_GBK"/>
          <w:b/>
          <w:bCs/>
          <w:sz w:val="32"/>
          <w:szCs w:val="32"/>
        </w:rPr>
      </w:pPr>
      <w:r>
        <w:rPr>
          <w:rFonts w:eastAsia="方正楷体_GBK"/>
          <w:b/>
          <w:bCs/>
          <w:sz w:val="32"/>
          <w:szCs w:val="32"/>
        </w:rPr>
        <w:t>图5：财政拨款支出决算结构情况</w:t>
      </w:r>
    </w:p>
    <w:p>
      <w:pPr>
        <w:pStyle w:val="994"/>
        <w:tabs>
          <w:tab w:val="left" w:pos="2100"/>
        </w:tabs>
        <w:autoSpaceDN w:val="0"/>
        <w:snapToGrid w:val="0"/>
        <w:spacing w:line="560" w:lineRule="exact"/>
        <w:ind w:firstLineChars="200" w:firstLine="640"/>
        <w:rPr>
          <w:rFonts w:eastAsia="方正楷体_GBK"/>
          <w:b/>
          <w:bCs/>
          <w:kern w:val="0"/>
          <w:sz w:val="32"/>
          <w:szCs w:val="32"/>
        </w:rPr>
      </w:pPr>
      <w:r>
        <w:rPr>
          <w:rFonts w:eastAsia="方正楷体_GBK"/>
          <w:b/>
          <w:bCs/>
          <w:kern w:val="0"/>
          <w:sz w:val="32"/>
          <w:szCs w:val="32"/>
        </w:rPr>
        <w:drawing>
          <wp:anchor distT="0" distB="0" distL="57149" distR="57149" simplePos="0" relativeHeight="29" behindDoc="0" locked="0" layoutInCell="1" hidden="0" allowOverlap="1">
            <wp:simplePos x="0" y="0"/>
            <wp:positionH relativeFrom="column">
              <wp:posOffset>381000</wp:posOffset>
            </wp:positionH>
            <wp:positionV relativeFrom="paragraph">
              <wp:posOffset>196851</wp:posOffset>
            </wp:positionV>
            <wp:extent cx="4571929" cy="2743158"/>
            <wp:effectExtent l="0" t="0" r="0" b="0"/>
            <wp:wrapNone/>
            <wp:docPr id="13" name="图片"/>
            <wp:cNvGraphicFramePr>
              <a:graphicFrameLocks noChangeAspect="1"/>
            </wp:cNvGraphicFramePr>
            <a:graphic>
              <a:graphicData uri="http://schemas.openxmlformats.org/drawingml/2006/picture">
                <pic:pic>
                  <pic:nvPicPr>
                    <pic:cNvPr id="15" name="图片 15"/>
                    <pic:cNvPicPr/>
                  </pic:nvPicPr>
                  <pic:blipFill>
                    <a:blip r:embed="rId10"/>
                    <a:stretch>
                      <a:fillRect/>
                    </a:stretch>
                  </pic:blipFill>
                  <pic:spPr>
                    <a:xfrm rot="0">
                      <a:off x="0" y="0"/>
                      <a:ext cx="4571929" cy="2743158"/>
                    </a:xfrm>
                    <a:prstGeom prst="rect"/>
                    <a:noFill/>
                    <a:ln w="9525" cmpd="sng" cap="flat">
                      <a:noFill/>
                      <a:prstDash val="solid"/>
                      <a:miter/>
                    </a:ln>
                  </pic:spPr>
                </pic:pic>
              </a:graphicData>
            </a:graphic>
          </wp:anchor>
        </w:drawing>
      </w: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楷体_GBK"/>
          <w:b/>
          <w:bCs/>
          <w:kern w:val="0"/>
          <w:sz w:val="32"/>
          <w:szCs w:val="32"/>
        </w:rPr>
      </w:pPr>
    </w:p>
    <w:p>
      <w:pPr>
        <w:pStyle w:val="994"/>
        <w:tabs>
          <w:tab w:val="left" w:pos="2100"/>
        </w:tabs>
        <w:autoSpaceDN w:val="0"/>
        <w:snapToGrid w:val="0"/>
        <w:spacing w:line="560" w:lineRule="exact"/>
        <w:ind w:firstLineChars="200" w:firstLine="640"/>
        <w:rPr>
          <w:rFonts w:eastAsia="方正仿宋_GBK"/>
          <w:b/>
          <w:bCs/>
          <w:kern w:val="0"/>
          <w:sz w:val="32"/>
          <w:szCs w:val="32"/>
        </w:rPr>
      </w:pPr>
      <w:r>
        <w:rPr>
          <w:rFonts w:eastAsia="方正楷体_GBK"/>
          <w:b/>
          <w:bCs/>
          <w:kern w:val="0"/>
          <w:sz w:val="32"/>
          <w:szCs w:val="32"/>
        </w:rPr>
        <w:t>(三）财政拨款支出决算具体情况。</w:t>
      </w:r>
    </w:p>
    <w:p>
      <w:pPr>
        <w:spacing w:before="132" w:line="245" w:lineRule="auto"/>
        <w:ind w:left="72" w:right="100" w:firstLine="590"/>
        <w:rPr>
          <w:rFonts w:eastAsia="方正仿宋_GBK"/>
          <w:kern w:val="0"/>
          <w:sz w:val="32"/>
          <w:szCs w:val="32"/>
        </w:rPr>
      </w:pPr>
      <w:r>
        <w:rPr>
          <w:rFonts w:eastAsia="方正仿宋_GBK"/>
          <w:spacing w:val="-7"/>
          <w:sz w:val="32"/>
          <w:szCs w:val="32"/>
        </w:rPr>
        <w:t>2025</w:t>
      </w:r>
      <w:r>
        <w:rPr>
          <w:rFonts w:eastAsia="方正仿宋_GBK"/>
          <w:spacing w:val="-5"/>
          <w:sz w:val="32"/>
          <w:szCs w:val="32"/>
        </w:rPr>
        <w:t>年度财政拨款支出年初预算为1510.04万元，支</w:t>
      </w:r>
      <w:r>
        <w:rPr>
          <w:rFonts w:eastAsia="方正仿宋_GBK"/>
          <w:spacing w:val="-20"/>
          <w:sz w:val="32"/>
          <w:szCs w:val="32"/>
        </w:rPr>
        <w:t>出决</w:t>
      </w:r>
      <w:r>
        <w:rPr>
          <w:rFonts w:eastAsia="方正仿宋_GBK"/>
          <w:spacing w:val="-19"/>
          <w:sz w:val="32"/>
          <w:szCs w:val="32"/>
        </w:rPr>
        <w:t>算</w:t>
      </w:r>
      <w:r>
        <w:rPr>
          <w:rFonts w:eastAsia="方正仿宋_GBK"/>
          <w:spacing w:val="-10"/>
          <w:sz w:val="32"/>
          <w:szCs w:val="32"/>
        </w:rPr>
        <w:t>为</w:t>
      </w:r>
      <w:r>
        <w:rPr>
          <w:rFonts w:eastAsia="方正仿宋_GBK" w:hint="eastAsia"/>
          <w:spacing w:val="-10"/>
          <w:sz w:val="32"/>
          <w:szCs w:val="32"/>
        </w:rPr>
        <w:t>150</w:t>
      </w:r>
      <w:r>
        <w:rPr>
          <w:rFonts w:eastAsia="方正仿宋_GBK"/>
          <w:spacing w:val="-10"/>
          <w:sz w:val="32"/>
          <w:szCs w:val="32"/>
        </w:rPr>
        <w:t>3.36万元，完成年初预算的99.56%。</w:t>
      </w:r>
      <w:r>
        <w:rPr>
          <w:rFonts w:eastAsia="方正仿宋_GBK"/>
          <w:kern w:val="0"/>
          <w:sz w:val="32"/>
          <w:szCs w:val="32"/>
        </w:rPr>
        <w:t>支出具体情况如下：</w:t>
      </w:r>
    </w:p>
    <w:p>
      <w:pPr>
        <w:pStyle w:val="994"/>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bCs/>
          <w:kern w:val="0"/>
          <w:sz w:val="32"/>
          <w:szCs w:val="32"/>
        </w:rPr>
        <w:t>一般公共服务支出（类）海关事务（款）行政运行（项）</w:t>
      </w:r>
      <w:r>
        <w:rPr>
          <w:rFonts w:eastAsia="方正仿宋_GBK"/>
          <w:kern w:val="0"/>
          <w:sz w:val="32"/>
          <w:szCs w:val="32"/>
        </w:rPr>
        <w:t>年初预算为935.28万元，支出决算为928.6万元，完成年初预算的</w:t>
      </w:r>
      <w:r>
        <w:rPr>
          <w:sz w:val="32"/>
          <w:szCs w:val="32"/>
        </w:rPr>
        <w:t>99.29</w:t>
      </w:r>
      <w:r>
        <w:rPr>
          <w:rFonts w:eastAsia="方正仿宋_GBK"/>
          <w:kern w:val="0"/>
          <w:sz w:val="32"/>
          <w:szCs w:val="32"/>
        </w:rPr>
        <w:t>%。</w:t>
      </w:r>
    </w:p>
    <w:p>
      <w:pPr>
        <w:pStyle w:val="1348"/>
        <w:tabs>
          <w:tab w:val="left" w:pos="2100"/>
        </w:tabs>
        <w:autoSpaceDN w:val="0"/>
        <w:snapToGrid w:val="0"/>
        <w:spacing w:line="560" w:lineRule="exact"/>
        <w:ind w:firstLineChars="200" w:firstLine="640"/>
        <w:rPr>
          <w:sz w:val="32"/>
          <w:szCs w:val="32"/>
        </w:rPr>
      </w:pPr>
      <w:r>
        <w:rPr>
          <w:rFonts w:eastAsia="方正仿宋_GBK" w:hint="eastAsia"/>
          <w:kern w:val="0"/>
          <w:sz w:val="32"/>
          <w:szCs w:val="32"/>
        </w:rPr>
        <w:t>2</w:t>
      </w:r>
      <w:r>
        <w:rPr>
          <w:rFonts w:eastAsia="方正仿宋_GBK"/>
          <w:kern w:val="0"/>
          <w:sz w:val="32"/>
          <w:szCs w:val="32"/>
        </w:rPr>
        <w:t>.</w:t>
      </w:r>
      <w:r>
        <w:rPr>
          <w:rFonts w:eastAsia="方正仿宋_GBK"/>
          <w:bCs/>
          <w:kern w:val="0"/>
          <w:sz w:val="32"/>
          <w:szCs w:val="32"/>
        </w:rPr>
        <w:t>一般公共服务支出（类）海关事务（款）海关关务（项）</w:t>
      </w:r>
      <w:r>
        <w:rPr>
          <w:rFonts w:eastAsia="方正仿宋_GBK"/>
          <w:kern w:val="0"/>
          <w:sz w:val="32"/>
          <w:szCs w:val="32"/>
        </w:rPr>
        <w:t>年初预算为213.92万元，支出决算为</w:t>
      </w:r>
      <w:r>
        <w:rPr>
          <w:sz w:val="32"/>
          <w:szCs w:val="32"/>
        </w:rPr>
        <w:t>213.92</w:t>
      </w:r>
      <w:r>
        <w:rPr>
          <w:rFonts w:eastAsia="方正仿宋_GBK"/>
          <w:kern w:val="0"/>
          <w:sz w:val="32"/>
          <w:szCs w:val="32"/>
        </w:rPr>
        <w:t>万元，完成年初预算的</w:t>
      </w:r>
      <w:r>
        <w:rPr>
          <w:sz w:val="32"/>
          <w:szCs w:val="32"/>
        </w:rPr>
        <w:t>100%</w:t>
      </w:r>
      <w:r>
        <w:rPr>
          <w:rFonts w:eastAsia="方正仿宋_GBK"/>
          <w:kern w:val="0"/>
          <w:sz w:val="32"/>
          <w:szCs w:val="32"/>
        </w:rPr>
        <w:t>。</w:t>
      </w:r>
    </w:p>
    <w:p>
      <w:pPr>
        <w:pStyle w:val="1002"/>
        <w:tabs>
          <w:tab w:val="left" w:pos="2100"/>
        </w:tabs>
        <w:autoSpaceDN w:val="0"/>
        <w:snapToGrid w:val="0"/>
        <w:spacing w:line="560" w:lineRule="exact"/>
        <w:ind w:firstLineChars="200" w:firstLine="640"/>
        <w:rPr>
          <w:sz w:val="32"/>
          <w:szCs w:val="32"/>
        </w:rPr>
      </w:pPr>
      <w:r>
        <w:rPr>
          <w:rFonts w:eastAsia="方正仿宋_GBK" w:hint="eastAsia"/>
          <w:kern w:val="0"/>
          <w:sz w:val="32"/>
          <w:szCs w:val="32"/>
        </w:rPr>
        <w:t>3</w:t>
      </w:r>
      <w:r>
        <w:rPr>
          <w:rFonts w:eastAsia="方正仿宋_GBK"/>
          <w:kern w:val="0"/>
          <w:sz w:val="32"/>
          <w:szCs w:val="32"/>
        </w:rPr>
        <w:t>.</w:t>
      </w:r>
      <w:r>
        <w:rPr>
          <w:rFonts w:eastAsia="方正仿宋_GBK"/>
          <w:bCs/>
          <w:kern w:val="0"/>
          <w:sz w:val="32"/>
          <w:szCs w:val="32"/>
        </w:rPr>
        <w:t>一般公共服务支出（类）海关事务（款）海关监管（项）</w:t>
      </w:r>
      <w:r>
        <w:rPr>
          <w:rFonts w:eastAsia="方正仿宋_GBK"/>
          <w:kern w:val="0"/>
          <w:sz w:val="32"/>
          <w:szCs w:val="32"/>
        </w:rPr>
        <w:t>年初预算为40万元，支出决算为</w:t>
      </w:r>
      <w:r>
        <w:rPr>
          <w:sz w:val="32"/>
          <w:szCs w:val="32"/>
        </w:rPr>
        <w:t>40</w:t>
      </w:r>
      <w:r>
        <w:rPr>
          <w:rFonts w:eastAsia="方正仿宋_GBK"/>
          <w:kern w:val="0"/>
          <w:sz w:val="32"/>
          <w:szCs w:val="32"/>
        </w:rPr>
        <w:t>万元，完成年初预算的</w:t>
      </w:r>
      <w:r>
        <w:rPr>
          <w:sz w:val="32"/>
          <w:szCs w:val="32"/>
        </w:rPr>
        <w:t>100%</w:t>
      </w:r>
      <w:r>
        <w:rPr>
          <w:rFonts w:eastAsia="方正仿宋_GBK"/>
          <w:kern w:val="0"/>
          <w:sz w:val="32"/>
          <w:szCs w:val="32"/>
        </w:rPr>
        <w:t>。</w:t>
      </w:r>
    </w:p>
    <w:p>
      <w:pPr>
        <w:pStyle w:val="1188"/>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4</w:t>
      </w:r>
      <w:r>
        <w:rPr>
          <w:rFonts w:eastAsia="方正仿宋_GBK"/>
          <w:kern w:val="0"/>
          <w:sz w:val="32"/>
          <w:szCs w:val="32"/>
        </w:rPr>
        <w:t>.</w:t>
      </w:r>
      <w:r>
        <w:rPr>
          <w:rFonts w:eastAsia="方正仿宋_GBK"/>
          <w:bCs/>
          <w:kern w:val="0"/>
          <w:sz w:val="32"/>
          <w:szCs w:val="32"/>
        </w:rPr>
        <w:t>一般公共服务支出（类）海关事务（款）检验检疫（项）</w:t>
      </w:r>
      <w:r>
        <w:rPr>
          <w:rFonts w:eastAsia="方正仿宋_GBK"/>
          <w:kern w:val="0"/>
          <w:sz w:val="32"/>
          <w:szCs w:val="32"/>
        </w:rPr>
        <w:t>年初预算为</w:t>
      </w:r>
      <w:r>
        <w:rPr>
          <w:sz w:val="32"/>
          <w:szCs w:val="32"/>
        </w:rPr>
        <w:t>36.7</w:t>
      </w:r>
      <w:r>
        <w:rPr>
          <w:rFonts w:eastAsia="方正仿宋_GBK"/>
          <w:kern w:val="0"/>
          <w:sz w:val="32"/>
          <w:szCs w:val="32"/>
        </w:rPr>
        <w:t>万元，支出决算为36.7万元，完成年初预算的1</w:t>
      </w:r>
      <w:r>
        <w:rPr>
          <w:rFonts w:eastAsia="方正仿宋_GBK" w:hint="eastAsia"/>
          <w:kern w:val="0"/>
          <w:sz w:val="32"/>
          <w:szCs w:val="32"/>
        </w:rPr>
        <w:t>00</w:t>
      </w:r>
      <w:r>
        <w:rPr>
          <w:rFonts w:eastAsia="方正仿宋_GBK"/>
          <w:kern w:val="0"/>
          <w:sz w:val="32"/>
          <w:szCs w:val="32"/>
        </w:rPr>
        <w:t>%。</w:t>
      </w:r>
    </w:p>
    <w:p>
      <w:pPr>
        <w:pStyle w:val="1191"/>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5</w:t>
      </w:r>
      <w:r>
        <w:rPr>
          <w:rFonts w:eastAsia="方正仿宋_GBK"/>
          <w:kern w:val="0"/>
          <w:sz w:val="32"/>
          <w:szCs w:val="32"/>
        </w:rPr>
        <w:t>.社会保障和就业支出</w:t>
      </w:r>
      <w:r>
        <w:rPr>
          <w:rFonts w:eastAsia="方正仿宋_GBK"/>
          <w:bCs/>
          <w:kern w:val="0"/>
          <w:sz w:val="32"/>
          <w:szCs w:val="32"/>
        </w:rPr>
        <w:t>（类）行政事业单位养老支出（款）行政单位离退休（项）</w:t>
      </w:r>
      <w:r>
        <w:rPr>
          <w:rFonts w:eastAsia="方正仿宋_GBK"/>
          <w:kern w:val="0"/>
          <w:sz w:val="32"/>
          <w:szCs w:val="32"/>
        </w:rPr>
        <w:t>年初预算为</w:t>
      </w:r>
      <w:r>
        <w:rPr>
          <w:sz w:val="32"/>
          <w:szCs w:val="32"/>
        </w:rPr>
        <w:t>0.26</w:t>
      </w:r>
      <w:r>
        <w:rPr>
          <w:rFonts w:eastAsia="方正仿宋_GBK"/>
          <w:sz w:val="32"/>
          <w:szCs w:val="32"/>
        </w:rPr>
        <w:t>万</w:t>
      </w:r>
      <w:r>
        <w:rPr>
          <w:rFonts w:eastAsia="方正仿宋_GBK"/>
          <w:kern w:val="0"/>
          <w:sz w:val="32"/>
          <w:szCs w:val="32"/>
        </w:rPr>
        <w:t>元，支出决算为</w:t>
      </w:r>
      <w:r>
        <w:rPr>
          <w:sz w:val="32"/>
          <w:szCs w:val="32"/>
        </w:rPr>
        <w:t>0.26</w:t>
      </w:r>
      <w:r>
        <w:rPr>
          <w:rFonts w:eastAsia="方正仿宋_GBK"/>
          <w:kern w:val="0"/>
          <w:sz w:val="32"/>
          <w:szCs w:val="32"/>
        </w:rPr>
        <w:t>万元，完成年初预算100%。</w:t>
      </w:r>
    </w:p>
    <w:p>
      <w:pPr>
        <w:pStyle w:val="1009"/>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6</w:t>
      </w:r>
      <w:r>
        <w:rPr>
          <w:rFonts w:eastAsia="方正仿宋_GBK"/>
          <w:kern w:val="0"/>
          <w:sz w:val="32"/>
          <w:szCs w:val="32"/>
        </w:rPr>
        <w:t>.社会保障和就业支出</w:t>
      </w:r>
      <w:r>
        <w:rPr>
          <w:rFonts w:eastAsia="方正仿宋_GBK"/>
          <w:bCs/>
          <w:kern w:val="0"/>
          <w:sz w:val="32"/>
          <w:szCs w:val="32"/>
        </w:rPr>
        <w:t>（类）行政事业单位养老支出（款）机关事业单位基本养老保险缴费支出（项）</w:t>
      </w:r>
      <w:r>
        <w:rPr>
          <w:rFonts w:eastAsia="方正仿宋_GBK"/>
          <w:kern w:val="0"/>
          <w:sz w:val="32"/>
          <w:szCs w:val="32"/>
        </w:rPr>
        <w:t>全年预算为</w:t>
      </w:r>
      <w:r>
        <w:rPr>
          <w:sz w:val="32"/>
          <w:szCs w:val="32"/>
        </w:rPr>
        <w:t>75.88</w:t>
      </w:r>
      <w:r>
        <w:rPr>
          <w:rFonts w:eastAsia="方正仿宋_GBK"/>
          <w:kern w:val="0"/>
          <w:sz w:val="32"/>
          <w:szCs w:val="32"/>
        </w:rPr>
        <w:t>万元，支出决算为</w:t>
      </w:r>
      <w:r>
        <w:rPr>
          <w:sz w:val="32"/>
          <w:szCs w:val="32"/>
        </w:rPr>
        <w:t>75.88</w:t>
      </w:r>
      <w:r>
        <w:rPr>
          <w:rFonts w:eastAsia="方正仿宋_GBK"/>
          <w:kern w:val="0"/>
          <w:sz w:val="32"/>
          <w:szCs w:val="32"/>
        </w:rPr>
        <w:t>万元，完成年初预算的</w:t>
      </w:r>
      <w:r>
        <w:rPr>
          <w:sz w:val="32"/>
          <w:szCs w:val="32"/>
        </w:rPr>
        <w:t>100%</w:t>
      </w:r>
      <w:r>
        <w:rPr>
          <w:rFonts w:eastAsia="方正仿宋_GBK"/>
          <w:kern w:val="0"/>
          <w:sz w:val="32"/>
          <w:szCs w:val="32"/>
        </w:rPr>
        <w:t>。</w:t>
      </w:r>
    </w:p>
    <w:p>
      <w:pPr>
        <w:pStyle w:val="1010"/>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7</w:t>
      </w:r>
      <w:r>
        <w:rPr>
          <w:rFonts w:eastAsia="方正仿宋_GBK"/>
          <w:kern w:val="0"/>
          <w:sz w:val="32"/>
          <w:szCs w:val="32"/>
        </w:rPr>
        <w:t>.社会保障和就业支出</w:t>
      </w:r>
      <w:r>
        <w:rPr>
          <w:rFonts w:eastAsia="方正仿宋_GBK"/>
          <w:bCs/>
          <w:kern w:val="0"/>
          <w:sz w:val="32"/>
          <w:szCs w:val="32"/>
        </w:rPr>
        <w:t>（类）行政事业单位养老支出（款）机关事业单位职业年金缴费支出（项）</w:t>
      </w:r>
      <w:r>
        <w:rPr>
          <w:rFonts w:eastAsia="方正仿宋_GBK"/>
          <w:kern w:val="0"/>
          <w:sz w:val="32"/>
          <w:szCs w:val="32"/>
        </w:rPr>
        <w:t>全年预算为</w:t>
      </w:r>
      <w:r>
        <w:rPr>
          <w:sz w:val="32"/>
          <w:szCs w:val="32"/>
        </w:rPr>
        <w:t>37.15</w:t>
      </w:r>
      <w:r>
        <w:rPr>
          <w:rFonts w:eastAsia="方正仿宋_GBK"/>
          <w:bCs/>
          <w:kern w:val="0"/>
          <w:sz w:val="32"/>
          <w:szCs w:val="32"/>
        </w:rPr>
        <w:t>万</w:t>
      </w:r>
      <w:r>
        <w:rPr>
          <w:rFonts w:eastAsia="方正仿宋_GBK"/>
          <w:kern w:val="0"/>
          <w:sz w:val="32"/>
          <w:szCs w:val="32"/>
        </w:rPr>
        <w:t>元，支出决算为</w:t>
      </w:r>
      <w:r>
        <w:rPr>
          <w:sz w:val="32"/>
          <w:szCs w:val="32"/>
        </w:rPr>
        <w:t>37.15</w:t>
      </w:r>
      <w:r>
        <w:rPr>
          <w:rFonts w:eastAsia="方正仿宋_GBK"/>
          <w:kern w:val="0"/>
          <w:sz w:val="32"/>
          <w:szCs w:val="32"/>
        </w:rPr>
        <w:t>万元，完成年初预算的100</w:t>
      </w:r>
      <w:r>
        <w:rPr>
          <w:sz w:val="32"/>
          <w:szCs w:val="32"/>
        </w:rPr>
        <w:t>%。</w:t>
      </w:r>
    </w:p>
    <w:p>
      <w:pPr>
        <w:pStyle w:val="1192"/>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8</w:t>
      </w:r>
      <w:r>
        <w:rPr>
          <w:rFonts w:eastAsia="方正仿宋_GBK"/>
          <w:kern w:val="0"/>
          <w:sz w:val="32"/>
          <w:szCs w:val="32"/>
        </w:rPr>
        <w:t>.卫生健康支出</w:t>
      </w:r>
      <w:r>
        <w:rPr>
          <w:rFonts w:eastAsia="方正仿宋_GBK"/>
          <w:bCs/>
          <w:kern w:val="0"/>
          <w:sz w:val="32"/>
          <w:szCs w:val="32"/>
        </w:rPr>
        <w:t>（类）行政事业单位医疗（款）行政单位医疗（项）</w:t>
      </w:r>
      <w:r>
        <w:rPr>
          <w:rFonts w:eastAsia="方正仿宋_GBK"/>
          <w:kern w:val="0"/>
          <w:sz w:val="32"/>
          <w:szCs w:val="32"/>
        </w:rPr>
        <w:t>年初预算为</w:t>
      </w:r>
      <w:r>
        <w:rPr>
          <w:sz w:val="32"/>
          <w:szCs w:val="32"/>
        </w:rPr>
        <w:t>31.31</w:t>
      </w:r>
      <w:r>
        <w:rPr>
          <w:rFonts w:eastAsia="方正仿宋_GBK"/>
          <w:kern w:val="0"/>
          <w:sz w:val="32"/>
          <w:szCs w:val="32"/>
        </w:rPr>
        <w:t>万元，支出决算为</w:t>
      </w:r>
      <w:r>
        <w:rPr>
          <w:sz w:val="32"/>
          <w:szCs w:val="32"/>
        </w:rPr>
        <w:t>31.31</w:t>
      </w:r>
      <w:r>
        <w:rPr>
          <w:rFonts w:eastAsia="方正仿宋_GBK"/>
          <w:kern w:val="0"/>
          <w:sz w:val="32"/>
          <w:szCs w:val="32"/>
        </w:rPr>
        <w:t>万元，完成年初预算的</w:t>
      </w:r>
      <w:r>
        <w:rPr>
          <w:sz w:val="32"/>
          <w:szCs w:val="32"/>
        </w:rPr>
        <w:t>100%</w:t>
      </w:r>
      <w:r>
        <w:rPr>
          <w:rFonts w:eastAsia="方正仿宋_GBK"/>
          <w:kern w:val="0"/>
          <w:sz w:val="32"/>
          <w:szCs w:val="32"/>
        </w:rPr>
        <w:t>。</w:t>
      </w:r>
    </w:p>
    <w:p>
      <w:pPr>
        <w:pStyle w:val="1194"/>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9</w:t>
      </w:r>
      <w:r>
        <w:rPr>
          <w:rFonts w:eastAsia="方正仿宋_GBK"/>
          <w:kern w:val="0"/>
          <w:sz w:val="32"/>
          <w:szCs w:val="32"/>
        </w:rPr>
        <w:t>.卫生健康支出</w:t>
      </w:r>
      <w:r>
        <w:rPr>
          <w:rFonts w:eastAsia="方正仿宋_GBK"/>
          <w:bCs/>
          <w:kern w:val="0"/>
          <w:sz w:val="32"/>
          <w:szCs w:val="32"/>
        </w:rPr>
        <w:t>（类）行政事业单位医疗（款）公务员医疗补助（项）</w:t>
      </w:r>
      <w:r>
        <w:rPr>
          <w:rFonts w:eastAsia="方正仿宋_GBK"/>
          <w:kern w:val="0"/>
          <w:sz w:val="32"/>
          <w:szCs w:val="32"/>
        </w:rPr>
        <w:t>年初预算为</w:t>
      </w:r>
      <w:r>
        <w:rPr>
          <w:rFonts w:hint="eastAsia"/>
          <w:sz w:val="32"/>
          <w:szCs w:val="32"/>
        </w:rPr>
        <w:t>4.</w:t>
      </w:r>
      <w:r>
        <w:rPr>
          <w:sz w:val="32"/>
          <w:szCs w:val="32"/>
        </w:rPr>
        <w:t>82</w:t>
      </w:r>
      <w:r>
        <w:rPr>
          <w:rFonts w:eastAsia="方正仿宋_GBK"/>
          <w:kern w:val="0"/>
          <w:sz w:val="32"/>
          <w:szCs w:val="32"/>
        </w:rPr>
        <w:t>万元，支出决算为</w:t>
      </w:r>
      <w:r>
        <w:rPr>
          <w:rFonts w:hint="eastAsia"/>
          <w:sz w:val="32"/>
          <w:szCs w:val="32"/>
        </w:rPr>
        <w:t>4.</w:t>
      </w:r>
      <w:r>
        <w:rPr>
          <w:sz w:val="32"/>
          <w:szCs w:val="32"/>
        </w:rPr>
        <w:t>82</w:t>
      </w:r>
      <w:r>
        <w:rPr>
          <w:rFonts w:eastAsia="方正仿宋_GBK"/>
          <w:kern w:val="0"/>
          <w:sz w:val="32"/>
          <w:szCs w:val="32"/>
        </w:rPr>
        <w:t>万元，完成年初预算的</w:t>
      </w:r>
      <w:r>
        <w:rPr>
          <w:sz w:val="32"/>
          <w:szCs w:val="32"/>
        </w:rPr>
        <w:t>100%</w:t>
      </w:r>
      <w:r>
        <w:rPr>
          <w:rFonts w:eastAsia="方正仿宋_GBK"/>
          <w:kern w:val="0"/>
          <w:sz w:val="32"/>
          <w:szCs w:val="32"/>
        </w:rPr>
        <w:t>。</w:t>
      </w:r>
    </w:p>
    <w:p>
      <w:pPr>
        <w:pStyle w:val="1194"/>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0</w:t>
      </w:r>
      <w:r>
        <w:rPr>
          <w:rFonts w:eastAsia="方正仿宋_GBK"/>
          <w:kern w:val="0"/>
          <w:sz w:val="32"/>
          <w:szCs w:val="32"/>
        </w:rPr>
        <w:t>.卫生健康支出</w:t>
      </w:r>
      <w:r>
        <w:rPr>
          <w:rFonts w:eastAsia="方正仿宋_GBK"/>
          <w:bCs/>
          <w:kern w:val="0"/>
          <w:sz w:val="32"/>
          <w:szCs w:val="32"/>
        </w:rPr>
        <w:t>（类）行政事业单位医疗（款）其他行政事业单位医疗支出（项）</w:t>
      </w:r>
      <w:r>
        <w:rPr>
          <w:rFonts w:eastAsia="方正仿宋_GBK"/>
          <w:kern w:val="0"/>
          <w:sz w:val="32"/>
          <w:szCs w:val="32"/>
        </w:rPr>
        <w:t>年初预算为</w:t>
      </w:r>
      <w:r>
        <w:rPr>
          <w:sz w:val="32"/>
          <w:szCs w:val="32"/>
        </w:rPr>
        <w:t>0.93</w:t>
      </w:r>
      <w:r>
        <w:rPr>
          <w:rFonts w:eastAsia="方正仿宋_GBK"/>
          <w:kern w:val="0"/>
          <w:sz w:val="32"/>
          <w:szCs w:val="32"/>
        </w:rPr>
        <w:t>万元，支出决算为</w:t>
      </w:r>
      <w:r>
        <w:rPr>
          <w:sz w:val="32"/>
          <w:szCs w:val="32"/>
        </w:rPr>
        <w:t>0.93</w:t>
      </w:r>
      <w:r>
        <w:rPr>
          <w:rFonts w:eastAsia="方正仿宋_GBK"/>
          <w:kern w:val="0"/>
          <w:sz w:val="32"/>
          <w:szCs w:val="32"/>
        </w:rPr>
        <w:t>万元，完成年初预算的</w:t>
      </w:r>
      <w:r>
        <w:rPr>
          <w:sz w:val="32"/>
          <w:szCs w:val="32"/>
        </w:rPr>
        <w:t>100%</w:t>
      </w:r>
      <w:r>
        <w:rPr>
          <w:rFonts w:eastAsia="方正仿宋_GBK"/>
          <w:kern w:val="0"/>
          <w:sz w:val="32"/>
          <w:szCs w:val="32"/>
        </w:rPr>
        <w:t>。</w:t>
      </w:r>
    </w:p>
    <w:p>
      <w:pPr>
        <w:pStyle w:val="1013"/>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11.住房保障支出</w:t>
      </w:r>
      <w:r>
        <w:rPr>
          <w:rFonts w:eastAsia="方正仿宋_GBK"/>
          <w:bCs/>
          <w:kern w:val="0"/>
          <w:sz w:val="32"/>
          <w:szCs w:val="32"/>
        </w:rPr>
        <w:t>（类）住房改革支出（款）住房公积金（项）</w:t>
      </w:r>
      <w:r>
        <w:rPr>
          <w:rFonts w:eastAsia="方正仿宋_GBK"/>
          <w:kern w:val="0"/>
          <w:sz w:val="32"/>
          <w:szCs w:val="32"/>
        </w:rPr>
        <w:t>年初预算为</w:t>
      </w:r>
      <w:r>
        <w:rPr>
          <w:sz w:val="32"/>
          <w:szCs w:val="32"/>
        </w:rPr>
        <w:t>85.19</w:t>
      </w:r>
      <w:r>
        <w:rPr>
          <w:rFonts w:eastAsia="方正仿宋_GBK"/>
          <w:kern w:val="0"/>
          <w:sz w:val="32"/>
          <w:szCs w:val="32"/>
        </w:rPr>
        <w:t>万元，支出决算为</w:t>
      </w:r>
      <w:r>
        <w:rPr>
          <w:sz w:val="32"/>
          <w:szCs w:val="32"/>
        </w:rPr>
        <w:t>85.19</w:t>
      </w:r>
      <w:r>
        <w:rPr>
          <w:rFonts w:eastAsia="方正仿宋_GBK"/>
          <w:kern w:val="0"/>
          <w:sz w:val="32"/>
          <w:szCs w:val="32"/>
        </w:rPr>
        <w:t>万元，完成年初预算的</w:t>
      </w:r>
      <w:r>
        <w:rPr>
          <w:rFonts w:hint="eastAsia"/>
          <w:sz w:val="32"/>
          <w:szCs w:val="32"/>
        </w:rPr>
        <w:t>100</w:t>
      </w:r>
      <w:r>
        <w:rPr>
          <w:sz w:val="32"/>
          <w:szCs w:val="32"/>
        </w:rPr>
        <w:t>%</w:t>
      </w:r>
      <w:r>
        <w:rPr>
          <w:rFonts w:eastAsia="方正仿宋_GBK"/>
          <w:kern w:val="0"/>
          <w:sz w:val="32"/>
          <w:szCs w:val="32"/>
        </w:rPr>
        <w:t>。</w:t>
      </w:r>
    </w:p>
    <w:p>
      <w:pPr>
        <w:pStyle w:val="1014"/>
        <w:tabs>
          <w:tab w:val="left" w:pos="2100"/>
        </w:tabs>
        <w:autoSpaceDN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11</w:t>
      </w:r>
      <w:r>
        <w:rPr>
          <w:rFonts w:eastAsia="方正仿宋_GBK"/>
          <w:kern w:val="0"/>
          <w:sz w:val="32"/>
          <w:szCs w:val="32"/>
        </w:rPr>
        <w:t>.住房保障支出</w:t>
      </w:r>
      <w:r>
        <w:rPr>
          <w:rFonts w:eastAsia="方正仿宋_GBK"/>
          <w:bCs/>
          <w:kern w:val="0"/>
          <w:sz w:val="32"/>
          <w:szCs w:val="32"/>
        </w:rPr>
        <w:t>（类）住房改革支出（款）购房补贴（项）</w:t>
      </w:r>
      <w:r>
        <w:rPr>
          <w:rFonts w:eastAsia="方正仿宋_GBK"/>
          <w:kern w:val="0"/>
          <w:sz w:val="32"/>
          <w:szCs w:val="32"/>
        </w:rPr>
        <w:t>年初预算为</w:t>
      </w:r>
      <w:r>
        <w:rPr>
          <w:sz w:val="32"/>
          <w:szCs w:val="32"/>
        </w:rPr>
        <w:t>48.60</w:t>
      </w:r>
      <w:r>
        <w:rPr>
          <w:rFonts w:eastAsia="方正仿宋_GBK"/>
          <w:kern w:val="0"/>
          <w:sz w:val="32"/>
          <w:szCs w:val="32"/>
        </w:rPr>
        <w:t>万元，支出决算为</w:t>
      </w:r>
      <w:r>
        <w:rPr>
          <w:sz w:val="32"/>
          <w:szCs w:val="32"/>
        </w:rPr>
        <w:t>48.60</w:t>
      </w:r>
      <w:r>
        <w:rPr>
          <w:rFonts w:eastAsia="方正仿宋_GBK"/>
          <w:kern w:val="0"/>
          <w:sz w:val="32"/>
          <w:szCs w:val="32"/>
        </w:rPr>
        <w:t>万元，完成年初预算的100%。</w:t>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38" w:name="_Toc44862969"/>
      <w:r>
        <w:rPr>
          <w:rFonts w:ascii="Times New Roman" w:eastAsia="方正黑体_GBK" w:cs="Times New Roman" w:hAnsi="Times New Roman"/>
          <w:b w:val="0"/>
          <w:bCs w:val="0"/>
        </w:rPr>
        <w:t>六、一般公共预算财政拨款基本支出决算情况说明</w:t>
      </w:r>
      <w:bookmarkEnd w:id="38"/>
    </w:p>
    <w:p>
      <w:pPr>
        <w:pStyle w:val="994"/>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2025年度财政拨款基本支出</w:t>
      </w:r>
      <w:r>
        <w:rPr>
          <w:sz w:val="32"/>
          <w:szCs w:val="32"/>
        </w:rPr>
        <w:t>1212.74</w:t>
      </w:r>
      <w:r>
        <w:rPr>
          <w:rFonts w:eastAsia="方正仿宋_GBK"/>
          <w:kern w:val="0"/>
          <w:sz w:val="32"/>
          <w:szCs w:val="32"/>
        </w:rPr>
        <w:t>万元，其中：</w:t>
      </w:r>
    </w:p>
    <w:p>
      <w:pPr>
        <w:pStyle w:val="994"/>
        <w:tabs>
          <w:tab w:val="left" w:pos="2100"/>
        </w:tabs>
        <w:autoSpaceDN w:val="0"/>
        <w:snapToGrid w:val="0"/>
        <w:spacing w:line="560" w:lineRule="exact"/>
        <w:ind w:firstLineChars="200" w:firstLine="640"/>
        <w:rPr>
          <w:rFonts w:eastAsia="方正仿宋_GBK"/>
          <w:kern w:val="0"/>
          <w:sz w:val="32"/>
          <w:szCs w:val="32"/>
        </w:rPr>
      </w:pPr>
      <w:r>
        <w:rPr>
          <w:rFonts w:eastAsia="方正仿宋_GBK"/>
          <w:b/>
          <w:bCs/>
          <w:kern w:val="0"/>
          <w:sz w:val="32"/>
          <w:szCs w:val="32"/>
        </w:rPr>
        <w:t>人员经费</w:t>
      </w:r>
      <w:r>
        <w:rPr>
          <w:rFonts w:eastAsia="方正仿宋_GBK"/>
          <w:b/>
          <w:bCs/>
          <w:sz w:val="32"/>
          <w:szCs w:val="32"/>
        </w:rPr>
        <w:t>881.25</w:t>
      </w:r>
      <w:r>
        <w:rPr>
          <w:rFonts w:eastAsia="方正仿宋_GBK"/>
          <w:b/>
          <w:bCs/>
          <w:kern w:val="0"/>
          <w:sz w:val="32"/>
          <w:szCs w:val="32"/>
        </w:rPr>
        <w:t>万元，</w:t>
      </w:r>
      <w:r>
        <w:rPr>
          <w:rFonts w:eastAsia="方正仿宋_GBK"/>
          <w:kern w:val="0"/>
          <w:sz w:val="32"/>
          <w:szCs w:val="32"/>
        </w:rPr>
        <w:t xml:space="preserve"> </w:t>
      </w:r>
      <w:r>
        <w:rPr>
          <w:rFonts w:eastAsia="方正仿宋_GBK"/>
          <w:kern w:val="0"/>
          <w:sz w:val="32"/>
          <w:szCs w:val="32"/>
          <w:lang w:bidi="mn-Mong-CN"/>
        </w:rPr>
        <w:t>主要包括基本工资、津贴补贴、奖金、机关事业单位基本养老保险缴费、职业年金缴费、职工基本医疗保险缴费、公务员医疗补助缴费、住房公积金、医疗费、其他工资福利支出、离休费、抚恤金、奖励金、其他对个人和家庭的补助。</w:t>
      </w:r>
    </w:p>
    <w:p>
      <w:pPr>
        <w:autoSpaceDE w:val="0"/>
        <w:autoSpaceDN w:val="0"/>
        <w:adjustRightInd w:val="0"/>
        <w:ind w:firstLineChars="200" w:firstLine="640"/>
        <w:jc w:val="left"/>
        <w:rPr>
          <w:rFonts w:eastAsia="FZFSK--GBK1-0"/>
          <w:kern w:val="0"/>
          <w:sz w:val="32"/>
          <w:szCs w:val="32"/>
          <w:lang w:bidi="mn-Mong-CN"/>
        </w:rPr>
      </w:pPr>
      <w:r>
        <w:rPr>
          <w:rFonts w:eastAsia="方正仿宋_GBK"/>
          <w:b/>
          <w:bCs/>
          <w:kern w:val="0"/>
          <w:sz w:val="32"/>
          <w:szCs w:val="32"/>
        </w:rPr>
        <w:t>公用经费</w:t>
      </w:r>
      <w:r>
        <w:rPr>
          <w:rFonts w:eastAsia="方正仿宋_GBK"/>
          <w:b/>
          <w:bCs/>
          <w:sz w:val="32"/>
          <w:szCs w:val="32"/>
        </w:rPr>
        <w:t>331.49</w:t>
      </w:r>
      <w:r>
        <w:rPr>
          <w:rFonts w:eastAsia="方正仿宋_GBK"/>
          <w:b/>
          <w:bCs/>
          <w:kern w:val="0"/>
          <w:sz w:val="32"/>
          <w:szCs w:val="32"/>
        </w:rPr>
        <w:t>万元，</w:t>
      </w:r>
      <w:r>
        <w:rPr>
          <w:rFonts w:eastAsia="方正仿宋_GBK"/>
          <w:kern w:val="0"/>
          <w:sz w:val="32"/>
          <w:szCs w:val="32"/>
        </w:rPr>
        <w:t>主</w:t>
      </w:r>
      <w:r>
        <w:rPr>
          <w:rFonts w:eastAsia="方正仿宋_GBK"/>
          <w:kern w:val="0"/>
          <w:sz w:val="32"/>
          <w:szCs w:val="32"/>
          <w:lang w:bidi="mn-Mong-CN"/>
        </w:rPr>
        <w:t>主要包括办公费、印刷费、水费、电费、邮电费、取暖费、物业管理费、差旅费、维修（护）费、租赁费、公务接待费、专用材料费、被装购置费、劳务费、委托业务费、工会经费、福利费、公务用车运行维护费、其他交通费用、其他商品和服务支出、办公设备购置。</w:t>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39" w:name="_Toc44862970"/>
      <w:r>
        <w:rPr>
          <w:rFonts w:ascii="Times New Roman" w:eastAsia="方正黑体_GBK" w:cs="Times New Roman" w:hAnsi="Times New Roman"/>
          <w:b w:val="0"/>
          <w:bCs w:val="0"/>
        </w:rPr>
        <w:t>七、财政拨款“三公”经费支出决算情况说明</w:t>
      </w:r>
      <w:bookmarkEnd w:id="39"/>
    </w:p>
    <w:p>
      <w:pPr>
        <w:pStyle w:val="994"/>
        <w:tabs>
          <w:tab w:val="left" w:pos="2100"/>
        </w:tabs>
        <w:autoSpaceDN w:val="0"/>
        <w:snapToGrid w:val="0"/>
        <w:spacing w:line="560" w:lineRule="exact"/>
        <w:ind w:firstLineChars="200" w:firstLine="640"/>
        <w:rPr>
          <w:rFonts w:eastAsia="方正楷体_GBK"/>
          <w:b/>
          <w:bCs/>
          <w:kern w:val="0"/>
          <w:sz w:val="32"/>
          <w:szCs w:val="32"/>
        </w:rPr>
      </w:pPr>
      <w:r>
        <w:rPr>
          <w:rFonts w:eastAsia="方正楷体_GBK"/>
          <w:b/>
          <w:bCs/>
          <w:kern w:val="0"/>
          <w:sz w:val="32"/>
          <w:szCs w:val="32"/>
        </w:rPr>
        <w:t>（一）“三公”经费财政拨款支出决算总体情况说明。</w:t>
      </w:r>
    </w:p>
    <w:p>
      <w:pPr>
        <w:pStyle w:val="994"/>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2025年度“三公”经费财政拨款支出预算为</w:t>
      </w:r>
      <w:r>
        <w:rPr>
          <w:sz w:val="32"/>
          <w:szCs w:val="32"/>
        </w:rPr>
        <w:t>43.04</w:t>
      </w:r>
      <w:r>
        <w:rPr>
          <w:rFonts w:eastAsia="方正仿宋_GBK"/>
          <w:kern w:val="0"/>
          <w:sz w:val="32"/>
          <w:szCs w:val="32"/>
        </w:rPr>
        <w:t>万元，支出决算为</w:t>
      </w:r>
      <w:r>
        <w:rPr>
          <w:sz w:val="32"/>
          <w:szCs w:val="32"/>
        </w:rPr>
        <w:t>40.48</w:t>
      </w:r>
      <w:r>
        <w:rPr>
          <w:rFonts w:eastAsia="方正仿宋_GBK"/>
          <w:kern w:val="0"/>
          <w:sz w:val="32"/>
          <w:szCs w:val="32"/>
        </w:rPr>
        <w:t>万元，完成预算的94.05%。决算数小于预算数的主要原因是本年东乌海关继续认真贯彻落实“党政机关要坚持过紧日子”要求，厉行节约，从严控制“三公”经费开支。</w:t>
      </w:r>
    </w:p>
    <w:p>
      <w:pPr>
        <w:pStyle w:val="994"/>
        <w:tabs>
          <w:tab w:val="left" w:pos="2100"/>
        </w:tabs>
        <w:autoSpaceDN w:val="0"/>
        <w:snapToGrid w:val="0"/>
        <w:spacing w:line="560" w:lineRule="exact"/>
        <w:ind w:firstLineChars="200" w:firstLine="640"/>
        <w:rPr>
          <w:rFonts w:eastAsia="方正楷体_GBK"/>
          <w:b/>
          <w:bCs/>
          <w:kern w:val="0"/>
          <w:sz w:val="32"/>
          <w:szCs w:val="32"/>
        </w:rPr>
      </w:pPr>
      <w:r>
        <w:rPr>
          <w:rFonts w:eastAsia="方正楷体_GBK"/>
          <w:b/>
          <w:bCs/>
          <w:kern w:val="0"/>
          <w:sz w:val="32"/>
          <w:szCs w:val="32"/>
        </w:rPr>
        <w:t>（二）“三公”经费财政拨款支出决算具体情况说明。</w:t>
      </w:r>
    </w:p>
    <w:p>
      <w:pPr>
        <w:pStyle w:val="1330"/>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sz w:val="32"/>
          <w:szCs w:val="32"/>
        </w:rPr>
        <w:t>公务用车运行维护费支出42.09万元，主要是按规定保留的</w:t>
      </w:r>
      <w:r>
        <w:rPr>
          <w:rFonts w:eastAsia="方正仿宋_GBK"/>
          <w:color w:val="000000"/>
          <w:sz w:val="32"/>
          <w:szCs w:val="32"/>
        </w:rPr>
        <w:t>公务用车车辆燃料费、维修费、过桥过路费、保险费等支出。</w:t>
      </w:r>
      <w:r>
        <w:rPr>
          <w:rFonts w:eastAsia="方正仿宋_GBK"/>
          <w:sz w:val="32"/>
          <w:szCs w:val="32"/>
        </w:rPr>
        <w:t>截至2025年12月31日，</w:t>
      </w:r>
      <w:r>
        <w:rPr>
          <w:rFonts w:eastAsia="方正仿宋_GBK"/>
          <w:kern w:val="0"/>
          <w:sz w:val="32"/>
          <w:szCs w:val="32"/>
        </w:rPr>
        <w:t>东乌海关开支财政拨款的公务用车保有量为7</w:t>
      </w:r>
      <w:r>
        <w:rPr>
          <w:rFonts w:eastAsia="方正仿宋_GBK"/>
          <w:sz w:val="32"/>
          <w:szCs w:val="32"/>
        </w:rPr>
        <w:t>辆，</w:t>
      </w:r>
      <w:r>
        <w:rPr>
          <w:rFonts w:eastAsia="方正仿宋_GBK"/>
          <w:kern w:val="0"/>
          <w:sz w:val="32"/>
          <w:szCs w:val="32"/>
        </w:rPr>
        <w:t>公务用车运行维护费42.09万元</w:t>
      </w:r>
      <w:r>
        <w:rPr>
          <w:rFonts w:eastAsia="方正仿宋_GBK"/>
          <w:sz w:val="32"/>
          <w:szCs w:val="32"/>
        </w:rPr>
        <w:t>。</w:t>
      </w:r>
      <w:r>
        <w:rPr>
          <w:rFonts w:eastAsia="方正仿宋_GBK"/>
          <w:kern w:val="0"/>
          <w:sz w:val="32"/>
          <w:szCs w:val="32"/>
        </w:rPr>
        <w:t>海关</w:t>
      </w:r>
      <w:r>
        <w:rPr>
          <w:rFonts w:eastAsia="方正仿宋_GBK"/>
          <w:sz w:val="32"/>
          <w:szCs w:val="32"/>
        </w:rPr>
        <w:t>承担着国家赋予的税收征管、贸易监管、打击走私、维护国家政治经济安全任务，并且实行垂直管理，下辖机构多，监管区域大，大多机构设在沿边地区，点多、线长、面广。东乌海关车辆大部分为执法执勤用车，是海关执法执勤装备，为</w:t>
      </w:r>
      <w:r>
        <w:rPr>
          <w:rFonts w:eastAsia="方正仿宋_GBK"/>
          <w:kern w:val="0"/>
          <w:sz w:val="32"/>
          <w:szCs w:val="32"/>
        </w:rPr>
        <w:t>东乌海关</w:t>
      </w:r>
      <w:r>
        <w:rPr>
          <w:rFonts w:eastAsia="方正仿宋_GBK"/>
          <w:sz w:val="32"/>
          <w:szCs w:val="32"/>
        </w:rPr>
        <w:t>正常开展执法执勤工作的必要保障。</w:t>
      </w:r>
    </w:p>
    <w:p>
      <w:pPr>
        <w:autoSpaceDE w:val="0"/>
        <w:autoSpaceDN w:val="0"/>
        <w:adjustRightInd w:val="0"/>
        <w:ind w:firstLineChars="200" w:firstLine="640"/>
        <w:jc w:val="left"/>
        <w:rPr>
          <w:rFonts w:eastAsia="方正仿宋_GBK"/>
          <w:color w:val="C00000"/>
          <w:kern w:val="0"/>
          <w:sz w:val="32"/>
          <w:szCs w:val="32"/>
        </w:rPr>
      </w:pPr>
      <w:r>
        <w:rPr>
          <w:rFonts w:eastAsia="方正仿宋_GBK"/>
          <w:sz w:val="32"/>
          <w:szCs w:val="32"/>
        </w:rPr>
        <w:t>2.公务接待费预算为</w:t>
      </w:r>
      <w:r>
        <w:rPr>
          <w:rFonts w:eastAsia="方正仿宋_GBK"/>
          <w:kern w:val="0"/>
          <w:sz w:val="32"/>
          <w:szCs w:val="32"/>
        </w:rPr>
        <w:t>0.95</w:t>
      </w:r>
      <w:r>
        <w:rPr>
          <w:rFonts w:eastAsia="方正仿宋_GBK"/>
          <w:sz w:val="32"/>
          <w:szCs w:val="32"/>
        </w:rPr>
        <w:t>万元，支出决算为</w:t>
      </w:r>
      <w:r>
        <w:rPr>
          <w:rFonts w:eastAsia="方正仿宋_GBK"/>
          <w:kern w:val="0"/>
          <w:sz w:val="32"/>
          <w:szCs w:val="32"/>
        </w:rPr>
        <w:t>0.19</w:t>
      </w:r>
      <w:r>
        <w:rPr>
          <w:rFonts w:eastAsia="方正仿宋_GBK"/>
          <w:sz w:val="32"/>
          <w:szCs w:val="32"/>
        </w:rPr>
        <w:t>万元，完成年初预算的</w:t>
      </w:r>
      <w:r>
        <w:rPr>
          <w:rFonts w:eastAsia="方正仿宋_GBK"/>
          <w:kern w:val="0"/>
          <w:sz w:val="32"/>
          <w:szCs w:val="32"/>
        </w:rPr>
        <w:t>20%</w:t>
      </w:r>
      <w:r>
        <w:rPr>
          <w:rFonts w:eastAsia="方正仿宋_GBK"/>
          <w:sz w:val="32"/>
          <w:szCs w:val="32"/>
        </w:rPr>
        <w:t>，</w:t>
      </w:r>
      <w:r>
        <w:rPr>
          <w:rFonts w:eastAsia="方正仿宋_GBK"/>
          <w:kern w:val="0"/>
          <w:sz w:val="32"/>
          <w:szCs w:val="32"/>
          <w:lang w:bidi="mn-Mong-CN"/>
        </w:rPr>
        <w:t>较上年下降0.69万元，减少78.41%。</w:t>
      </w:r>
    </w:p>
    <w:p>
      <w:pPr>
        <w:pStyle w:val="2"/>
        <w:tabs>
          <w:tab w:val="left" w:pos="2100"/>
        </w:tabs>
        <w:snapToGrid w:val="0"/>
        <w:spacing w:before="0" w:after="0" w:line="560" w:lineRule="exact"/>
        <w:ind w:firstLineChars="250" w:firstLine="800"/>
        <w:rPr>
          <w:rFonts w:ascii="Times New Roman" w:eastAsia="方正黑体_GBK" w:cs="Times New Roman" w:hAnsi="Times New Roman"/>
          <w:b w:val="0"/>
          <w:bCs w:val="0"/>
        </w:rPr>
      </w:pPr>
      <w:bookmarkStart w:id="40" w:name="_Toc44862971"/>
      <w:r>
        <w:rPr>
          <w:rFonts w:ascii="Times New Roman" w:eastAsia="方正黑体_GBK" w:cs="Times New Roman" w:hAnsi="Times New Roman"/>
          <w:b w:val="0"/>
          <w:bCs w:val="0"/>
        </w:rPr>
        <w:t>八、机关运行经费支出说明</w:t>
      </w:r>
      <w:bookmarkEnd w:id="40"/>
    </w:p>
    <w:p>
      <w:pPr>
        <w:pStyle w:val="994"/>
        <w:autoSpaceDN w:val="0"/>
        <w:spacing w:line="560" w:lineRule="exact"/>
        <w:ind w:firstLineChars="200" w:firstLine="640"/>
      </w:pPr>
      <w:r>
        <w:rPr>
          <w:rFonts w:eastAsia="方正仿宋_GBK"/>
          <w:kern w:val="0"/>
          <w:sz w:val="32"/>
          <w:szCs w:val="32"/>
        </w:rPr>
        <w:t>东乌</w:t>
      </w:r>
      <w:r>
        <w:rPr>
          <w:rFonts w:eastAsia="方正仿宋_GBK"/>
          <w:sz w:val="32"/>
          <w:szCs w:val="32"/>
        </w:rPr>
        <w:t>海关</w:t>
      </w:r>
      <w:r>
        <w:rPr>
          <w:rFonts w:eastAsia="方正仿宋_GBK"/>
          <w:kern w:val="0"/>
          <w:sz w:val="32"/>
          <w:szCs w:val="32"/>
        </w:rPr>
        <w:t>2025年度机关运行经费支出331.49万元，比2024年度决算数减少82.58万元，减少19.94%，主要原因是东乌海关继续认真贯彻落实“党政机关要坚持过紧日子”要求，厉行节约，从严控制经费开支。</w:t>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41" w:name="_Toc44862972"/>
      <w:r>
        <w:rPr>
          <w:rFonts w:ascii="Times New Roman" w:eastAsia="方正黑体_GBK" w:cs="Times New Roman" w:hAnsi="Times New Roman"/>
          <w:b w:val="0"/>
          <w:bCs w:val="0"/>
        </w:rPr>
        <w:t>九、政府采购支出说明</w:t>
      </w:r>
      <w:bookmarkEnd w:id="41"/>
    </w:p>
    <w:p>
      <w:pPr>
        <w:pStyle w:val="1222"/>
        <w:spacing w:before="151" w:line="560" w:lineRule="exact"/>
        <w:ind w:left="23" w:right="125" w:firstLine="658"/>
        <w:rPr>
          <w:rFonts w:eastAsia="方正仿宋_GBK"/>
          <w:sz w:val="32"/>
          <w:szCs w:val="32"/>
        </w:rPr>
      </w:pPr>
      <w:r>
        <w:rPr>
          <w:rFonts w:eastAsia="方正仿宋_GBK"/>
          <w:sz w:val="32"/>
          <w:szCs w:val="32"/>
        </w:rPr>
        <w:t>东乌海关2025年度政府支出总额14.8万元，其中：政 府采购货物支出14.8万元。授予中小企业合同金额14.8万元，占政府采购支出总额的100%，其中：授予小微企业合同金额14.8万元，占授予中小企业合同金额的</w:t>
      </w:r>
      <w:r>
        <w:rPr>
          <w:rFonts w:eastAsia="方正仿宋_GBK" w:hint="eastAsia"/>
          <w:sz w:val="32"/>
          <w:szCs w:val="32"/>
        </w:rPr>
        <w:t>100</w:t>
      </w:r>
      <w:r>
        <w:rPr>
          <w:rFonts w:eastAsia="方正仿宋_GBK"/>
          <w:sz w:val="32"/>
          <w:szCs w:val="32"/>
        </w:rPr>
        <w:t>%；货物采购授予中小企业合同金额占货物支出金额的100%。</w:t>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42" w:name="_Toc44862973"/>
      <w:r>
        <w:rPr>
          <w:rFonts w:ascii="Times New Roman" w:eastAsia="方正黑体_GBK" w:cs="Times New Roman" w:hAnsi="Times New Roman"/>
          <w:b w:val="0"/>
          <w:bCs w:val="0"/>
        </w:rPr>
        <w:t>十、国有资产占用情况说明</w:t>
      </w:r>
      <w:bookmarkEnd w:id="42"/>
    </w:p>
    <w:p>
      <w:pPr>
        <w:pStyle w:val="994"/>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截至2025年12月31日，东乌</w:t>
      </w:r>
      <w:r>
        <w:rPr>
          <w:rFonts w:eastAsia="方正仿宋_GBK"/>
          <w:sz w:val="32"/>
          <w:szCs w:val="32"/>
        </w:rPr>
        <w:t>海关</w:t>
      </w:r>
      <w:r>
        <w:rPr>
          <w:rFonts w:eastAsia="方正仿宋_GBK"/>
          <w:kern w:val="0"/>
          <w:sz w:val="32"/>
          <w:szCs w:val="32"/>
        </w:rPr>
        <w:t>共有车辆7辆（台），其中：机要通信用车2辆、执法执勤用车5辆；单价100万元（含）以上的设备(不含车辆) 7台（套）。</w:t>
      </w:r>
    </w:p>
    <w:p>
      <w:pPr>
        <w:pStyle w:val="2"/>
        <w:tabs>
          <w:tab w:val="left" w:pos="2100"/>
        </w:tabs>
        <w:snapToGrid w:val="0"/>
        <w:spacing w:before="0" w:after="0" w:line="560" w:lineRule="exact"/>
        <w:ind w:firstLineChars="200" w:firstLine="640"/>
        <w:rPr>
          <w:rFonts w:ascii="Times New Roman" w:eastAsia="方正黑体_GBK" w:cs="Times New Roman" w:hAnsi="Times New Roman"/>
          <w:b w:val="0"/>
          <w:bCs w:val="0"/>
        </w:rPr>
      </w:pPr>
      <w:bookmarkStart w:id="43" w:name="_Toc44862974"/>
      <w:r>
        <w:rPr>
          <w:rFonts w:ascii="Times New Roman" w:eastAsia="方正黑体_GBK" w:cs="Times New Roman" w:hAnsi="Times New Roman"/>
          <w:b w:val="0"/>
          <w:bCs w:val="0"/>
        </w:rPr>
        <w:t>十一、关于2025年度预算绩效情况说明</w:t>
      </w:r>
      <w:bookmarkEnd w:id="43"/>
    </w:p>
    <w:p>
      <w:pPr>
        <w:pStyle w:val="994"/>
        <w:tabs>
          <w:tab w:val="left" w:pos="2100"/>
        </w:tabs>
        <w:autoSpaceDN w:val="0"/>
        <w:snapToGrid w:val="0"/>
        <w:spacing w:line="560" w:lineRule="exact"/>
        <w:ind w:firstLineChars="200" w:firstLine="640"/>
        <w:rPr>
          <w:rFonts w:eastAsia="方正楷体_GBK"/>
          <w:b/>
          <w:bCs/>
          <w:kern w:val="0"/>
          <w:sz w:val="32"/>
          <w:szCs w:val="32"/>
        </w:rPr>
      </w:pPr>
      <w:r>
        <w:rPr>
          <w:rFonts w:eastAsia="方正楷体_GBK"/>
          <w:b/>
          <w:bCs/>
          <w:kern w:val="0"/>
          <w:sz w:val="32"/>
          <w:szCs w:val="32"/>
        </w:rPr>
        <w:t>（一）预算绩效管理工作开展情况。</w:t>
      </w:r>
    </w:p>
    <w:p>
      <w:pPr>
        <w:pStyle w:val="994"/>
        <w:tabs>
          <w:tab w:val="left" w:pos="2100"/>
        </w:tabs>
        <w:autoSpaceDN w:val="0"/>
        <w:snapToGrid w:val="0"/>
        <w:spacing w:line="560" w:lineRule="exact"/>
        <w:ind w:firstLineChars="200" w:firstLine="640"/>
        <w:rPr>
          <w:rStyle w:val="1159"/>
          <w:rFonts w:eastAsia="方正仿宋_GBK"/>
          <w:sz w:val="32"/>
          <w:szCs w:val="32"/>
        </w:rPr>
      </w:pPr>
      <w:r>
        <w:rPr>
          <w:rStyle w:val="1159"/>
          <w:rFonts w:eastAsia="方正仿宋_GBK"/>
          <w:sz w:val="32"/>
          <w:szCs w:val="32"/>
        </w:rPr>
        <w:t>2025年，东乌海关稳步推进关区全过程预算绩效管理工作，严格落实预算绩效管理考核指标要求，进一步完善预算绩效管理机制，压紧压实主体责任，创新绩效评价方法，推动预算绩效管理工作取得实效，切实达到提升管理水平、防范风险隐患、优化资源配置、节约行政成本的预算绩效管理目标。</w:t>
      </w:r>
    </w:p>
    <w:p>
      <w:pPr>
        <w:pStyle w:val="994"/>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根据预算绩效管理工作要求，我关组织对2025年度一般公共预算项目支出全面开展绩效自评，其中，一级项目3个，二级项目1</w:t>
      </w:r>
      <w:r>
        <w:rPr>
          <w:rFonts w:eastAsia="方正仿宋_GBK" w:hint="eastAsia"/>
          <w:kern w:val="0"/>
          <w:sz w:val="32"/>
          <w:szCs w:val="32"/>
        </w:rPr>
        <w:t>0</w:t>
      </w:r>
      <w:r>
        <w:rPr>
          <w:rFonts w:eastAsia="方正仿宋_GBK"/>
          <w:kern w:val="0"/>
          <w:sz w:val="32"/>
          <w:szCs w:val="32"/>
        </w:rPr>
        <w:t>个，共涉及资金</w:t>
      </w:r>
      <w:r>
        <w:rPr>
          <w:rFonts w:eastAsia="方正仿宋_GBK" w:hint="eastAsia"/>
          <w:kern w:val="0"/>
          <w:sz w:val="32"/>
          <w:szCs w:val="32"/>
        </w:rPr>
        <w:t>266.29</w:t>
      </w:r>
      <w:r>
        <w:rPr>
          <w:rFonts w:eastAsia="方正仿宋_GBK"/>
          <w:kern w:val="0"/>
          <w:sz w:val="32"/>
          <w:szCs w:val="32"/>
        </w:rPr>
        <w:t>万元，占一般公共预算项目支出总额的100%。</w:t>
      </w:r>
    </w:p>
    <w:p>
      <w:pPr>
        <w:pStyle w:val="994"/>
        <w:tabs>
          <w:tab w:val="left" w:pos="2100"/>
        </w:tabs>
        <w:autoSpaceDN w:val="0"/>
        <w:snapToGrid w:val="0"/>
        <w:spacing w:line="560" w:lineRule="exact"/>
        <w:ind w:firstLineChars="200" w:firstLine="640"/>
        <w:rPr>
          <w:rFonts w:eastAsia="方正楷体_GBK"/>
          <w:kern w:val="0"/>
          <w:sz w:val="32"/>
          <w:szCs w:val="32"/>
        </w:rPr>
      </w:pPr>
      <w:r>
        <w:rPr>
          <w:rFonts w:eastAsia="方正楷体_GBK"/>
          <w:b/>
          <w:bCs/>
          <w:kern w:val="0"/>
          <w:sz w:val="32"/>
          <w:szCs w:val="32"/>
        </w:rPr>
        <w:t>（二）部门决算中项目绩效自评结果。(详见附件）</w:t>
      </w:r>
    </w:p>
    <w:p>
      <w:pPr>
        <w:pStyle w:val="1"/>
        <w:rPr>
          <w:rFonts w:eastAsia="方正黑体_GBK"/>
          <w:b w:val="0"/>
          <w:bCs w:val="0"/>
          <w:kern w:val="0"/>
          <w:sz w:val="84"/>
          <w:szCs w:val="84"/>
        </w:rPr>
      </w:pPr>
    </w:p>
    <w:p>
      <w:pPr>
        <w:pStyle w:val="1"/>
        <w:rPr>
          <w:rFonts w:eastAsia="方正黑体_GBK"/>
          <w:b w:val="0"/>
          <w:bCs w:val="0"/>
          <w:kern w:val="0"/>
          <w:sz w:val="84"/>
          <w:szCs w:val="84"/>
        </w:rPr>
      </w:pPr>
    </w:p>
    <w:p>
      <w:pPr>
        <w:pStyle w:val="1"/>
        <w:ind w:firstLineChars="100" w:firstLine="840"/>
        <w:rPr>
          <w:rFonts w:eastAsia="方正黑体_GBK"/>
          <w:b w:val="0"/>
          <w:bCs w:val="0"/>
          <w:kern w:val="0"/>
          <w:sz w:val="84"/>
          <w:szCs w:val="84"/>
        </w:rPr>
      </w:pPr>
    </w:p>
    <w:p/>
    <w:p>
      <w:pPr>
        <w:pStyle w:val="1"/>
        <w:rPr>
          <w:rFonts w:eastAsia="方正黑体_GBK"/>
          <w:b w:val="0"/>
          <w:bCs w:val="0"/>
          <w:kern w:val="0"/>
          <w:sz w:val="84"/>
          <w:szCs w:val="84"/>
        </w:rPr>
      </w:pPr>
    </w:p>
    <w:p>
      <w:pPr>
        <w:pStyle w:val="1"/>
        <w:ind w:firstLineChars="100" w:firstLine="840"/>
        <w:rPr>
          <w:rFonts w:eastAsia="方正黑体_GBK"/>
          <w:b w:val="0"/>
          <w:bCs w:val="0"/>
          <w:kern w:val="0"/>
          <w:sz w:val="84"/>
          <w:szCs w:val="84"/>
        </w:rPr>
      </w:pPr>
      <w:bookmarkStart w:id="44" w:name="_Toc44862975"/>
      <w:r>
        <w:rPr>
          <w:rFonts w:eastAsia="方正黑体_GBK"/>
          <w:b w:val="0"/>
          <w:bCs w:val="0"/>
          <w:kern w:val="0"/>
          <w:sz w:val="84"/>
          <w:szCs w:val="84"/>
        </w:rPr>
        <w:t>第四部分 名词解释</w:t>
      </w:r>
      <w:bookmarkEnd w:id="44"/>
    </w:p>
    <w:p>
      <w:pPr>
        <w:pStyle w:val="1199"/>
        <w:autoSpaceDN w:val="0"/>
        <w:spacing w:line="800" w:lineRule="exact"/>
        <w:ind w:firstLineChars="200" w:firstLine="640"/>
        <w:rPr>
          <w:rFonts w:eastAsia="方正仿宋_GBK"/>
          <w:kern w:val="0"/>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197"/>
        <w:autoSpaceDN w:val="0"/>
        <w:spacing w:line="560" w:lineRule="exact"/>
        <w:rPr>
          <w:rFonts w:eastAsia="方正黑体_GBK"/>
          <w:sz w:val="32"/>
          <w:szCs w:val="32"/>
        </w:rPr>
      </w:pPr>
    </w:p>
    <w:p>
      <w:pPr>
        <w:pStyle w:val="1200"/>
        <w:autoSpaceDN w:val="0"/>
        <w:spacing w:line="560" w:lineRule="exact"/>
        <w:ind w:firstLineChars="200" w:firstLine="640"/>
        <w:rPr>
          <w:rFonts w:eastAsia="方正仿宋_GBK"/>
          <w:sz w:val="32"/>
          <w:szCs w:val="32"/>
        </w:rPr>
      </w:pPr>
      <w:r>
        <w:rPr>
          <w:rFonts w:eastAsia="方正仿宋_GBK"/>
          <w:b/>
          <w:bCs/>
          <w:sz w:val="32"/>
          <w:szCs w:val="32"/>
        </w:rPr>
        <w:t>一、一般公共预算财政拨款收入：</w:t>
      </w:r>
      <w:r>
        <w:rPr>
          <w:rFonts w:eastAsia="方正仿宋_GBK"/>
          <w:sz w:val="32"/>
          <w:szCs w:val="32"/>
        </w:rPr>
        <w:t>指中央财政当年拨付的资金。</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二、事业收入：</w:t>
      </w:r>
      <w:r>
        <w:rPr>
          <w:rFonts w:eastAsia="方正仿宋_GBK"/>
          <w:sz w:val="32"/>
          <w:szCs w:val="32"/>
        </w:rPr>
        <w:t>指事业单位开展专业业务活动及辅助活动所取得的收入。</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三、经营收入：</w:t>
      </w:r>
      <w:r>
        <w:rPr>
          <w:rFonts w:eastAsia="方正仿宋_GBK"/>
          <w:sz w:val="32"/>
          <w:szCs w:val="32"/>
        </w:rPr>
        <w:t>指事业单位在专业业务活动及其辅助活动之外开展非独立核算经营活动取得的收入。</w:t>
      </w:r>
    </w:p>
    <w:p>
      <w:pPr>
        <w:pStyle w:val="1200"/>
        <w:autoSpaceDN w:val="0"/>
        <w:spacing w:line="560" w:lineRule="exact"/>
        <w:ind w:firstLineChars="200" w:firstLine="640"/>
        <w:rPr>
          <w:rFonts w:eastAsia="方正仿宋_GBK"/>
          <w:sz w:val="32"/>
          <w:szCs w:val="32"/>
        </w:rPr>
      </w:pPr>
      <w:r>
        <w:rPr>
          <w:rFonts w:eastAsia="方正仿宋_GBK"/>
          <w:b/>
          <w:bCs/>
          <w:sz w:val="32"/>
          <w:szCs w:val="32"/>
        </w:rPr>
        <w:t>四、其他收入：</w:t>
      </w:r>
      <w:r>
        <w:rPr>
          <w:rFonts w:eastAsia="方正仿宋_GBK"/>
          <w:sz w:val="32"/>
          <w:szCs w:val="32"/>
        </w:rPr>
        <w:t>指除上述一般公共预算财政拨款收入、事业收入、事业单位经营收入等以外的收入。主要是非同级财政拨款收入、存款利息收入等。</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五、使用非财政拨款结余：</w:t>
      </w:r>
      <w:r>
        <w:rPr>
          <w:rFonts w:eastAsia="方正仿宋_GBK"/>
          <w:sz w:val="32"/>
          <w:szCs w:val="32"/>
        </w:rPr>
        <w:t>指事业单位使用以前年度积累的非财政拨款结余弥补当年收支差额的金额。</w:t>
      </w:r>
    </w:p>
    <w:p>
      <w:pPr>
        <w:pStyle w:val="1200"/>
        <w:autoSpaceDN w:val="0"/>
        <w:spacing w:line="560" w:lineRule="exact"/>
        <w:ind w:firstLineChars="200" w:firstLine="640"/>
        <w:rPr>
          <w:rFonts w:eastAsia="方正仿宋_GBK"/>
          <w:sz w:val="32"/>
          <w:szCs w:val="32"/>
        </w:rPr>
      </w:pPr>
      <w:r>
        <w:rPr>
          <w:rFonts w:eastAsia="方正仿宋_GBK"/>
          <w:b/>
          <w:bCs/>
          <w:sz w:val="32"/>
          <w:szCs w:val="32"/>
        </w:rPr>
        <w:t>六、年初结转和结余：</w:t>
      </w:r>
      <w:r>
        <w:rPr>
          <w:rFonts w:eastAsia="方正仿宋_GBK"/>
          <w:sz w:val="32"/>
          <w:szCs w:val="32"/>
        </w:rPr>
        <w:t>指单位以前年度尚未完成、结转到本年仍按原规定用途继续使用的资金，或项目已完成等产生的结余资金。</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七、一般公共服务（类）海关事务（款）：</w:t>
      </w:r>
      <w:r>
        <w:rPr>
          <w:rFonts w:eastAsia="方正仿宋_GBK"/>
          <w:sz w:val="32"/>
          <w:szCs w:val="32"/>
        </w:rPr>
        <w:t>反映海关用于系统行政和事业单位的基本支出及完成专项业务工作的项目支出。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行政运行（项）：</w:t>
      </w:r>
      <w:r>
        <w:rPr>
          <w:rFonts w:eastAsia="方正仿宋_GBK"/>
          <w:sz w:val="32"/>
          <w:szCs w:val="32"/>
        </w:rPr>
        <w:t>反映行政单位（包括参照公务员管理的事业单位）的基本支出。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一般行政管理事务（项）：</w:t>
      </w:r>
      <w:r>
        <w:rPr>
          <w:rFonts w:eastAsia="方正仿宋_GBK"/>
          <w:sz w:val="32"/>
          <w:szCs w:val="32"/>
        </w:rPr>
        <w:t>反映行政单位（包括参照公务员管理的事业单位）未单独设置项级科目的其他项目支出。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机关服务（项）：</w:t>
      </w:r>
      <w:r>
        <w:rPr>
          <w:rFonts w:eastAsia="方正仿宋_GBK"/>
          <w:sz w:val="32"/>
          <w:szCs w:val="32"/>
        </w:rPr>
        <w:t>反映海关系统为行政单位（包括参照公务员管理的事业单位）提供后勤服务的各类后勤服务中心等附属事业单位的支出。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缉私办案（项）：</w:t>
      </w:r>
      <w:r>
        <w:rPr>
          <w:rFonts w:eastAsia="方正仿宋_GBK"/>
          <w:sz w:val="32"/>
          <w:szCs w:val="32"/>
        </w:rPr>
        <w:t>反映海关用于缉私办案方面的支出。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口岸管理（项）：</w:t>
      </w:r>
      <w:r>
        <w:rPr>
          <w:rFonts w:eastAsia="方正仿宋_GBK"/>
          <w:sz w:val="32"/>
          <w:szCs w:val="32"/>
        </w:rPr>
        <w:t>反映口岸业务管理及电子口岸建设、运行维护方面的支出。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信息化建设（项）：</w:t>
      </w:r>
      <w:r>
        <w:rPr>
          <w:rFonts w:eastAsia="方正仿宋_GBK"/>
          <w:sz w:val="32"/>
          <w:szCs w:val="32"/>
        </w:rPr>
        <w:t>反映海关系统用于信息化建设及运行维护方面的支出。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海关关务（项）：</w:t>
      </w:r>
      <w:r>
        <w:rPr>
          <w:rFonts w:eastAsia="方正仿宋_GBK"/>
          <w:sz w:val="32"/>
          <w:szCs w:val="32"/>
        </w:rPr>
        <w:t>反映海关行政执法提供业务保障、支持能力以及基础设施建设、设备设施运维等方面的支出。</w:t>
      </w:r>
    </w:p>
    <w:p>
      <w:pPr>
        <w:pStyle w:val="1200"/>
        <w:autoSpaceDN w:val="0"/>
        <w:spacing w:line="560" w:lineRule="exact"/>
        <w:ind w:firstLineChars="150" w:firstLine="480"/>
        <w:rPr>
          <w:rFonts w:eastAsia="方正仿宋_GBK"/>
          <w:sz w:val="32"/>
          <w:szCs w:val="32"/>
        </w:rPr>
      </w:pPr>
      <w:r>
        <w:rPr>
          <w:rFonts w:eastAsia="方正仿宋_GBK"/>
          <w:b/>
          <w:bCs/>
          <w:sz w:val="32"/>
          <w:szCs w:val="32"/>
        </w:rPr>
        <w:t>关税征管（项）：</w:t>
      </w:r>
      <w:r>
        <w:rPr>
          <w:rFonts w:eastAsia="方正仿宋_GBK"/>
          <w:sz w:val="32"/>
          <w:szCs w:val="32"/>
        </w:rPr>
        <w:t>反映海关用于关税及其他税费征管方面的支出。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海关监管（项）：</w:t>
      </w:r>
      <w:r>
        <w:rPr>
          <w:rFonts w:eastAsia="方正仿宋_GBK"/>
          <w:sz w:val="32"/>
          <w:szCs w:val="32"/>
        </w:rPr>
        <w:t>反映海关用于监管执法、业务管理及相关技术支持方面的支出。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检验检疫（项）：</w:t>
      </w:r>
      <w:r>
        <w:rPr>
          <w:rFonts w:eastAsia="方正仿宋_GBK"/>
          <w:sz w:val="32"/>
          <w:szCs w:val="32"/>
        </w:rPr>
        <w:t>反映海关用于出入境检验检疫行政执法、业务管理及相关技术支持方面的支出。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事业运行（项）：</w:t>
      </w:r>
      <w:r>
        <w:rPr>
          <w:rFonts w:eastAsia="方正仿宋_GBK"/>
          <w:sz w:val="32"/>
          <w:szCs w:val="32"/>
        </w:rPr>
        <w:t>反映海关事业单位的基本支出，不包括行政单位（包括参照公务员管理的事业单位）后勤服务中心等附属事业单位。</w:t>
      </w:r>
    </w:p>
    <w:p>
      <w:pPr>
        <w:pStyle w:val="1200"/>
        <w:autoSpaceDN w:val="0"/>
        <w:spacing w:line="560" w:lineRule="exact"/>
        <w:ind w:firstLineChars="200" w:firstLine="640"/>
        <w:rPr>
          <w:rFonts w:eastAsia="方正仿宋_GBK"/>
          <w:sz w:val="32"/>
          <w:szCs w:val="32"/>
        </w:rPr>
      </w:pPr>
      <w:r>
        <w:rPr>
          <w:rFonts w:eastAsia="方正仿宋_GBK"/>
          <w:b/>
          <w:bCs/>
          <w:sz w:val="32"/>
          <w:szCs w:val="32"/>
        </w:rPr>
        <w:t>其他海关事务支出（项）：</w:t>
      </w:r>
      <w:r>
        <w:rPr>
          <w:rFonts w:eastAsia="方正仿宋_GBK"/>
          <w:sz w:val="32"/>
          <w:szCs w:val="32"/>
        </w:rPr>
        <w:t>反映除上述项目以外其他海关事务方面的支出。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八、一般公共服务（类）纪检监察事务（款）派驻派出机构（项）：</w:t>
      </w:r>
      <w:r>
        <w:rPr>
          <w:rFonts w:eastAsia="方正仿宋_GBK"/>
          <w:sz w:val="32"/>
          <w:szCs w:val="32"/>
        </w:rPr>
        <w:t>反映由纪检监察部门负担的派驻各部门和单位的纪检监察人员的专项业务支出。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九、外交支出（类）对外援助（款）对外援助（项）：</w:t>
      </w:r>
      <w:r>
        <w:rPr>
          <w:rFonts w:eastAsia="方正仿宋_GBK"/>
          <w:sz w:val="32"/>
          <w:szCs w:val="32"/>
        </w:rPr>
        <w:t>反映海关对外国政府（地区）提供的各种援助和技术合作支出。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十、外交支出（类）国际组织（款）国际组织会费（项）：</w:t>
      </w:r>
      <w:r>
        <w:rPr>
          <w:rFonts w:eastAsia="方正仿宋_GBK"/>
          <w:sz w:val="32"/>
          <w:szCs w:val="32"/>
        </w:rPr>
        <w:t>反映海关经批准参加国际组织，按国际组织规定缴纳的会费。</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十一、外交支出（类）国际组织（款）国际组织捐赠（项）：</w:t>
      </w:r>
      <w:r>
        <w:rPr>
          <w:rFonts w:eastAsia="方正仿宋_GBK"/>
          <w:sz w:val="32"/>
          <w:szCs w:val="32"/>
        </w:rPr>
        <w:t>反映以我国政府（包括国务院主管部门），向国际组织的认捐、救灾、馈赠等支出。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十二、外交支出（类）其他外交支出（款）其他外交支出（项）：</w:t>
      </w:r>
      <w:r>
        <w:rPr>
          <w:rFonts w:eastAsia="方正仿宋_GBK"/>
          <w:sz w:val="32"/>
          <w:szCs w:val="32"/>
        </w:rPr>
        <w:t>反映除上述项目以外其他用于外交方面的支出。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十三、公共安全支出（类）缉私警察（款）：</w:t>
      </w:r>
      <w:r>
        <w:rPr>
          <w:rFonts w:eastAsia="方正仿宋_GBK"/>
          <w:sz w:val="32"/>
          <w:szCs w:val="32"/>
        </w:rPr>
        <w:t>反映海关缉私警察的支出。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行政运行（项）：</w:t>
      </w:r>
      <w:r>
        <w:rPr>
          <w:rFonts w:eastAsia="方正仿宋_GBK"/>
          <w:sz w:val="32"/>
          <w:szCs w:val="32"/>
        </w:rPr>
        <w:t>反映行政单位（包括参照公务员管理的事业单位）的基本支出。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一般行政管理事务（项）：</w:t>
      </w:r>
      <w:r>
        <w:rPr>
          <w:rFonts w:eastAsia="方正仿宋_GBK"/>
          <w:sz w:val="32"/>
          <w:szCs w:val="32"/>
        </w:rPr>
        <w:t>反映行政单位（包括参照公务员管理的事业单位）未单独设置项级科目的其他项目支出。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信息化建设（项）：</w:t>
      </w:r>
      <w:r>
        <w:rPr>
          <w:rFonts w:eastAsia="方正仿宋_GBK"/>
          <w:sz w:val="32"/>
          <w:szCs w:val="32"/>
        </w:rPr>
        <w:t>反映缉私警察于信息化建设和运行维护方面的支出。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缉私业务（项）：</w:t>
      </w:r>
      <w:r>
        <w:rPr>
          <w:rFonts w:eastAsia="方正仿宋_GBK"/>
          <w:sz w:val="32"/>
          <w:szCs w:val="32"/>
        </w:rPr>
        <w:t>反映缉私警察开展执法工作，打击走私犯罪活动的支出。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其他缉私警察支出（项）：</w:t>
      </w:r>
      <w:r>
        <w:rPr>
          <w:rFonts w:eastAsia="方正仿宋_GBK"/>
          <w:sz w:val="32"/>
          <w:szCs w:val="32"/>
        </w:rPr>
        <w:t>反映除上述项目以外其他缉私警察方面的支出。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十四、教育支出（类）普通教育（款）高等教育（项）：</w:t>
      </w:r>
      <w:r>
        <w:rPr>
          <w:rFonts w:eastAsia="方正仿宋_GBK"/>
          <w:sz w:val="32"/>
          <w:szCs w:val="32"/>
        </w:rPr>
        <w:t>反映各部门举办的普通本科（包括研究生）教育支出。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十五、社会保障和就业支出（类）人力资源和社会保障管理事务（款）政府特殊津贴（项）：</w:t>
      </w:r>
      <w:r>
        <w:rPr>
          <w:rFonts w:eastAsia="方正仿宋_GBK"/>
          <w:sz w:val="32"/>
          <w:szCs w:val="32"/>
        </w:rPr>
        <w:t>反映海关与政府特殊津贴相关的支出。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十六、社会保障和就业支出（类）行政事业单位养老支出（款）：</w:t>
      </w:r>
      <w:r>
        <w:rPr>
          <w:rFonts w:eastAsia="方正仿宋_GBK"/>
          <w:sz w:val="32"/>
          <w:szCs w:val="32"/>
        </w:rPr>
        <w:t>反映用于海关行政事业单位离退休方面的支出。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行政单位离退休（项）：</w:t>
      </w:r>
      <w:r>
        <w:rPr>
          <w:rFonts w:eastAsia="方正仿宋_GBK"/>
          <w:sz w:val="32"/>
          <w:szCs w:val="32"/>
        </w:rPr>
        <w:t>反映海关系统行政单位（包括参照公务员管理的事业单位）开支的离退休支出。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事业单位离退休（项）：</w:t>
      </w:r>
      <w:r>
        <w:rPr>
          <w:rFonts w:eastAsia="方正仿宋_GBK"/>
          <w:sz w:val="32"/>
          <w:szCs w:val="32"/>
        </w:rPr>
        <w:t>反映海关系统事业单位开支的离退休经费。</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离退休人员管理机构（项）：</w:t>
      </w:r>
      <w:r>
        <w:rPr>
          <w:rFonts w:eastAsia="方正仿宋_GBK"/>
          <w:sz w:val="32"/>
          <w:szCs w:val="32"/>
        </w:rPr>
        <w:t>反映海关系统为离退休人员提供管理服务的离退休管理机构的支出</w:t>
      </w:r>
      <w:r>
        <w:rPr>
          <w:rFonts w:eastAsia="方正仿宋_GBK"/>
          <w:b/>
          <w:bCs/>
          <w:sz w:val="32"/>
          <w:szCs w:val="32"/>
        </w:rPr>
        <w:t>。</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机关事业单位基本养老保险缴费支出（项）：</w:t>
      </w:r>
      <w:r>
        <w:rPr>
          <w:rFonts w:eastAsia="方正仿宋_GBK"/>
          <w:sz w:val="32"/>
          <w:szCs w:val="32"/>
        </w:rPr>
        <w:t>反映机关事业单位实施养老保险制度由单位缴纳的基本养老保险费支出。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机关事业单位职业年金缴费支出（项）：</w:t>
      </w:r>
      <w:r>
        <w:rPr>
          <w:rFonts w:eastAsia="方正仿宋_GBK"/>
          <w:sz w:val="32"/>
          <w:szCs w:val="32"/>
        </w:rPr>
        <w:t>反映机关事业单位实施养老保险制度由单位实际缴纳的职业年金支出。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十七、卫生健康支出（类）行政事业单位医疗（款）：</w:t>
      </w:r>
      <w:r>
        <w:rPr>
          <w:rFonts w:eastAsia="方正仿宋_GBK"/>
          <w:sz w:val="32"/>
          <w:szCs w:val="32"/>
        </w:rPr>
        <w:t>反映行政事业单位医疗方面的支出。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行政单位医疗（项）：</w:t>
      </w:r>
      <w:r>
        <w:rPr>
          <w:rFonts w:eastAsia="方正仿宋_GBK"/>
          <w:sz w:val="32"/>
          <w:szCs w:val="32"/>
        </w:rPr>
        <w:t>反映财政部门安排的行政单位（包括参照公务员管理的事业单位）基本医疗保险缴费经费，未参加医疗保险的行政单位的公费医疗经费，按国家规定享受离休人员、红军老战士待遇人员的医疗经费。</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事业单位医疗（项）：</w:t>
      </w:r>
      <w:r>
        <w:rPr>
          <w:rFonts w:eastAsia="方正仿宋_GBK"/>
          <w:sz w:val="32"/>
          <w:szCs w:val="32"/>
        </w:rPr>
        <w:t>反映财政部门安排的事业单位基本医疗保险缴费经费，未参加医疗保险的事业单位的公费医疗经费，按国家规定享受离休人员待遇的医疗经费。</w:t>
      </w:r>
    </w:p>
    <w:p>
      <w:pPr>
        <w:pStyle w:val="1200"/>
        <w:autoSpaceDN w:val="0"/>
        <w:spacing w:line="560" w:lineRule="exact"/>
        <w:ind w:firstLineChars="200" w:firstLine="640"/>
        <w:rPr>
          <w:rFonts w:eastAsia="方正仿宋_GBK"/>
          <w:sz w:val="32"/>
          <w:szCs w:val="32"/>
        </w:rPr>
      </w:pPr>
      <w:r>
        <w:rPr>
          <w:rFonts w:eastAsia="方正仿宋_GBK"/>
          <w:b/>
          <w:bCs/>
          <w:sz w:val="32"/>
          <w:szCs w:val="32"/>
        </w:rPr>
        <w:t>公务员医疗补助（项）：</w:t>
      </w:r>
      <w:r>
        <w:rPr>
          <w:rFonts w:eastAsia="方正仿宋_GBK"/>
          <w:sz w:val="32"/>
          <w:szCs w:val="32"/>
        </w:rPr>
        <w:t>反映财政部门安排的公务员医疗补助经费。</w:t>
      </w:r>
    </w:p>
    <w:p>
      <w:pPr>
        <w:pStyle w:val="1200"/>
        <w:autoSpaceDN w:val="0"/>
        <w:spacing w:line="560" w:lineRule="exact"/>
        <w:ind w:firstLineChars="200" w:firstLine="640"/>
        <w:rPr>
          <w:rFonts w:eastAsia="方正仿宋_GBK"/>
          <w:sz w:val="32"/>
          <w:szCs w:val="32"/>
        </w:rPr>
      </w:pPr>
      <w:r>
        <w:rPr>
          <w:rFonts w:eastAsia="方正仿宋_GBK"/>
          <w:b/>
          <w:bCs/>
          <w:sz w:val="32"/>
          <w:szCs w:val="32"/>
        </w:rPr>
        <w:t>十八、住房保障支出（类）住房改革支出（款）：</w:t>
      </w:r>
      <w:r>
        <w:rPr>
          <w:rFonts w:eastAsia="方正仿宋_GBK"/>
          <w:sz w:val="32"/>
          <w:szCs w:val="32"/>
        </w:rPr>
        <w:t>反映行政事业单位用财政拨款资金和其他资金等安排的住房改革支出。住房改革支出。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住房公积金（项）：</w:t>
      </w:r>
      <w:r>
        <w:rPr>
          <w:rFonts w:eastAsia="方正仿宋_GBK"/>
          <w:sz w:val="32"/>
          <w:szCs w:val="32"/>
        </w:rPr>
        <w:t>反映行政事业单位按人力资源和社会保障部、财政部规定的基本工资和津贴补贴以及规定比例为职工缴纳的住房公积金。</w:t>
      </w:r>
    </w:p>
    <w:p>
      <w:pPr>
        <w:pStyle w:val="1200"/>
        <w:autoSpaceDN w:val="0"/>
        <w:spacing w:line="560" w:lineRule="exact"/>
        <w:ind w:firstLineChars="200" w:firstLine="640"/>
        <w:rPr>
          <w:rFonts w:eastAsia="方正仿宋_GBK"/>
          <w:sz w:val="32"/>
          <w:szCs w:val="32"/>
        </w:rPr>
      </w:pPr>
      <w:r>
        <w:rPr>
          <w:rFonts w:eastAsia="方正仿宋_GBK"/>
          <w:b/>
          <w:bCs/>
          <w:sz w:val="32"/>
          <w:szCs w:val="32"/>
        </w:rPr>
        <w:t>提租补贴（项）：</w:t>
      </w:r>
      <w:r>
        <w:rPr>
          <w:rFonts w:eastAsia="方正仿宋_GBK"/>
          <w:sz w:val="32"/>
          <w:szCs w:val="32"/>
        </w:rPr>
        <w:t>反映按房改政策规定的标准，行政事业单位向职工（含离退休人员）发放的租金补贴。</w:t>
      </w:r>
    </w:p>
    <w:p>
      <w:pPr>
        <w:pStyle w:val="1200"/>
        <w:autoSpaceDN w:val="0"/>
        <w:spacing w:line="560" w:lineRule="exact"/>
        <w:ind w:leftChars="76" w:left="160" w:firstLineChars="150" w:firstLine="480"/>
        <w:rPr>
          <w:rFonts w:eastAsia="方正仿宋_GBK"/>
          <w:sz w:val="32"/>
          <w:szCs w:val="32"/>
        </w:rPr>
      </w:pPr>
      <w:r>
        <w:rPr>
          <w:rFonts w:eastAsia="方正仿宋_GBK"/>
          <w:b/>
          <w:bCs/>
          <w:sz w:val="32"/>
          <w:szCs w:val="32"/>
        </w:rPr>
        <w:t>购房补贴（项）：</w:t>
      </w:r>
      <w:r>
        <w:rPr>
          <w:rFonts w:eastAsia="方正仿宋_GBK"/>
          <w:sz w:val="32"/>
          <w:szCs w:val="32"/>
        </w:rPr>
        <w:t>反映按房改政策规定，行政事业单位向符合条件的职工（含离退休人员）发放的用于购买住房的补贴。</w:t>
      </w:r>
      <w:r>
        <w:rPr>
          <w:rFonts w:eastAsia="方正仿宋_GBK"/>
          <w:b/>
          <w:bCs/>
          <w:sz w:val="32"/>
          <w:szCs w:val="32"/>
        </w:rPr>
        <w:t>十九、结余分配：</w:t>
      </w:r>
      <w:r>
        <w:rPr>
          <w:rFonts w:eastAsia="方正仿宋_GBK"/>
          <w:sz w:val="32"/>
          <w:szCs w:val="32"/>
        </w:rPr>
        <w:t>指事业单位按照政府会计制度的规定缴纳的所得税、提取的专用结余以及转入非财政拨款结余的金额等。</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二十、年末结转和结余：</w:t>
      </w:r>
      <w:r>
        <w:rPr>
          <w:rFonts w:eastAsia="方正仿宋_GBK"/>
          <w:sz w:val="32"/>
          <w:szCs w:val="32"/>
        </w:rPr>
        <w:t>指单位按有关规定结转到下年或以后年度继续使用的资金，或项目已完成等产生的结余资金。</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二十一、基本支出：</w:t>
      </w:r>
      <w:r>
        <w:rPr>
          <w:rFonts w:eastAsia="方正仿宋_GBK"/>
          <w:sz w:val="32"/>
          <w:szCs w:val="32"/>
        </w:rPr>
        <w:t>指为保障机构正常运转、完成日常工作任务而发生的人员支出和公用支出。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二十二、项目支出：</w:t>
      </w:r>
      <w:r>
        <w:rPr>
          <w:rFonts w:eastAsia="方正仿宋_GBK"/>
          <w:sz w:val="32"/>
          <w:szCs w:val="32"/>
        </w:rPr>
        <w:t>指在基本支出之外为完成特定行政任务或事业发展目标所发生的支出。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二十三、经营支出：</w:t>
      </w:r>
      <w:r>
        <w:rPr>
          <w:rFonts w:eastAsia="方正仿宋_GBK"/>
          <w:sz w:val="32"/>
          <w:szCs w:val="32"/>
        </w:rPr>
        <w:t>指事业单位在专业业务活动及其辅助活动之外开展非独立核算经营活动发生的支出。</w:t>
      </w:r>
    </w:p>
    <w:p>
      <w:pPr>
        <w:pStyle w:val="1200"/>
        <w:autoSpaceDN w:val="0"/>
        <w:spacing w:line="560" w:lineRule="exact"/>
        <w:ind w:firstLineChars="200" w:firstLine="640"/>
        <w:rPr>
          <w:rFonts w:eastAsia="方正仿宋_GBK"/>
          <w:sz w:val="32"/>
          <w:szCs w:val="32"/>
        </w:rPr>
      </w:pPr>
      <w:r>
        <w:rPr>
          <w:rFonts w:eastAsia="方正仿宋_GBK"/>
          <w:b/>
          <w:bCs/>
          <w:sz w:val="32"/>
          <w:szCs w:val="32"/>
        </w:rPr>
        <w:t>二十四、“三公经费”：</w:t>
      </w:r>
      <w:r>
        <w:rPr>
          <w:rFonts w:eastAsia="方正仿宋_GBK"/>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pStyle w:val="1200"/>
        <w:autoSpaceDN w:val="0"/>
        <w:spacing w:line="560" w:lineRule="exact"/>
        <w:ind w:firstLineChars="200" w:firstLine="640"/>
        <w:rPr>
          <w:rFonts w:eastAsia="方正仿宋_GBK"/>
          <w:b/>
          <w:bCs/>
          <w:sz w:val="32"/>
          <w:szCs w:val="32"/>
        </w:rPr>
      </w:pPr>
      <w:r>
        <w:rPr>
          <w:rFonts w:eastAsia="方正仿宋_GBK"/>
          <w:b/>
          <w:bCs/>
          <w:sz w:val="32"/>
          <w:szCs w:val="32"/>
        </w:rPr>
        <w:t>二十五、机关运行经费：</w:t>
      </w:r>
      <w:r>
        <w:rPr>
          <w:rFonts w:eastAsia="方正仿宋_GBK"/>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200"/>
        <w:autoSpaceDN w:val="0"/>
        <w:spacing w:line="560" w:lineRule="exact"/>
        <w:ind w:firstLineChars="200" w:firstLine="640"/>
        <w:rPr>
          <w:rFonts w:eastAsia="方正仿宋_GBK"/>
          <w:b/>
          <w:bCs/>
          <w:sz w:val="32"/>
          <w:szCs w:val="32"/>
        </w:rPr>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pStyle w:val="1"/>
        <w:ind w:firstLineChars="150" w:firstLine="1260"/>
        <w:rPr>
          <w:rFonts w:eastAsia="方正黑体_GBK"/>
          <w:b w:val="0"/>
          <w:bCs w:val="0"/>
          <w:kern w:val="0"/>
          <w:sz w:val="84"/>
          <w:szCs w:val="84"/>
        </w:rPr>
      </w:pPr>
    </w:p>
    <w:p>
      <w:pPr>
        <w:pStyle w:val="1"/>
        <w:ind w:firstLineChars="150" w:firstLine="1260"/>
        <w:rPr>
          <w:rFonts w:eastAsia="方正黑体_GBK"/>
          <w:b w:val="0"/>
          <w:bCs w:val="0"/>
          <w:kern w:val="0"/>
          <w:sz w:val="84"/>
          <w:szCs w:val="84"/>
        </w:rPr>
      </w:pPr>
    </w:p>
    <w:p>
      <w:pPr>
        <w:pStyle w:val="1"/>
        <w:ind w:firstLineChars="150" w:firstLine="1260"/>
        <w:rPr>
          <w:rFonts w:eastAsia="方正黑体_GBK"/>
          <w:b w:val="0"/>
          <w:bCs w:val="0"/>
          <w:kern w:val="0"/>
          <w:sz w:val="84"/>
          <w:szCs w:val="84"/>
        </w:rPr>
      </w:pPr>
    </w:p>
    <w:p>
      <w:pPr>
        <w:pStyle w:val="1"/>
        <w:ind w:firstLineChars="150" w:firstLine="1260"/>
        <w:rPr>
          <w:rFonts w:eastAsia="方正黑体_GBK"/>
          <w:b w:val="0"/>
          <w:bCs w:val="0"/>
          <w:kern w:val="0"/>
          <w:sz w:val="84"/>
          <w:szCs w:val="84"/>
        </w:rPr>
      </w:pPr>
      <w:bookmarkStart w:id="45" w:name="_Toc44862976"/>
      <w:r>
        <w:rPr>
          <w:rFonts w:eastAsia="方正黑体_GBK"/>
          <w:b w:val="0"/>
          <w:bCs w:val="0"/>
          <w:kern w:val="0"/>
          <w:sz w:val="84"/>
          <w:szCs w:val="84"/>
        </w:rPr>
        <w:t>第五部分    附件</w:t>
      </w:r>
      <w:bookmarkEnd w:id="45"/>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r>
        <w:t xml:space="preserve">  </w:t>
      </w: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rPr>
          <w:sz w:val="18"/>
        </w:rPr>
      </w:pPr>
    </w:p>
    <w:p>
      <w:pPr>
        <w:rPr>
          <w:sz w:val="18"/>
        </w:rPr>
      </w:pPr>
    </w:p>
    <w:p>
      <w:pPr>
        <w:rPr>
          <w:sz w:val="18"/>
        </w:rPr>
      </w:pPr>
      <w:r>
        <w:rPr>
          <w:sz w:val="18"/>
        </w:rPr>
        <w:drawing>
          <wp:anchor distT="0" distB="0" distL="57149" distR="57149" simplePos="0" relativeHeight="30" behindDoc="0" locked="0" layoutInCell="1" hidden="0" allowOverlap="1">
            <wp:simplePos x="0" y="0"/>
            <wp:positionH relativeFrom="column">
              <wp:posOffset>0</wp:posOffset>
            </wp:positionH>
            <wp:positionV relativeFrom="paragraph">
              <wp:posOffset>39602</wp:posOffset>
            </wp:positionV>
            <wp:extent cx="5544185" cy="7697801"/>
            <wp:effectExtent l="0" t="0" r="0" b="0"/>
            <wp:wrapNone/>
            <wp:docPr id="16" name="图片"/>
            <wp:cNvGraphicFramePr>
              <a:graphicFrameLocks noChangeAspect="1"/>
            </wp:cNvGraphicFramePr>
            <a:graphic>
              <a:graphicData uri="http://schemas.openxmlformats.org/drawingml/2006/picture">
                <pic:pic>
                  <pic:nvPicPr>
                    <pic:cNvPr id="18" name="图片 18"/>
                    <pic:cNvPicPr/>
                  </pic:nvPicPr>
                  <pic:blipFill>
                    <a:blip r:embed="rId11"/>
                    <a:stretch>
                      <a:fillRect/>
                    </a:stretch>
                  </pic:blipFill>
                  <pic:spPr>
                    <a:xfrm rot="0">
                      <a:off x="0" y="0"/>
                      <a:ext cx="5544185" cy="7697801"/>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inline distT="0" distB="0" distL="57149" distR="57149">
            <wp:extent cx="5544185" cy="7261800"/>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12"/>
                    <a:stretch>
                      <a:fillRect/>
                    </a:stretch>
                  </pic:blipFill>
                  <pic:spPr>
                    <a:xfrm rot="0">
                      <a:off x="0" y="0"/>
                      <a:ext cx="5544185" cy="7261800"/>
                    </a:xfrm>
                    <a:prstGeom prst="rect"/>
                    <a:noFill/>
                    <a:ln w="9525" cmpd="sng" cap="flat">
                      <a:noFill/>
                      <a:prstDash val="solid"/>
                      <a:miter/>
                    </a:ln>
                  </pic:spPr>
                </pic:pic>
              </a:graphicData>
            </a:graphic>
          </wp:inline>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1" behindDoc="0" locked="0" layoutInCell="1" hidden="0" allowOverlap="1">
            <wp:simplePos x="0" y="0"/>
            <wp:positionH relativeFrom="column">
              <wp:posOffset>82548</wp:posOffset>
            </wp:positionH>
            <wp:positionV relativeFrom="paragraph">
              <wp:posOffset>11399</wp:posOffset>
            </wp:positionV>
            <wp:extent cx="5544185" cy="7020927"/>
            <wp:effectExtent l="0" t="0" r="0" b="0"/>
            <wp:wrapNone/>
            <wp:docPr id="22" name="图片"/>
            <wp:cNvGraphicFramePr>
              <a:graphicFrameLocks noChangeAspect="1"/>
            </wp:cNvGraphicFramePr>
            <a:graphic>
              <a:graphicData uri="http://schemas.openxmlformats.org/drawingml/2006/picture">
                <pic:pic>
                  <pic:nvPicPr>
                    <pic:cNvPr id="24" name="图片 24"/>
                    <pic:cNvPicPr/>
                  </pic:nvPicPr>
                  <pic:blipFill>
                    <a:blip r:embed="rId13"/>
                    <a:stretch>
                      <a:fillRect/>
                    </a:stretch>
                  </pic:blipFill>
                  <pic:spPr>
                    <a:xfrm rot="0">
                      <a:off x="0" y="0"/>
                      <a:ext cx="5544185" cy="7020927"/>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2" behindDoc="0" locked="0" layoutInCell="1" hidden="0" allowOverlap="1">
            <wp:simplePos x="0" y="0"/>
            <wp:positionH relativeFrom="column">
              <wp:posOffset>0</wp:posOffset>
            </wp:positionH>
            <wp:positionV relativeFrom="paragraph">
              <wp:posOffset>50349</wp:posOffset>
            </wp:positionV>
            <wp:extent cx="5544185" cy="7234235"/>
            <wp:effectExtent l="0" t="0" r="0" b="0"/>
            <wp:wrapNone/>
            <wp:docPr id="25" name="图片"/>
            <wp:cNvGraphicFramePr>
              <a:graphicFrameLocks noChangeAspect="1"/>
            </wp:cNvGraphicFramePr>
            <a:graphic>
              <a:graphicData uri="http://schemas.openxmlformats.org/drawingml/2006/picture">
                <pic:pic>
                  <pic:nvPicPr>
                    <pic:cNvPr id="27" name="图片 27"/>
                    <pic:cNvPicPr/>
                  </pic:nvPicPr>
                  <pic:blipFill>
                    <a:blip r:embed="rId14"/>
                    <a:stretch>
                      <a:fillRect/>
                    </a:stretch>
                  </pic:blipFill>
                  <pic:spPr>
                    <a:xfrm rot="0">
                      <a:off x="0" y="0"/>
                      <a:ext cx="5544185" cy="7234235"/>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3" behindDoc="0" locked="0" layoutInCell="1" hidden="0" allowOverlap="1">
            <wp:simplePos x="0" y="0"/>
            <wp:positionH relativeFrom="column">
              <wp:posOffset>0</wp:posOffset>
            </wp:positionH>
            <wp:positionV relativeFrom="paragraph">
              <wp:posOffset>49594</wp:posOffset>
            </wp:positionV>
            <wp:extent cx="5544185" cy="7183166"/>
            <wp:effectExtent l="0" t="0" r="0" b="0"/>
            <wp:wrapNone/>
            <wp:docPr id="28" name="图片"/>
            <wp:cNvGraphicFramePr>
              <a:graphicFrameLocks noChangeAspect="1"/>
            </wp:cNvGraphicFramePr>
            <a:graphic>
              <a:graphicData uri="http://schemas.openxmlformats.org/drawingml/2006/picture">
                <pic:pic>
                  <pic:nvPicPr>
                    <pic:cNvPr id="30" name="图片 30"/>
                    <pic:cNvPicPr/>
                  </pic:nvPicPr>
                  <pic:blipFill>
                    <a:blip r:embed="rId15"/>
                    <a:stretch>
                      <a:fillRect/>
                    </a:stretch>
                  </pic:blipFill>
                  <pic:spPr>
                    <a:xfrm rot="0">
                      <a:off x="0" y="0"/>
                      <a:ext cx="5544185" cy="7183166"/>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4" behindDoc="0" locked="0" layoutInCell="1" hidden="0" allowOverlap="1">
            <wp:simplePos x="0" y="0"/>
            <wp:positionH relativeFrom="column">
              <wp:posOffset>0</wp:posOffset>
            </wp:positionH>
            <wp:positionV relativeFrom="paragraph">
              <wp:posOffset>18925</wp:posOffset>
            </wp:positionV>
            <wp:extent cx="5544185" cy="7685455"/>
            <wp:effectExtent l="0" t="0" r="0" b="0"/>
            <wp:wrapNone/>
            <wp:docPr id="31" name="图片"/>
            <wp:cNvGraphicFramePr>
              <a:graphicFrameLocks noChangeAspect="1"/>
            </wp:cNvGraphicFramePr>
            <a:graphic>
              <a:graphicData uri="http://schemas.openxmlformats.org/drawingml/2006/picture">
                <pic:pic>
                  <pic:nvPicPr>
                    <pic:cNvPr id="33" name="图片 33"/>
                    <pic:cNvPicPr/>
                  </pic:nvPicPr>
                  <pic:blipFill>
                    <a:blip r:embed="rId16"/>
                    <a:stretch>
                      <a:fillRect/>
                    </a:stretch>
                  </pic:blipFill>
                  <pic:spPr>
                    <a:xfrm rot="0">
                      <a:off x="0" y="0"/>
                      <a:ext cx="5544185" cy="7685455"/>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5" behindDoc="0" locked="0" layoutInCell="1" hidden="0" allowOverlap="1">
            <wp:simplePos x="0" y="0"/>
            <wp:positionH relativeFrom="column">
              <wp:posOffset>0</wp:posOffset>
            </wp:positionH>
            <wp:positionV relativeFrom="paragraph">
              <wp:posOffset>37788</wp:posOffset>
            </wp:positionV>
            <wp:extent cx="5544185" cy="7601357"/>
            <wp:effectExtent l="0" t="0" r="0" b="0"/>
            <wp:wrapNone/>
            <wp:docPr id="34" name="图片"/>
            <wp:cNvGraphicFramePr>
              <a:graphicFrameLocks noChangeAspect="1"/>
            </wp:cNvGraphicFramePr>
            <a:graphic>
              <a:graphicData uri="http://schemas.openxmlformats.org/drawingml/2006/picture">
                <pic:pic>
                  <pic:nvPicPr>
                    <pic:cNvPr id="36" name="图片 36"/>
                    <pic:cNvPicPr/>
                  </pic:nvPicPr>
                  <pic:blipFill>
                    <a:blip r:embed="rId17"/>
                    <a:stretch>
                      <a:fillRect/>
                    </a:stretch>
                  </pic:blipFill>
                  <pic:spPr>
                    <a:xfrm rot="0">
                      <a:off x="0" y="0"/>
                      <a:ext cx="5544185" cy="7601357"/>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6" behindDoc="0" locked="0" layoutInCell="1" hidden="0" allowOverlap="1">
            <wp:simplePos x="0" y="0"/>
            <wp:positionH relativeFrom="column">
              <wp:posOffset>0</wp:posOffset>
            </wp:positionH>
            <wp:positionV relativeFrom="paragraph">
              <wp:posOffset>40635</wp:posOffset>
            </wp:positionV>
            <wp:extent cx="5544185" cy="7542972"/>
            <wp:effectExtent l="0" t="0" r="0" b="0"/>
            <wp:wrapNone/>
            <wp:docPr id="37" name="图片"/>
            <wp:cNvGraphicFramePr>
              <a:graphicFrameLocks noChangeAspect="1"/>
            </wp:cNvGraphicFramePr>
            <a:graphic>
              <a:graphicData uri="http://schemas.openxmlformats.org/drawingml/2006/picture">
                <pic:pic>
                  <pic:nvPicPr>
                    <pic:cNvPr id="39" name="图片 39"/>
                    <pic:cNvPicPr/>
                  </pic:nvPicPr>
                  <pic:blipFill>
                    <a:blip r:embed="rId18"/>
                    <a:stretch>
                      <a:fillRect/>
                    </a:stretch>
                  </pic:blipFill>
                  <pic:spPr>
                    <a:xfrm rot="0">
                      <a:off x="0" y="0"/>
                      <a:ext cx="5544185" cy="7542972"/>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7" behindDoc="0" locked="0" layoutInCell="1" hidden="0" allowOverlap="1">
            <wp:simplePos x="0" y="0"/>
            <wp:positionH relativeFrom="column">
              <wp:posOffset>0</wp:posOffset>
            </wp:positionH>
            <wp:positionV relativeFrom="paragraph">
              <wp:posOffset>45778</wp:posOffset>
            </wp:positionV>
            <wp:extent cx="5544185" cy="7613576"/>
            <wp:effectExtent l="0" t="0" r="0" b="0"/>
            <wp:wrapNone/>
            <wp:docPr id="40" name="图片"/>
            <wp:cNvGraphicFramePr>
              <a:graphicFrameLocks noChangeAspect="1"/>
            </wp:cNvGraphicFramePr>
            <a:graphic>
              <a:graphicData uri="http://schemas.openxmlformats.org/drawingml/2006/picture">
                <pic:pic>
                  <pic:nvPicPr>
                    <pic:cNvPr id="42" name="图片 42"/>
                    <pic:cNvPicPr/>
                  </pic:nvPicPr>
                  <pic:blipFill>
                    <a:blip r:embed="rId19"/>
                    <a:stretch>
                      <a:fillRect/>
                    </a:stretch>
                  </pic:blipFill>
                  <pic:spPr>
                    <a:xfrm rot="0">
                      <a:off x="0" y="0"/>
                      <a:ext cx="5544185" cy="7613576"/>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r>
        <w:rPr>
          <w:sz w:val="18"/>
        </w:rPr>
        <w:drawing>
          <wp:anchor distT="0" distB="0" distL="57149" distR="57149" simplePos="0" relativeHeight="38" behindDoc="0" locked="0" layoutInCell="1" hidden="0" allowOverlap="1">
            <wp:simplePos x="0" y="0"/>
            <wp:positionH relativeFrom="column">
              <wp:posOffset>0</wp:posOffset>
            </wp:positionH>
            <wp:positionV relativeFrom="paragraph">
              <wp:posOffset>35281</wp:posOffset>
            </wp:positionV>
            <wp:extent cx="5544185" cy="7928275"/>
            <wp:effectExtent l="0" t="0" r="0" b="0"/>
            <wp:wrapNone/>
            <wp:docPr id="43" name="图片"/>
            <wp:cNvGraphicFramePr>
              <a:graphicFrameLocks noChangeAspect="1"/>
            </wp:cNvGraphicFramePr>
            <a:graphic>
              <a:graphicData uri="http://schemas.openxmlformats.org/drawingml/2006/picture">
                <pic:pic>
                  <pic:nvPicPr>
                    <pic:cNvPr id="45" name="图片 45"/>
                    <pic:cNvPicPr/>
                  </pic:nvPicPr>
                  <pic:blipFill>
                    <a:blip r:embed="rId20"/>
                    <a:stretch>
                      <a:fillRect/>
                    </a:stretch>
                  </pic:blipFill>
                  <pic:spPr>
                    <a:xfrm rot="0">
                      <a:off x="0" y="0"/>
                      <a:ext cx="5544185" cy="7928275"/>
                    </a:xfrm>
                    <a:prstGeom prst="rect"/>
                    <a:noFill/>
                    <a:ln w="9525" cmpd="sng" cap="flat">
                      <a:noFill/>
                      <a:prstDash val="solid"/>
                      <a:miter/>
                    </a:ln>
                  </pic:spPr>
                </pic:pic>
              </a:graphicData>
            </a:graphic>
          </wp:anchor>
        </w:drawing>
      </w: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rFonts w:hint="eastAsia"/>
          <w:sz w:val="18"/>
        </w:rPr>
      </w:pPr>
    </w:p>
    <w:sectPr>
      <w:footerReference w:type="default" r:id="rId5"/>
      <w:pgSz w:w="11907" w:h="16840"/>
      <w:pgMar w:top="1270" w:right="1588" w:bottom="1270"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仿宋_GB2312">
    <w:altName w:val="方正仿宋_GBK"/>
    <w:panose1 w:val="02010609030101010101"/>
    <w:charset w:val="86"/>
    <w:family w:val="modern"/>
    <w:pitch w:val="variable"/>
    <w:sig w:usb0="00000001" w:usb1="080E0000" w:usb2="00000010" w:usb3="00000000" w:csb0="00040000" w:csb1="00000000"/>
  </w:font>
  <w:font w:name="仿宋">
    <w:altName w:val="方正仿宋_GBK"/>
    <w:panose1 w:val="02010609060101010101"/>
    <w:charset w:val="86"/>
    <w:family w:val="modern"/>
    <w:pitch w:val="variable"/>
    <w:sig w:usb0="800002BF" w:usb1="38CF7CFA" w:usb2="00000016" w:usb3="00000000" w:csb0="00040001" w:csb1="00000000"/>
  </w:font>
  <w:font w:name="FZFSK--GBK1-0">
    <w:altName w:val="EU-B1"/>
    <w:panose1 w:val="00000000000000000000"/>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Mongolian Baiti">
    <w:altName w:val="DejaVu Sans"/>
    <w:panose1 w:val="03000500000000000000"/>
    <w:charset w:val="00"/>
    <w:family w:val="script"/>
    <w:pitch w:val="variable"/>
    <w:sig w:usb0="80000023" w:usb1="00000000" w:usb2="00020000" w:usb3="00000000" w:csb0="00000001" w:csb1="00000000"/>
  </w:font>
  <w:font w:name="Helv">
    <w:altName w:val="Segoe Script"/>
    <w:panose1 w:val="020B0604020202030204"/>
    <w:charset w:val="00"/>
    <w:family w:val="swiss"/>
    <w:pitch w:val="variable"/>
    <w:sig w:usb0="00000003" w:usb1="00000000" w:usb2="00000000" w:usb3="00000000" w:csb0="0000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Courier New">
    <w:altName w:val="DejaVu Sans"/>
    <w:panose1 w:val="02070309020205020404"/>
    <w:charset w:val="00"/>
    <w:family w:val="modern"/>
    <w:pitch w:val="variable"/>
    <w:sig w:usb0="E0002AFF" w:usb1="C0007843" w:usb2="00000009" w:usb3="00000000" w:csb0="000001FF" w:csb1="00000000"/>
  </w:font>
  <w:font w:name="Symbol">
    <w:altName w:val="DejaVu Sans"/>
    <w:panose1 w:val="05050102010706020507"/>
    <w:charset w:val="02"/>
    <w:family w:val="roman"/>
    <w:pitch w:val="variable"/>
    <w:sig w:usb0="00000000" w:usb1="10000000" w:usb2="00000000" w:usb3="00000000" w:csb0="80000000" w:csb1="00000000"/>
  </w:font>
  <w:font w:name="Helvetica">
    <w:altName w:val="Vijaya"/>
    <w:panose1 w:val="020B0604020202020204"/>
    <w:charset w:val="00"/>
    <w:family w:val="swiss"/>
    <w:pitch w:val="variable"/>
    <w:sig w:usb0="00000003" w:usb1="00000000" w:usb2="00000000" w:usb3="00000000" w:csb0="00000001" w:csb1="00000000"/>
  </w:font>
  <w:font w:name="Courier">
    <w:altName w:val="Courier New"/>
    <w:panose1 w:val="02070409020205020404"/>
    <w:charset w:val="00"/>
    <w:family w:val="modern"/>
    <w:pitch w:val="variable"/>
    <w:sig w:usb0="00000003" w:usb1="00000000" w:usb2="00000000" w:usb3="00000000" w:csb0="00000001" w:csb1="00000000"/>
  </w:font>
  <w:font w:name="Tms Rmn">
    <w:altName w:val="Traditional Arabic"/>
    <w:panose1 w:val="02020603040505020304"/>
    <w:charset w:val="00"/>
    <w:family w:val="roman"/>
    <w:pitch w:val="variable"/>
    <w:sig w:usb0="00000003" w:usb1="00000000" w:usb2="00000000" w:usb3="00000000" w:csb0="00000001" w:csb1="00000000"/>
  </w:font>
  <w:font w:name="等线">
    <w:altName w:val="隶书"/>
    <w:panose1 w:val="00000000000000000000"/>
    <w:charset w:val="86"/>
    <w:family w:val="auto"/>
    <w:pitch w:val="variable"/>
    <w:sig w:usb0="00000000" w:usb1="00000000" w:usb2="00000016" w:usb3="00000000" w:csb0="0004000F" w:csb1="00000000"/>
  </w:font>
  <w:font w:name="System">
    <w:altName w:val="EU-B1"/>
    <w:panose1 w:val="00000000000000000000"/>
    <w:charset w:val="86"/>
    <w:family w:val="auto"/>
    <w:pitch w:val="variable"/>
    <w:sig w:usb0="00000001" w:usb1="080E0000" w:usb2="00000010" w:usb3="00000000" w:csb0="00040000" w:csb1="00000000"/>
  </w:font>
  <w:font w:name="Wingdings">
    <w:altName w:val="DejaVu Sans"/>
    <w:panose1 w:val="05000000000000000000"/>
    <w:charset w:val="02"/>
    <w:family w:val="auto"/>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9"/>
      <w:framePr w:w="0" w:hRule="auto" w:wrap="around" w:vAnchor="text" w:hAnchor="margin" w:xAlign="center" w:y="1" w:anchorLock="0"/>
      <w:tabs>
        <w:tab w:val="center" w:pos="4153"/>
        <w:tab w:val="right" w:pos="8306"/>
      </w:tabs>
    </w:pPr>
    <w:r>
      <w:rPr>
        <w:rStyle w:val="75"/>
      </w:rPr>
      <w:fldChar w:fldCharType="begin"/>
    </w:r>
    <w:r>
      <w:rPr>
        <w:rStyle w:val="75"/>
      </w:rPr>
      <w:instrText>Page</w:instrText>
    </w:r>
    <w:r>
      <w:rPr>
        <w:rStyle w:val="75"/>
      </w:rPr>
      <w:fldChar w:fldCharType="separate"/>
    </w:r>
    <w:r>
      <w:rPr>
        <w:rStyle w:val="75"/>
      </w:rPr>
      <w:t>17</w:t>
    </w:r>
    <w:r>
      <w:rPr>
        <w:rStyle w:val="75"/>
      </w:rPr>
      <w:fldChar w:fldCharType="end"/>
    </w:r>
  </w:p>
  <w:p>
    <w:pPr>
      <w:pStyle w:val="39"/>
      <w:tabs>
        <w:tab w:val="center" w:pos="4153"/>
        <w:tab w:val="right" w:pos="8306"/>
      </w:tabs>
      <w:jc w:val="center"/>
    </w:pPr>
  </w:p>
  <w:p>
    <w:pPr>
      <w:pStyle w:val="39"/>
      <w:tabs>
        <w:tab w:val="center" w:pos="4153"/>
        <w:tab w:val="right" w:pos="8306"/>
      </w:tabs>
      <w:jc w:val="center"/>
    </w:pPr>
  </w:p>
  <w:p>
    <w:pPr>
      <w:pStyle w:val="3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9"/>
      <w:framePr w:w="0" w:hRule="auto" w:wrap="around" w:vAnchor="text" w:hAnchor="margin" w:xAlign="center" w:y="1" w:anchorLock="0"/>
      <w:tabs>
        <w:tab w:val="center" w:pos="4153"/>
        <w:tab w:val="right" w:pos="8306"/>
      </w:tabs>
    </w:pPr>
    <w:r>
      <w:rPr>
        <w:rStyle w:val="75"/>
      </w:rPr>
      <w:fldChar w:fldCharType="begin"/>
    </w:r>
    <w:r>
      <w:rPr>
        <w:rStyle w:val="75"/>
      </w:rPr>
      <w:instrText>Page</w:instrText>
    </w:r>
    <w:r>
      <w:rPr>
        <w:rStyle w:val="75"/>
      </w:rPr>
      <w:fldChar w:fldCharType="separate"/>
    </w:r>
    <w:r>
      <w:rPr>
        <w:rStyle w:val="75"/>
      </w:rPr>
      <w:t>1</w:t>
    </w:r>
    <w:r>
      <w:rPr>
        <w:rStyle w:val="75"/>
      </w:rPr>
      <w:fldChar w:fldCharType="end"/>
    </w:r>
  </w:p>
  <w:p>
    <w:pPr>
      <w:pStyle w:val="39"/>
      <w:framePr w:w="0" w:hRule="auto" w:wrap="around" w:vAnchor="text" w:hAnchor="margin" w:xAlign="center" w:y="1" w:anchorLock="0"/>
      <w:tabs>
        <w:tab w:val="center" w:pos="4153"/>
        <w:tab w:val="right" w:pos="8306"/>
      </w:tabs>
    </w:pPr>
    <w:r>
      <w:rPr>
        <w:rStyle w:val="75"/>
      </w:rPr>
      <w:fldChar w:fldCharType="begin"/>
    </w:r>
    <w:r>
      <w:rPr>
        <w:rStyle w:val="75"/>
      </w:rPr>
      <w:instrText>Page</w:instrText>
    </w:r>
    <w:r>
      <w:rPr>
        <w:rStyle w:val="75"/>
      </w:rPr>
      <w:fldChar w:fldCharType="separate"/>
    </w:r>
    <w:r>
      <w:rPr>
        <w:rStyle w:val="75"/>
      </w:rPr>
      <w:t>1</w:t>
    </w:r>
    <w:r>
      <w:rPr>
        <w:rStyle w:val="75"/>
      </w:rPr>
      <w:fldChar w:fldCharType="end"/>
    </w:r>
  </w:p>
  <w:p>
    <w:pPr>
      <w:pStyle w:val="39"/>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9"/>
      <w:framePr w:w="0" w:hRule="auto" w:wrap="around" w:vAnchor="text" w:hAnchor="margin" w:xAlign="center" w:y="1" w:anchorLock="0"/>
      <w:tabs>
        <w:tab w:val="center" w:pos="4153"/>
        <w:tab w:val="right" w:pos="8306"/>
      </w:tabs>
    </w:pPr>
    <w:r>
      <w:rPr>
        <w:rStyle w:val="75"/>
      </w:rPr>
      <w:fldChar w:fldCharType="begin"/>
    </w:r>
    <w:r>
      <w:rPr>
        <w:rStyle w:val="75"/>
      </w:rPr>
      <w:instrText>Page</w:instrText>
    </w:r>
    <w:r>
      <w:rPr>
        <w:rStyle w:val="75"/>
      </w:rPr>
      <w:fldChar w:fldCharType="separate"/>
    </w:r>
    <w:r>
      <w:rPr>
        <w:rStyle w:val="75"/>
      </w:rPr>
      <w:t>33</w:t>
    </w:r>
    <w:r>
      <w:rPr>
        <w:rStyle w:val="75"/>
      </w:rPr>
      <w:fldChar w:fldCharType="end"/>
    </w:r>
  </w:p>
  <w:p>
    <w:pPr>
      <w:pStyle w:val="39"/>
      <w:tabs>
        <w:tab w:val="center" w:pos="4153"/>
        <w:tab w:val="right" w:pos="8306"/>
      </w:tabs>
      <w:jc w:val="center"/>
    </w:pPr>
  </w:p>
  <w:p>
    <w:pPr>
      <w:pStyle w:val="39"/>
      <w:tabs>
        <w:tab w:val="center" w:pos="4153"/>
        <w:tab w:val="right" w:pos="8306"/>
      </w:tabs>
      <w:jc w:val="center"/>
    </w:pPr>
  </w:p>
  <w:p>
    <w:pPr>
      <w:pStyle w:val="3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tabs>
        <w:tab w:val="center" w:pos="4153"/>
        <w:tab w:val="right" w:pos="8306"/>
      </w:tabs>
    </w:pPr>
  </w:p>
  <w:p>
    <w:pPr>
      <w:pStyle w:val="38"/>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70247A5"/>
    <w:multiLevelType w:val="singleLevel"/>
    <w:tmpl w:val="A4CE23E4"/>
    <w:lvl w:ilvl="0">
      <w:start w:val="1"/>
      <w:numFmt w:val="bullet"/>
      <w:lvlRestart w:val="0"/>
      <w:pStyle w:val="82"/>
      <w:lvlText w:val=""/>
      <w:lvlJc w:val="left"/>
      <w:pPr>
        <w:tabs>
          <w:tab w:val="num" w:pos="360"/>
        </w:tabs>
        <w:ind w:left="360" w:hanging="360"/>
      </w:pPr>
      <w:rPr>
        <w:rFonts w:ascii="Wingdings" w:hAnsi="Wingdings" w:hint="default"/>
      </w:rPr>
    </w:lvl>
  </w:abstractNum>
  <w:abstractNum w:abstractNumId="1">
    <w:nsid w:val="3A739467"/>
    <w:multiLevelType w:val="singleLevel"/>
    <w:tmpl w:val="34B4305C"/>
    <w:lvl w:ilvl="0">
      <w:start w:val="1"/>
      <w:numFmt w:val="decimal"/>
      <w:lvlRestart w:val="0"/>
      <w:pStyle w:val="83"/>
      <w:lvlText w:val="%1."/>
      <w:lvlJc w:val="left"/>
      <w:pPr>
        <w:tabs>
          <w:tab w:val="num" w:pos="360"/>
        </w:tabs>
        <w:ind w:left="360" w:hanging="360"/>
      </w:pPr>
    </w:lvl>
  </w:abstractNum>
  <w:abstractNum w:abstractNumId="2">
    <w:nsid w:val="3BD98461"/>
    <w:multiLevelType w:val="singleLevel"/>
    <w:tmpl w:val="E01E5CAC"/>
    <w:lvl w:ilvl="0">
      <w:start w:val="1"/>
      <w:numFmt w:val="bullet"/>
      <w:lvlRestart w:val="0"/>
      <w:pStyle w:val="88"/>
      <w:lvlText w:val=""/>
      <w:lvlJc w:val="left"/>
      <w:pPr>
        <w:tabs>
          <w:tab w:val="num" w:pos="1200"/>
        </w:tabs>
        <w:ind w:left="1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Cambria" w:cs="Mongolian Baiti" w:hAnsi="Cambria"/>
      <w:b/>
      <w:bCs/>
      <w:sz w:val="32"/>
      <w:szCs w:val="32"/>
    </w:rPr>
  </w:style>
  <w:style w:type="paragraph" w:styleId="3">
    <w:name w:val="heading 3"/>
    <w:next w:val="0"/>
    <w:pPr>
      <w:keepNext/>
      <w:keepLines/>
      <w:widowControl w:val="0"/>
      <w:spacing w:line="360" w:lineRule="auto"/>
      <w:ind w:firstLineChars="200" w:firstLine="200"/>
      <w:jc w:val="both"/>
      <w:outlineLvl w:val="2"/>
    </w:pPr>
    <w:rPr>
      <w:rFonts w:ascii="仿宋" w:eastAsia="仿宋" w:cs="Helv"/>
      <w:b/>
      <w:bCs/>
      <w:kern w:val="2"/>
      <w:sz w:val="32"/>
      <w:szCs w:val="32"/>
      <w:lang w:val="en-US" w:eastAsia="zh-CN" w:bidi="ar-SA"/>
    </w:rPr>
  </w:style>
  <w:style w:type="character" w:default="1" w:styleId="10">
    <w:name w:val="Default Paragraph Font"/>
  </w:style>
  <w:style w:type="paragraph" w:customStyle="1" w:styleId="15">
    <w:name w:val="样式 2 10 磅"/>
    <w:next w:val="0"/>
    <w:pPr>
      <w:widowControl w:val="0"/>
      <w:jc w:val="both"/>
    </w:pPr>
    <w:rPr>
      <w:rFonts w:ascii="Times New Roman" w:eastAsia="宋体" w:cs="Times New Roman" w:hAnsi="Times New Roman"/>
      <w:kern w:val="2"/>
      <w:sz w:val="21"/>
      <w:szCs w:val="24"/>
      <w:lang w:val="en-US" w:eastAsia="zh-CN" w:bidi="ar-SA"/>
    </w:rPr>
  </w:style>
  <w:style w:type="paragraph" w:customStyle="1" w:styleId="16">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character" w:customStyle="1" w:styleId="17">
    <w:name w:val="im-content1"/>
    <w:basedOn w:val="10"/>
    <w:rPr>
      <w:color w:val="000000"/>
    </w:rPr>
  </w:style>
  <w:style w:type="paragraph" w:customStyle="1" w:styleId="1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1 10 磅"/>
    <w:pPr>
      <w:widowControl w:val="0"/>
      <w:jc w:val="both"/>
    </w:pPr>
    <w:rPr>
      <w:rFonts w:ascii="Times New Roman" w:eastAsia="宋体" w:cs="Times New Roman" w:hAnsi="Times New Roman"/>
      <w:kern w:val="2"/>
      <w:sz w:val="21"/>
      <w:szCs w:val="24"/>
      <w:lang w:val="en-US" w:eastAsia="zh-CN" w:bidi="ar-SA"/>
    </w:rPr>
  </w:style>
  <w:style w:type="paragraph" w:styleId="20">
    <w:name w:val="toc 3"/>
    <w:autoRedefine/>
    <w:next w:val="0"/>
    <w:pPr>
      <w:widowControl w:val="0"/>
      <w:adjustRightInd w:val="0"/>
      <w:snapToGrid w:val="0"/>
      <w:spacing w:line="360" w:lineRule="auto"/>
      <w:ind w:firstLineChars="400" w:firstLine="400"/>
    </w:pPr>
    <w:rPr>
      <w:rFonts w:ascii="Times New Roman" w:eastAsia="仿宋" w:cs="Times New Roman" w:hAnsi="Times New Roman"/>
      <w:kern w:val="2"/>
      <w:sz w:val="24"/>
      <w:szCs w:val="20"/>
      <w:lang w:val="en-US" w:eastAsia="zh-CN" w:bidi="ar-SA"/>
    </w:rPr>
  </w:style>
  <w:style w:type="paragraph" w:styleId="21">
    <w:name w:val="toc 4"/>
    <w:basedOn w:val="0"/>
    <w:autoRedefine/>
    <w:next w:val="0"/>
    <w:pPr>
      <w:ind w:left="1260"/>
    </w:pPr>
  </w:style>
  <w:style w:type="paragraph" w:styleId="22">
    <w:name w:val="toc 5"/>
    <w:basedOn w:val="0"/>
    <w:autoRedefine/>
    <w:next w:val="0"/>
    <w:pPr>
      <w:ind w:left="1680"/>
    </w:pPr>
  </w:style>
  <w:style w:type="paragraph" w:styleId="23">
    <w:name w:val="toc 6"/>
    <w:basedOn w:val="0"/>
    <w:autoRedefine/>
    <w:next w:val="0"/>
    <w:pPr>
      <w:ind w:left="2100"/>
    </w:pPr>
  </w:style>
  <w:style w:type="paragraph" w:customStyle="1" w:styleId="24">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三号"/>
    <w:next w:val="18"/>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6">
    <w:name w:val="样式 5 小四"/>
    <w:next w:val="20"/>
    <w:rPr>
      <w:rFonts w:ascii="Times New Roman" w:eastAsia="宋体" w:cs="Times New Roman" w:hAnsi="Times New Roman"/>
      <w:sz w:val="24"/>
      <w:szCs w:val="24"/>
      <w:lang w:val="en-US" w:eastAsia="zh-CN" w:bidi="ar-SA"/>
    </w:rPr>
  </w:style>
  <w:style w:type="paragraph" w:customStyle="1" w:styleId="27">
    <w:name w:val="样式 6 小四"/>
    <w:next w:val="21"/>
    <w:rPr>
      <w:rFonts w:ascii="Times New Roman" w:eastAsia="宋体" w:cs="Times New Roman" w:hAnsi="Times New Roman"/>
      <w:sz w:val="24"/>
      <w:szCs w:val="24"/>
      <w:lang w:val="en-US" w:eastAsia="zh-CN" w:bidi="ar-SA"/>
    </w:rPr>
  </w:style>
  <w:style w:type="paragraph" w:customStyle="1" w:styleId="28">
    <w:name w:val="样式 2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9">
    <w:name w:val="样式 7 小四"/>
    <w:next w:val="23"/>
    <w:rPr>
      <w:rFonts w:ascii="宋体" w:eastAsia="宋体" w:cs="宋体"/>
      <w:sz w:val="24"/>
      <w:szCs w:val="24"/>
      <w:lang w:val="en-US" w:eastAsia="zh-CN" w:bidi="ar-SA"/>
    </w:rPr>
  </w:style>
  <w:style w:type="paragraph" w:customStyle="1" w:styleId="30">
    <w:name w:val="样式 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样式 小三"/>
    <w:next w:val="15"/>
    <w:pPr>
      <w:widowControl w:val="0"/>
      <w:jc w:val="both"/>
    </w:pPr>
    <w:rPr>
      <w:rFonts w:ascii="Times New Roman" w:eastAsia="仿宋_GB2312" w:cs="Times New Roman" w:hAnsi="Times New Roman"/>
      <w:kern w:val="2"/>
      <w:sz w:val="30"/>
      <w:szCs w:val="30"/>
      <w:lang w:val="en-US" w:eastAsia="zh-CN" w:bidi="ar-SA"/>
    </w:rPr>
  </w:style>
  <w:style w:type="paragraph" w:customStyle="1" w:styleId="32">
    <w:name w:val="样式 4 10 磅"/>
    <w:next w:val="25"/>
    <w:pPr>
      <w:widowControl w:val="0"/>
      <w:jc w:val="both"/>
    </w:pPr>
    <w:rPr>
      <w:rFonts w:ascii="Calibri" w:eastAsia="宋体" w:cs="Calibri" w:hAnsi="Calibri"/>
      <w:kern w:val="2"/>
      <w:sz w:val="21"/>
      <w:szCs w:val="21"/>
      <w:lang w:val="en-US" w:eastAsia="zh-CN" w:bidi="ar-SA"/>
    </w:rPr>
  </w:style>
  <w:style w:type="paragraph" w:customStyle="1" w:styleId="3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小四"/>
    <w:pPr>
      <w:widowControl w:val="0"/>
    </w:pPr>
    <w:rPr>
      <w:rFonts w:ascii="宋体" w:eastAsia="宋体" w:cs="Times New Roman"/>
      <w:kern w:val="2"/>
      <w:sz w:val="24"/>
      <w:szCs w:val="21"/>
      <w:lang w:val="en-US" w:eastAsia="zh-CN" w:bidi="ar-SA"/>
    </w:rPr>
  </w:style>
  <w:style w:type="paragraph" w:styleId="37">
    <w:name w:val="Balloon Text"/>
    <w:basedOn w:val="0"/>
    <w:rPr>
      <w:sz w:val="18"/>
      <w:szCs w:val="18"/>
    </w:rPr>
  </w:style>
  <w:style w:type="paragraph" w:styleId="38">
    <w:name w:val="header"/>
    <w:basedOn w:val="0"/>
    <w:pPr>
      <w:pBdr>
        <w:bottom w:val="single" w:sz="6" w:space="1" w:color="auto"/>
      </w:pBdr>
      <w:tabs>
        <w:tab w:val="center" w:pos="4153"/>
        <w:tab w:val="right" w:pos="8306"/>
      </w:tabs>
      <w:snapToGrid w:val="0"/>
      <w:jc w:val="center"/>
    </w:pPr>
    <w:rPr>
      <w:sz w:val="18"/>
      <w:szCs w:val="18"/>
    </w:rPr>
  </w:style>
  <w:style w:type="paragraph" w:styleId="39">
    <w:name w:val="footer"/>
    <w:basedOn w:val="0"/>
    <w:pPr>
      <w:tabs>
        <w:tab w:val="center" w:pos="4153"/>
        <w:tab w:val="right" w:pos="8306"/>
      </w:tabs>
      <w:snapToGrid w:val="0"/>
      <w:jc w:val="left"/>
    </w:pPr>
    <w:rPr>
      <w:sz w:val="18"/>
      <w:szCs w:val="18"/>
    </w:rPr>
  </w:style>
  <w:style w:type="paragraph" w:customStyle="1" w:styleId="40">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9 10 磅"/>
    <w:next w:val="48"/>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55">
    <w:name w:val="样式 1 小三"/>
    <w:pPr>
      <w:widowControl w:val="0"/>
      <w:jc w:val="both"/>
    </w:pPr>
    <w:rPr>
      <w:rFonts w:ascii="Times New Roman" w:eastAsia="仿宋_GB2312" w:cs="Times New Roman" w:hAnsi="Times New Roman"/>
      <w:kern w:val="2"/>
      <w:sz w:val="30"/>
      <w:szCs w:val="30"/>
      <w:lang w:val="en-US" w:eastAsia="zh-CN" w:bidi="ar-SA"/>
    </w:rPr>
  </w:style>
  <w:style w:type="paragraph" w:styleId="56">
    <w:name w:val="Body Text"/>
    <w:pPr>
      <w:widowControl w:val="0"/>
      <w:autoSpaceDE w:val="0"/>
      <w:autoSpaceDN w:val="0"/>
    </w:pPr>
    <w:rPr>
      <w:rFonts w:ascii="仿宋" w:eastAsia="仿宋" w:cs="仿宋"/>
      <w:sz w:val="32"/>
      <w:szCs w:val="32"/>
      <w:lang w:val="zh-CN" w:eastAsia="zh-CN" w:bidi="ar-SA"/>
    </w:rPr>
  </w:style>
  <w:style w:type="paragraph" w:customStyle="1" w:styleId="57">
    <w:name w:val="样式 22 10 磅"/>
    <w:next w:val="61"/>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3 三号"/>
    <w:next w:val="60"/>
    <w:pPr>
      <w:widowControl w:val="0"/>
      <w:jc w:val="both"/>
    </w:pPr>
    <w:rPr>
      <w:rFonts w:ascii="Times New Roman" w:eastAsia="方正仿宋_GBK" w:cs="Times New Roman" w:hAnsi="Times New Roman"/>
      <w:kern w:val="2"/>
      <w:sz w:val="32"/>
      <w:szCs w:val="20"/>
      <w:lang w:val="en-US" w:eastAsia="zh-CN" w:bidi="ar-SA"/>
    </w:rPr>
  </w:style>
  <w:style w:type="paragraph" w:customStyle="1" w:styleId="59">
    <w:name w:val="样式 71 三号"/>
    <w:next w:val="16"/>
    <w:pPr>
      <w:widowControl w:val="0"/>
      <w:autoSpaceDE w:val="0"/>
      <w:autoSpaceDN w:val="0"/>
    </w:pPr>
    <w:rPr>
      <w:rFonts w:ascii="仿宋" w:eastAsia="仿宋" w:cs="仿宋"/>
      <w:sz w:val="32"/>
      <w:szCs w:val="32"/>
      <w:lang w:val="zh-CN" w:eastAsia="zh-CN" w:bidi="ar-SA"/>
    </w:rPr>
  </w:style>
  <w:style w:type="paragraph" w:customStyle="1" w:styleId="60">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styleId="61">
    <w:name w:val="toc 1"/>
    <w:autoRedefine/>
    <w:next w:val="0"/>
    <w:pPr>
      <w:widowControl w:val="0"/>
      <w:adjustRightInd w:val="0"/>
      <w:snapToGrid w:val="0"/>
      <w:spacing w:line="360" w:lineRule="auto"/>
    </w:pPr>
    <w:rPr>
      <w:rFonts w:ascii="Times New Roman" w:eastAsia="仿宋" w:cs="Times New Roman" w:hAnsi="Times New Roman"/>
      <w:b/>
      <w:bCs/>
      <w:kern w:val="2"/>
      <w:sz w:val="24"/>
      <w:szCs w:val="20"/>
      <w:lang w:val="en-US" w:eastAsia="zh-CN" w:bidi="ar-SA"/>
    </w:rPr>
  </w:style>
  <w:style w:type="paragraph" w:styleId="62">
    <w:name w:val="toc 2"/>
    <w:autoRedefine/>
    <w:next w:val="0"/>
    <w:pPr>
      <w:widowControl w:val="0"/>
      <w:tabs>
        <w:tab w:val="right" w:leader="dot" w:pos="8303"/>
      </w:tabs>
      <w:adjustRightInd w:val="0"/>
      <w:snapToGrid w:val="0"/>
      <w:spacing w:line="360" w:lineRule="auto"/>
      <w:ind w:firstLineChars="200" w:firstLine="200"/>
    </w:pPr>
    <w:rPr>
      <w:rFonts w:ascii="Times New Roman" w:eastAsia="仿宋" w:cs="Times New Roman" w:hAnsi="Times New Roman"/>
      <w:iCs/>
      <w:kern w:val="2"/>
      <w:sz w:val="24"/>
      <w:szCs w:val="20"/>
      <w:lang w:val="en-US" w:eastAsia="zh-CN" w:bidi="ar-SA"/>
    </w:rPr>
  </w:style>
  <w:style w:type="paragraph" w:customStyle="1" w:styleId="63">
    <w:name w:val="样式 22 10 磅"/>
    <w:pPr>
      <w:widowControl w:val="0"/>
      <w:jc w:val="both"/>
    </w:pPr>
    <w:rPr>
      <w:rFonts w:ascii="Times New Roman" w:eastAsia="仿宋" w:cs="Times New Roman" w:hAnsi="Times New Roman"/>
      <w:kern w:val="2"/>
      <w:sz w:val="21"/>
      <w:szCs w:val="24"/>
      <w:lang w:val="en-US" w:eastAsia="zh-CN" w:bidi="ar-SA"/>
    </w:rPr>
  </w:style>
  <w:style w:type="paragraph" w:customStyle="1" w:styleId="64">
    <w:name w:val="样式 2 小四"/>
    <w:pPr>
      <w:widowControl w:val="0"/>
      <w:adjustRightInd w:val="0"/>
      <w:snapToGrid w:val="0"/>
      <w:spacing w:line="360" w:lineRule="auto"/>
    </w:pPr>
    <w:rPr>
      <w:rFonts w:ascii="Times New Roman" w:eastAsia="仿宋" w:cs="Times New Roman" w:hAnsi="Times New Roman"/>
      <w:b/>
      <w:kern w:val="2"/>
      <w:sz w:val="24"/>
      <w:szCs w:val="20"/>
      <w:lang w:val="en-US" w:eastAsia="zh-CN" w:bidi="ar-SA"/>
    </w:rPr>
  </w:style>
  <w:style w:type="paragraph" w:customStyle="1" w:styleId="65">
    <w:name w:val="样式 3 小四"/>
    <w:pPr>
      <w:widowControl w:val="0"/>
      <w:adjustRightInd w:val="0"/>
      <w:snapToGrid w:val="0"/>
      <w:spacing w:line="360" w:lineRule="auto"/>
      <w:ind w:firstLineChars="400" w:firstLine="400"/>
    </w:pPr>
    <w:rPr>
      <w:rFonts w:ascii="Times New Roman" w:eastAsia="仿宋" w:cs="Times New Roman" w:hAnsi="Times New Roman"/>
      <w:kern w:val="2"/>
      <w:sz w:val="24"/>
      <w:szCs w:val="20"/>
      <w:lang w:val="en-US" w:eastAsia="zh-CN" w:bidi="ar-SA"/>
    </w:rPr>
  </w:style>
  <w:style w:type="paragraph" w:customStyle="1" w:styleId="66">
    <w:name w:val="样式 3043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4 10 磅"/>
    <w:next w:val="82"/>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25 10 磅"/>
    <w:next w:val="83"/>
    <w:pPr>
      <w:widowControl w:val="0"/>
      <w:jc w:val="both"/>
    </w:pPr>
    <w:rPr>
      <w:rFonts w:ascii="Times New Roman" w:eastAsia="宋体" w:cs="Times New Roman" w:hAnsi="Times New Roman"/>
      <w:kern w:val="2"/>
      <w:sz w:val="21"/>
      <w:szCs w:val="24"/>
      <w:lang w:val="en-US" w:eastAsia="zh-CN" w:bidi="ar-SA"/>
    </w:rPr>
  </w:style>
  <w:style w:type="paragraph" w:styleId="70">
    <w:name w:val="envelope address"/>
    <w:basedOn w:val="0"/>
    <w:pPr>
      <w:snapToGrid w:val="0"/>
      <w:ind w:left="2880"/>
    </w:pPr>
    <w:rPr>
      <w:rFonts w:ascii="Arial" w:hAnsi="Arial"/>
      <w:sz w:val="24"/>
    </w:rPr>
  </w:style>
  <w:style w:type="paragraph" w:styleId="71">
    <w:name w:val="envelope return"/>
    <w:basedOn w:val="0"/>
    <w:pPr>
      <w:snapToGrid w:val="0"/>
    </w:pPr>
    <w:rPr>
      <w:rFonts w:ascii="Arial" w:hAnsi="Arial"/>
    </w:rPr>
  </w:style>
  <w:style w:type="character" w:styleId="72">
    <w:name w:val="footnote reference"/>
    <w:basedOn w:val="10"/>
    <w:rPr>
      <w:vertAlign w:val="superscript"/>
    </w:rPr>
  </w:style>
  <w:style w:type="character" w:styleId="73">
    <w:name w:val="annotation reference"/>
    <w:basedOn w:val="10"/>
    <w:rPr>
      <w:sz w:val="21"/>
    </w:rPr>
  </w:style>
  <w:style w:type="character" w:styleId="74">
    <w:name w:val="line number"/>
    <w:basedOn w:val="10"/>
  </w:style>
  <w:style w:type="character" w:styleId="75">
    <w:name w:val="page number"/>
    <w:basedOn w:val="10"/>
  </w:style>
  <w:style w:type="character" w:styleId="76">
    <w:name w:val="endnote reference"/>
    <w:basedOn w:val="10"/>
    <w:rPr>
      <w:vertAlign w:val="superscript"/>
    </w:rPr>
  </w:style>
  <w:style w:type="paragraph" w:styleId="77">
    <w:name w:val="endnote text"/>
    <w:basedOn w:val="0"/>
    <w:pPr>
      <w:snapToGrid w:val="0"/>
      <w:jc w:val="left"/>
    </w:pPr>
  </w:style>
  <w:style w:type="paragraph" w:styleId="78">
    <w:name w:val="table of authorities"/>
    <w:basedOn w:val="0"/>
    <w:next w:val="0"/>
    <w:pPr>
      <w:ind w:left="420"/>
    </w:pPr>
  </w:style>
  <w:style w:type="paragraph" w:styleId="79">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szCs w:val="20"/>
      <w:lang w:val="en-US" w:eastAsia="zh-CN" w:bidi="ar-SA"/>
    </w:rPr>
  </w:style>
  <w:style w:type="paragraph" w:styleId="80">
    <w:name w:val="toa heading"/>
    <w:basedOn w:val="0"/>
    <w:next w:val="0"/>
    <w:pPr>
      <w:spacing w:before="120"/>
    </w:pPr>
    <w:rPr>
      <w:rFonts w:ascii="Arial" w:hAnsi="Arial"/>
      <w:sz w:val="24"/>
    </w:rPr>
  </w:style>
  <w:style w:type="paragraph" w:styleId="81">
    <w:name w:val="List"/>
    <w:basedOn w:val="0"/>
    <w:pPr>
      <w:ind w:left="420" w:hanging="420"/>
    </w:pPr>
  </w:style>
  <w:style w:type="paragraph" w:styleId="82">
    <w:name w:val="List Bullet"/>
    <w:pPr>
      <w:widowControl w:val="0"/>
      <w:numPr>
        <w:ilvl w:val="0"/>
        <w:numId w:val="1"/>
      </w:numPr>
      <w:jc w:val="both"/>
    </w:pPr>
    <w:rPr>
      <w:rFonts w:ascii="Times New Roman" w:eastAsia="宋体" w:cs="Times New Roman" w:hAnsi="Times New Roman"/>
      <w:kern w:val="2"/>
      <w:sz w:val="21"/>
      <w:szCs w:val="24"/>
      <w:lang w:val="en-US" w:eastAsia="zh-CN" w:bidi="ar-SA"/>
    </w:rPr>
  </w:style>
  <w:style w:type="paragraph" w:styleId="83">
    <w:name w:val="List Number"/>
    <w:basedOn w:val="0"/>
    <w:pPr>
      <w:numPr>
        <w:ilvl w:val="0"/>
        <w:numId w:val="2"/>
      </w:numPr>
    </w:pPr>
  </w:style>
  <w:style w:type="paragraph" w:styleId="84">
    <w:name w:val="List 2"/>
    <w:basedOn w:val="0"/>
    <w:pPr>
      <w:ind w:left="840" w:hanging="420"/>
    </w:pPr>
  </w:style>
  <w:style w:type="paragraph" w:styleId="85">
    <w:name w:val="List 3"/>
    <w:basedOn w:val="0"/>
    <w:pPr>
      <w:ind w:left="1260" w:hanging="420"/>
    </w:pPr>
  </w:style>
  <w:style w:type="paragraph" w:styleId="86">
    <w:name w:val="List 4"/>
    <w:basedOn w:val="0"/>
    <w:pPr>
      <w:ind w:left="1680" w:hanging="420"/>
    </w:pPr>
  </w:style>
  <w:style w:type="paragraph" w:styleId="87">
    <w:name w:val="List 5"/>
    <w:basedOn w:val="0"/>
    <w:pPr>
      <w:ind w:left="2100" w:hanging="420"/>
    </w:pPr>
  </w:style>
  <w:style w:type="paragraph" w:styleId="88">
    <w:name w:val="List Bullet 3"/>
    <w:basedOn w:val="0"/>
    <w:pPr>
      <w:numPr>
        <w:ilvl w:val="0"/>
        <w:numId w:val="3"/>
      </w:numPr>
    </w:pPr>
  </w:style>
  <w:style w:type="paragraph" w:styleId="89">
    <w:name w:val="Block Text"/>
    <w:basedOn w:val="0"/>
    <w:pPr>
      <w:spacing w:after="120"/>
      <w:ind w:left="140" w:rightChars="700" w:right="700"/>
    </w:pPr>
  </w:style>
  <w:style w:type="character" w:styleId="90">
    <w:name w:val="Hyperlink"/>
    <w:basedOn w:val="10"/>
    <w:rPr>
      <w:color w:val="0000FF"/>
      <w:u w:val="single"/>
    </w:rPr>
  </w:style>
  <w:style w:type="character" w:styleId="91">
    <w:name w:val="Strong"/>
    <w:basedOn w:val="10"/>
    <w:rPr>
      <w:b/>
    </w:rPr>
  </w:style>
  <w:style w:type="character" w:styleId="92">
    <w:name w:val="Emphasis"/>
    <w:basedOn w:val="10"/>
    <w:rPr>
      <w:i/>
    </w:rPr>
  </w:style>
  <w:style w:type="paragraph" w:styleId="93">
    <w:name w:val="Document Map"/>
    <w:basedOn w:val="0"/>
    <w:pPr>
      <w:shd w:val="clear" w:color="auto" w:fill="000080"/>
    </w:pPr>
  </w:style>
  <w:style w:type="paragraph" w:styleId="94">
    <w:name w:val="Plain Text"/>
    <w:basedOn w:val="0"/>
    <w:rPr>
      <w:rFonts w:ascii="Courier New" w:hAnsi="Courier New"/>
    </w:rPr>
  </w:style>
  <w:style w:type="paragraph" w:styleId="95">
    <w:name w:val="Normal (Web)"/>
    <w:basedOn w:val="0"/>
    <w:rPr>
      <w:sz w:val="24"/>
    </w:rPr>
  </w:style>
  <w:style w:type="character" w:styleId="96">
    <w:name w:val="HTML Acronym"/>
    <w:basedOn w:val="10"/>
  </w:style>
  <w:style w:type="paragraph" w:styleId="97">
    <w:name w:val="HTML Address"/>
    <w:basedOn w:val="0"/>
    <w:rPr>
      <w:i/>
    </w:rPr>
  </w:style>
  <w:style w:type="character" w:styleId="98">
    <w:name w:val="HTML Cite"/>
    <w:basedOn w:val="10"/>
    <w:rPr>
      <w:i/>
    </w:rPr>
  </w:style>
  <w:style w:type="paragraph" w:customStyle="1" w:styleId="99">
    <w:name w:val="正文文字 1"/>
    <w:basedOn w:val="0"/>
    <w:autoRedefine/>
    <w:next w:val="0"/>
    <w:pPr>
      <w:ind w:left="240"/>
    </w:pPr>
    <w:rPr>
      <w:sz w:val="28"/>
    </w:rPr>
  </w:style>
  <w:style w:type="paragraph" w:customStyle="1" w:styleId="100">
    <w:name w:val="公式样式 文本"/>
    <w:autoRedefine/>
    <w:rPr>
      <w:rFonts w:ascii="Times New Roman" w:eastAsia="宋体" w:cs="Times New Roman" w:hAnsi="Times New Roman"/>
      <w:sz w:val="20"/>
      <w:szCs w:val="20"/>
      <w:lang w:val="en-US" w:eastAsia="zh-CN" w:bidi="ar-SA"/>
    </w:rPr>
  </w:style>
  <w:style w:type="paragraph" w:customStyle="1" w:styleId="101">
    <w:name w:val="公式样式 函数"/>
    <w:autoRedefine/>
    <w:rPr>
      <w:rFonts w:ascii="Times New Roman" w:eastAsia="宋体" w:cs="Times New Roman" w:hAnsi="Times New Roman"/>
      <w:sz w:val="20"/>
      <w:szCs w:val="20"/>
      <w:lang w:val="en-US" w:eastAsia="zh-CN" w:bidi="ar-SA"/>
    </w:rPr>
  </w:style>
  <w:style w:type="paragraph" w:customStyle="1" w:styleId="102">
    <w:name w:val="公式样式 变量"/>
    <w:autoRedefine/>
    <w:rPr>
      <w:rFonts w:ascii="Times New Roman" w:eastAsia="宋体" w:cs="Times New Roman" w:hAnsi="Times New Roman"/>
      <w:i/>
      <w:sz w:val="20"/>
      <w:szCs w:val="20"/>
      <w:lang w:val="en-US" w:eastAsia="zh-CN" w:bidi="ar-SA"/>
    </w:rPr>
  </w:style>
  <w:style w:type="paragraph" w:customStyle="1" w:styleId="103">
    <w:name w:val="公式样式 小写希腊字母"/>
    <w:autoRedefine/>
    <w:rPr>
      <w:rFonts w:ascii="Times New Roman" w:eastAsia="宋体" w:cs="Times New Roman" w:hAnsi="Times New Roman"/>
      <w:i/>
      <w:sz w:val="20"/>
      <w:szCs w:val="20"/>
      <w:lang w:val="en-US" w:eastAsia="zh-CN" w:bidi="ar-SA"/>
    </w:rPr>
  </w:style>
  <w:style w:type="paragraph" w:customStyle="1" w:styleId="104">
    <w:name w:val="公式样式 矢量矩阵"/>
    <w:autoRedefine/>
    <w:rPr>
      <w:rFonts w:ascii="Times New Roman" w:eastAsia="宋体" w:cs="Times New Roman" w:hAnsi="Times New Roman"/>
      <w:b/>
      <w:sz w:val="20"/>
      <w:szCs w:val="20"/>
      <w:lang w:val="en-US" w:eastAsia="zh-CN" w:bidi="ar-SA"/>
    </w:rPr>
  </w:style>
  <w:style w:type="paragraph" w:customStyle="1" w:styleId="105">
    <w:name w:val="样式 45 10 磅"/>
    <w:next w:val="88"/>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276 10 磅"/>
    <w:next w:val="198"/>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4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6">
    <w:name w:val="样式 2 小三"/>
    <w:next w:val="512"/>
    <w:pPr>
      <w:widowControl w:val="0"/>
      <w:jc w:val="both"/>
    </w:pPr>
    <w:rPr>
      <w:rFonts w:ascii="Times New Roman" w:eastAsia="仿宋_GB2312" w:cs="Times New Roman" w:hAnsi="Times New Roman"/>
      <w:kern w:val="2"/>
      <w:sz w:val="30"/>
      <w:szCs w:val="30"/>
      <w:lang w:val="en-US" w:eastAsia="zh-CN" w:bidi="ar-SA"/>
    </w:rPr>
  </w:style>
  <w:style w:type="paragraph" w:customStyle="1" w:styleId="1017">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3 小三"/>
    <w:pPr>
      <w:widowControl w:val="0"/>
      <w:jc w:val="both"/>
    </w:pPr>
    <w:rPr>
      <w:rFonts w:ascii="Times New Roman" w:eastAsia="仿宋_GB2312" w:cs="Times New Roman" w:hAnsi="Times New Roman"/>
      <w:kern w:val="2"/>
      <w:sz w:val="30"/>
      <w:szCs w:val="30"/>
      <w:lang w:val="en-US" w:eastAsia="zh-CN" w:bidi="ar-SA"/>
    </w:rPr>
  </w:style>
  <w:style w:type="paragraph" w:customStyle="1" w:styleId="1130">
    <w:name w:val="样式 1048 10 磅"/>
    <w:pPr>
      <w:widowControl w:val="0"/>
      <w:jc w:val="both"/>
    </w:pPr>
    <w:rPr>
      <w:rFonts w:ascii="Calibri" w:eastAsia="宋体" w:cs="Arial" w:hAnsi="Calibri"/>
      <w:kern w:val="2"/>
      <w:sz w:val="21"/>
      <w:szCs w:val="22"/>
      <w:lang w:val="en-US" w:eastAsia="zh-CN" w:bidi="ar-SA"/>
    </w:rPr>
  </w:style>
  <w:style w:type="paragraph" w:customStyle="1" w:styleId="1131">
    <w:name w:val="样式 1049 10 磅"/>
    <w:pPr>
      <w:widowControl w:val="0"/>
      <w:jc w:val="both"/>
    </w:pPr>
    <w:rPr>
      <w:rFonts w:ascii="Calibri" w:eastAsia="宋体" w:cs="Arial" w:hAnsi="Calibri"/>
      <w:kern w:val="2"/>
      <w:sz w:val="21"/>
      <w:szCs w:val="22"/>
      <w:lang w:val="en-US" w:eastAsia="zh-CN" w:bidi="ar-SA"/>
    </w:rPr>
  </w:style>
  <w:style w:type="paragraph" w:customStyle="1" w:styleId="1132">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076 10 磅"/>
    <w:pPr>
      <w:widowControl w:val="0"/>
      <w:jc w:val="both"/>
    </w:pPr>
    <w:rPr>
      <w:rFonts w:ascii="Times New Roman" w:eastAsia="宋体" w:cs="Times New Roman" w:hAnsi="Times New Roman"/>
      <w:kern w:val="2"/>
      <w:sz w:val="21"/>
      <w:szCs w:val="24"/>
      <w:lang w:val="en-US" w:eastAsia="zh-CN" w:bidi="ar-SA"/>
    </w:rPr>
  </w:style>
  <w:style w:type="character" w:customStyle="1" w:styleId="1159">
    <w:name w:val="h-control-text-cont1"/>
  </w:style>
  <w:style w:type="paragraph" w:customStyle="1" w:styleId="1160">
    <w:name w:val="样式 1077 10 磅"/>
    <w:pPr>
      <w:widowControl w:val="0"/>
      <w:jc w:val="both"/>
    </w:pPr>
    <w:rPr>
      <w:rFonts w:ascii="Calibri" w:eastAsia="宋体" w:cs="Arial" w:hAnsi="Calibri"/>
      <w:kern w:val="2"/>
      <w:sz w:val="21"/>
      <w:szCs w:val="28"/>
      <w:lang w:val="en-US" w:eastAsia="zh-CN" w:bidi="mn-Mong-CN"/>
    </w:rPr>
  </w:style>
  <w:style w:type="paragraph" w:customStyle="1" w:styleId="1161">
    <w:name w:val="样式 1078 10 磅"/>
    <w:pPr>
      <w:widowControl w:val="0"/>
      <w:jc w:val="both"/>
    </w:pPr>
    <w:rPr>
      <w:rFonts w:ascii="Calibri" w:eastAsia="宋体" w:cs="Arial" w:hAnsi="Calibri"/>
      <w:kern w:val="2"/>
      <w:sz w:val="21"/>
      <w:szCs w:val="28"/>
      <w:lang w:val="en-US" w:eastAsia="zh-CN" w:bidi="mn-Mong-CN"/>
    </w:rPr>
  </w:style>
  <w:style w:type="paragraph" w:customStyle="1" w:styleId="1162">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48 三号"/>
    <w:next w:val="0"/>
    <w:pPr>
      <w:widowControl w:val="0"/>
      <w:jc w:val="both"/>
    </w:pPr>
    <w:rPr>
      <w:rFonts w:ascii="Times New Roman" w:eastAsia="方正仿宋_GBK" w:cs="Times New Roman" w:hAnsi="Times New Roman"/>
      <w:kern w:val="2"/>
      <w:sz w:val="32"/>
      <w:szCs w:val="32"/>
      <w:lang w:val="en-US" w:eastAsia="zh-CN" w:bidi="ar-SA"/>
    </w:rPr>
  </w:style>
  <w:style w:type="paragraph" w:customStyle="1" w:styleId="1183">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197">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TOC Heading"/>
    <w:basedOn w:val="1"/>
    <w:next w:val="0"/>
    <w:pPr>
      <w:keepNext/>
      <w:keepLines/>
      <w:widowControl/>
      <w:spacing w:before="480" w:after="0" w:line="276" w:lineRule="auto"/>
      <w:jc w:val="left"/>
      <w:outlineLvl w:val="9"/>
    </w:pPr>
    <w:rPr>
      <w:rFonts w:ascii="Cambria" w:cs="Mongolian Baiti" w:hAnsi="Cambria"/>
      <w:color w:val="365F91"/>
      <w:kern w:val="0"/>
      <w:sz w:val="28"/>
      <w:szCs w:val="28"/>
    </w:rPr>
  </w:style>
  <w:style w:type="paragraph" w:customStyle="1" w:styleId="120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5 三号"/>
    <w:pPr>
      <w:keepNext/>
      <w:keepLines/>
      <w:widowControl w:val="0"/>
      <w:spacing w:before="260" w:after="260" w:line="415" w:lineRule="auto"/>
      <w:jc w:val="both"/>
      <w:outlineLvl w:val="1"/>
    </w:pPr>
    <w:rPr>
      <w:rFonts w:ascii="Cambria" w:eastAsia="宋体" w:cs="Mongolian Baiti" w:hAnsi="Cambria"/>
      <w:b/>
      <w:bCs/>
      <w:kern w:val="2"/>
      <w:sz w:val="32"/>
      <w:szCs w:val="32"/>
      <w:lang w:val="en-US" w:eastAsia="zh-CN" w:bidi="ar-SA"/>
    </w:rPr>
  </w:style>
  <w:style w:type="paragraph" w:customStyle="1" w:styleId="1229">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147 10 磅"/>
    <w:pPr>
      <w:widowControl w:val="0"/>
      <w:jc w:val="both"/>
    </w:pPr>
    <w:rPr>
      <w:rFonts w:ascii="Times New Roman" w:eastAsia="宋体" w:cs="Times New Roman" w:hAnsi="Times New Roman"/>
      <w:kern w:val="2"/>
      <w:sz w:val="21"/>
      <w:szCs w:val="24"/>
      <w:lang w:val="en-US" w:eastAsia="zh-CN" w:bidi="ar-SA"/>
    </w:rPr>
  </w:style>
  <w:style w:type="paragraph" w:styleId="1235">
    <w:name w:val="Body Text 2"/>
    <w:next w:val="15"/>
    <w:pPr>
      <w:widowControl w:val="0"/>
      <w:snapToGrid w:val="0"/>
      <w:spacing w:line="600" w:lineRule="exact"/>
      <w:jc w:val="both"/>
    </w:pPr>
    <w:rPr>
      <w:rFonts w:ascii="宋体" w:eastAsia="Arial" w:cs="Times New Roman" w:hAnsi="宋体"/>
      <w:sz w:val="28"/>
      <w:szCs w:val="21"/>
      <w:lang w:val="en-US" w:eastAsia="zh-CN" w:bidi="ar-SA"/>
    </w:rPr>
  </w:style>
  <w:style w:type="paragraph" w:customStyle="1" w:styleId="1236">
    <w:name w:val="样式 二号"/>
    <w:pPr>
      <w:keepNext/>
      <w:keepLines/>
      <w:widowControl w:val="0"/>
      <w:spacing w:before="240" w:after="240" w:line="360" w:lineRule="auto"/>
      <w:jc w:val="center"/>
      <w:outlineLvl w:val="0"/>
    </w:pPr>
    <w:rPr>
      <w:rFonts w:ascii="Symbol" w:eastAsia="仿宋" w:cs="Helvetica" w:hAnsi="Symbol"/>
      <w:b/>
      <w:bCs/>
      <w:kern w:val="44"/>
      <w:sz w:val="44"/>
      <w:szCs w:val="44"/>
      <w:lang w:val="en-US" w:eastAsia="zh-CN" w:bidi="ar-SA"/>
    </w:rPr>
  </w:style>
  <w:style w:type="paragraph" w:customStyle="1" w:styleId="1237">
    <w:name w:val="样式 小二"/>
    <w:pPr>
      <w:keepNext/>
      <w:keepLines/>
      <w:widowControl w:val="0"/>
      <w:adjustRightInd w:val="0"/>
      <w:snapToGrid w:val="0"/>
      <w:ind w:firstLineChars="200" w:firstLine="200"/>
      <w:jc w:val="both"/>
      <w:outlineLvl w:val="1"/>
    </w:pPr>
    <w:rPr>
      <w:rFonts w:ascii="Courier" w:eastAsia="仿宋" w:cs="Times New Roman" w:hAnsi="Courier"/>
      <w:b/>
      <w:bCs/>
      <w:kern w:val="2"/>
      <w:sz w:val="36"/>
      <w:szCs w:val="32"/>
      <w:lang w:val="en-US" w:eastAsia="zh-CN" w:bidi="ar-SA"/>
    </w:rPr>
  </w:style>
  <w:style w:type="paragraph" w:customStyle="1" w:styleId="1238">
    <w:name w:val="样式 1148 10 磅"/>
    <w:pPr>
      <w:widowControl w:val="0"/>
      <w:jc w:val="both"/>
    </w:pPr>
    <w:rPr>
      <w:rFonts w:ascii="Times New Roman" w:eastAsia="Arial" w:cs="Times New Roman" w:hAnsi="Times New Roman"/>
      <w:kern w:val="2"/>
      <w:sz w:val="21"/>
      <w:szCs w:val="21"/>
      <w:lang w:val="en-US" w:eastAsia="zh-CN" w:bidi="ar-SA"/>
    </w:rPr>
  </w:style>
  <w:style w:type="character" w:customStyle="1" w:styleId="1239">
    <w:name w:val="font11"/>
    <w:rPr>
      <w:rFonts w:ascii="仿宋" w:eastAsia="仿宋" w:cs="仿宋"/>
      <w:color w:val="000000"/>
      <w:sz w:val="20"/>
      <w:szCs w:val="20"/>
      <w:u w:val="none"/>
      <w:lang w:bidi="ar-SA"/>
    </w:rPr>
  </w:style>
  <w:style w:type="paragraph" w:customStyle="1" w:styleId="1240">
    <w:name w:val="样式 1 小二"/>
    <w:pPr>
      <w:keepNext/>
      <w:keepLines/>
      <w:widowControl w:val="0"/>
      <w:spacing w:before="240" w:after="240" w:line="360" w:lineRule="auto"/>
      <w:jc w:val="both"/>
      <w:outlineLvl w:val="0"/>
    </w:pPr>
    <w:rPr>
      <w:rFonts w:ascii="Symbol" w:eastAsia="Symbol" w:cs="Helvetica" w:hAnsi="Symbol"/>
      <w:b/>
      <w:bCs/>
      <w:kern w:val="44"/>
      <w:sz w:val="36"/>
      <w:szCs w:val="44"/>
      <w:lang w:val="en-US" w:eastAsia="zh-CN" w:bidi="ar-SA"/>
    </w:rPr>
  </w:style>
  <w:style w:type="paragraph" w:customStyle="1" w:styleId="1241">
    <w:name w:val="样式 6 三号"/>
    <w:pPr>
      <w:keepNext/>
      <w:keepLines/>
      <w:widowControl w:val="0"/>
      <w:adjustRightInd w:val="0"/>
      <w:snapToGrid w:val="0"/>
      <w:spacing w:before="260" w:after="260" w:line="415" w:lineRule="auto"/>
      <w:ind w:firstLineChars="200" w:firstLine="200"/>
      <w:jc w:val="both"/>
      <w:outlineLvl w:val="1"/>
    </w:pPr>
    <w:rPr>
      <w:rFonts w:ascii="Courier" w:eastAsia="Courier New" w:cs="Times New Roman" w:hAnsi="Courier"/>
      <w:b/>
      <w:bCs/>
      <w:kern w:val="2"/>
      <w:sz w:val="32"/>
      <w:szCs w:val="32"/>
      <w:lang w:val="en-US" w:eastAsia="zh-CN" w:bidi="ar-SA"/>
    </w:rPr>
  </w:style>
  <w:style w:type="paragraph" w:customStyle="1" w:styleId="1242">
    <w:name w:val="样式 1149 10 磅"/>
    <w:pPr>
      <w:widowControl w:val="0"/>
      <w:jc w:val="both"/>
    </w:pPr>
    <w:rPr>
      <w:rFonts w:ascii="Times New Roman" w:eastAsia="Arial" w:cs="Times New Roman" w:hAnsi="Times New Roman"/>
      <w:kern w:val="2"/>
      <w:sz w:val="21"/>
      <w:szCs w:val="21"/>
      <w:lang w:val="en-US" w:eastAsia="zh-CN" w:bidi="ar-SA"/>
    </w:rPr>
  </w:style>
  <w:style w:type="paragraph" w:customStyle="1" w:styleId="1243">
    <w:name w:val="样式 1150 10 磅"/>
    <w:next w:val="1237"/>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四号"/>
    <w:pPr>
      <w:widowControl w:val="0"/>
      <w:snapToGrid w:val="0"/>
      <w:spacing w:line="600" w:lineRule="exact"/>
      <w:jc w:val="both"/>
    </w:pPr>
    <w:rPr>
      <w:rFonts w:ascii="宋体" w:eastAsia="Arial" w:cs="Times New Roman" w:hAnsi="宋体"/>
      <w:sz w:val="28"/>
      <w:szCs w:val="21"/>
      <w:lang w:val="en-US" w:eastAsia="zh-CN" w:bidi="ar-SA"/>
    </w:rPr>
  </w:style>
  <w:style w:type="paragraph" w:customStyle="1" w:styleId="1245">
    <w:name w:val="样式 1151 10 磅"/>
    <w:rPr>
      <w:rFonts w:ascii="仿宋" w:eastAsia="仿宋" w:cs="仿宋"/>
      <w:color w:val="000000"/>
      <w:sz w:val="20"/>
      <w:szCs w:val="20"/>
      <w:lang w:val="en-US" w:eastAsia="zh-CN" w:bidi="ar-SA"/>
    </w:rPr>
  </w:style>
  <w:style w:type="paragraph" w:customStyle="1" w:styleId="1246">
    <w:name w:val="样式 7 三号"/>
    <w:pPr>
      <w:keepNext/>
      <w:keepLines/>
      <w:widowControl w:val="0"/>
      <w:spacing w:before="60" w:after="60" w:line="360" w:lineRule="auto"/>
      <w:ind w:firstLineChars="200" w:firstLine="200"/>
      <w:jc w:val="both"/>
      <w:outlineLvl w:val="2"/>
    </w:pPr>
    <w:rPr>
      <w:rFonts w:ascii="Times New Roman" w:eastAsia="Tms Rmn" w:cs="Helv" w:hAnsi="Times New Roman"/>
      <w:b/>
      <w:bCs/>
      <w:kern w:val="2"/>
      <w:sz w:val="32"/>
      <w:szCs w:val="32"/>
      <w:lang w:val="en-US" w:eastAsia="zh-CN" w:bidi="ar-SA"/>
    </w:rPr>
  </w:style>
  <w:style w:type="paragraph" w:customStyle="1" w:styleId="1247">
    <w:name w:val="样式 小五"/>
    <w:pPr>
      <w:widowControl w:val="0"/>
      <w:tabs>
        <w:tab w:val="center" w:pos="4153"/>
        <w:tab w:val="right" w:pos="8306"/>
      </w:tabs>
      <w:snapToGrid w:val="0"/>
    </w:pPr>
    <w:rPr>
      <w:rFonts w:ascii="等线" w:eastAsia="等线" w:cs="Arial"/>
      <w:kern w:val="2"/>
      <w:sz w:val="18"/>
      <w:szCs w:val="18"/>
      <w:lang w:val="en-US" w:eastAsia="zh-CN" w:bidi="ar-SA"/>
    </w:rPr>
  </w:style>
  <w:style w:type="paragraph" w:customStyle="1" w:styleId="1248">
    <w:name w:val="样式 1 小五"/>
    <w:pPr>
      <w:widowControl w:val="0"/>
      <w:tabs>
        <w:tab w:val="center" w:pos="4153"/>
        <w:tab w:val="right" w:pos="8306"/>
      </w:tabs>
      <w:snapToGrid w:val="0"/>
    </w:pPr>
    <w:rPr>
      <w:rFonts w:ascii="等线" w:eastAsia="等线" w:cs="Arial"/>
      <w:kern w:val="2"/>
      <w:sz w:val="18"/>
      <w:szCs w:val="18"/>
      <w:lang w:val="en-US" w:eastAsia="zh-CN" w:bidi="ar-SA"/>
    </w:rPr>
  </w:style>
  <w:style w:type="paragraph" w:customStyle="1" w:styleId="1249">
    <w:name w:val="样式 1 二号"/>
    <w:pPr>
      <w:keepNext/>
      <w:keepLines/>
      <w:widowControl w:val="0"/>
      <w:spacing w:before="240" w:after="240" w:line="360" w:lineRule="auto"/>
      <w:jc w:val="center"/>
      <w:outlineLvl w:val="0"/>
    </w:pPr>
    <w:rPr>
      <w:rFonts w:ascii="Symbol" w:eastAsia="仿宋" w:cs="Helvetica" w:hAnsi="Symbol"/>
      <w:b/>
      <w:bCs/>
      <w:kern w:val="44"/>
      <w:sz w:val="44"/>
      <w:szCs w:val="44"/>
      <w:lang w:val="en-US" w:eastAsia="zh-CN" w:bidi="ar-SA"/>
    </w:rPr>
  </w:style>
  <w:style w:type="paragraph" w:customStyle="1" w:styleId="1250">
    <w:name w:val="样式 2 小二"/>
    <w:pPr>
      <w:keepNext/>
      <w:keepLines/>
      <w:widowControl w:val="0"/>
      <w:adjustRightInd w:val="0"/>
      <w:snapToGrid w:val="0"/>
      <w:ind w:firstLineChars="200" w:firstLine="200"/>
      <w:jc w:val="both"/>
      <w:outlineLvl w:val="1"/>
    </w:pPr>
    <w:rPr>
      <w:rFonts w:ascii="仿宋" w:eastAsia="仿宋" w:cs="Times New Roman"/>
      <w:b/>
      <w:bCs/>
      <w:kern w:val="2"/>
      <w:sz w:val="36"/>
      <w:szCs w:val="32"/>
      <w:lang w:val="en-US" w:eastAsia="zh-CN" w:bidi="ar-SA"/>
    </w:rPr>
  </w:style>
  <w:style w:type="paragraph" w:customStyle="1" w:styleId="1251">
    <w:name w:val="样式 4 小三"/>
    <w:pPr>
      <w:widowControl w:val="0"/>
      <w:ind w:firstLineChars="200" w:firstLine="200"/>
      <w:jc w:val="both"/>
    </w:pPr>
    <w:rPr>
      <w:rFonts w:ascii="Times New Roman" w:eastAsia="仿宋" w:cs="Times New Roman" w:hAnsi="Times New Roman"/>
      <w:kern w:val="2"/>
      <w:sz w:val="30"/>
      <w:szCs w:val="21"/>
      <w:lang w:val="en-US" w:eastAsia="zh-CN" w:bidi="ar-SA"/>
    </w:rPr>
  </w:style>
  <w:style w:type="paragraph" w:customStyle="1" w:styleId="1252">
    <w:name w:val="样式 1152 10 磅"/>
    <w:pPr>
      <w:widowControl w:val="0"/>
      <w:jc w:val="both"/>
    </w:pPr>
    <w:rPr>
      <w:rFonts w:ascii="Times New Roman" w:eastAsia="Arial" w:cs="Times New Roman" w:hAnsi="Times New Roman"/>
      <w:kern w:val="2"/>
      <w:sz w:val="21"/>
      <w:szCs w:val="21"/>
      <w:lang w:val="en-US" w:eastAsia="zh-CN" w:bidi="ar-SA"/>
    </w:rPr>
  </w:style>
  <w:style w:type="paragraph" w:customStyle="1" w:styleId="1253">
    <w:name w:val="样式 1 四号"/>
    <w:pPr>
      <w:widowControl w:val="0"/>
      <w:snapToGrid w:val="0"/>
      <w:spacing w:line="600" w:lineRule="exact"/>
      <w:jc w:val="both"/>
    </w:pPr>
    <w:rPr>
      <w:rFonts w:ascii="宋体" w:eastAsia="Arial" w:cs="Times New Roman" w:hAnsi="宋体"/>
      <w:sz w:val="28"/>
      <w:szCs w:val="21"/>
      <w:lang w:val="en-US" w:eastAsia="zh-CN" w:bidi="ar-SA"/>
    </w:rPr>
  </w:style>
  <w:style w:type="paragraph" w:customStyle="1" w:styleId="1254">
    <w:name w:val="样式 8 三号"/>
    <w:pPr>
      <w:keepNext/>
      <w:keepLines/>
      <w:widowControl w:val="0"/>
      <w:spacing w:line="360" w:lineRule="auto"/>
      <w:ind w:firstLineChars="200" w:firstLine="200"/>
      <w:jc w:val="both"/>
      <w:outlineLvl w:val="2"/>
    </w:pPr>
    <w:rPr>
      <w:rFonts w:ascii="仿宋" w:eastAsia="仿宋" w:cs="Helv"/>
      <w:b/>
      <w:bCs/>
      <w:kern w:val="2"/>
      <w:sz w:val="32"/>
      <w:szCs w:val="32"/>
      <w:lang w:val="en-US" w:eastAsia="zh-CN" w:bidi="ar-SA"/>
    </w:rPr>
  </w:style>
  <w:style w:type="paragraph" w:customStyle="1" w:styleId="1255">
    <w:name w:val="独立格式"/>
    <w:next w:val="29"/>
    <w:pPr>
      <w:widowControl w:val="0"/>
      <w:spacing w:line="360" w:lineRule="auto"/>
      <w:jc w:val="center"/>
    </w:pPr>
    <w:rPr>
      <w:rFonts w:ascii="Times New Roman" w:eastAsia="System" w:cs="Times New Roman" w:hAnsi="Times New Roman"/>
      <w:kern w:val="2"/>
      <w:sz w:val="32"/>
      <w:szCs w:val="52"/>
      <w:lang w:val="en-US" w:eastAsia="zh-CN" w:bidi="ar-SA"/>
    </w:rPr>
  </w:style>
  <w:style w:type="paragraph" w:customStyle="1" w:styleId="1256">
    <w:name w:val="样式 2 小五"/>
    <w:pPr>
      <w:widowControl w:val="0"/>
      <w:tabs>
        <w:tab w:val="center" w:pos="4153"/>
        <w:tab w:val="right" w:pos="8306"/>
      </w:tabs>
      <w:snapToGrid w:val="0"/>
    </w:pPr>
    <w:rPr>
      <w:rFonts w:ascii="等线" w:eastAsia="等线" w:cs="Arial"/>
      <w:kern w:val="2"/>
      <w:sz w:val="18"/>
      <w:szCs w:val="18"/>
      <w:lang w:val="en-US" w:eastAsia="zh-CN" w:bidi="ar-SA"/>
    </w:rPr>
  </w:style>
  <w:style w:type="paragraph" w:customStyle="1" w:styleId="1257">
    <w:name w:val="样式 3 小五"/>
    <w:pPr>
      <w:widowControl w:val="0"/>
      <w:tabs>
        <w:tab w:val="center" w:pos="4153"/>
        <w:tab w:val="right" w:pos="8306"/>
      </w:tabs>
      <w:snapToGrid w:val="0"/>
    </w:pPr>
    <w:rPr>
      <w:rFonts w:ascii="等线" w:eastAsia="等线" w:cs="Arial"/>
      <w:kern w:val="2"/>
      <w:sz w:val="18"/>
      <w:szCs w:val="18"/>
      <w:lang w:val="en-US" w:eastAsia="zh-CN" w:bidi="ar-SA"/>
    </w:rPr>
  </w:style>
  <w:style w:type="paragraph" w:customStyle="1" w:styleId="1258">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9 三号"/>
    <w:pPr>
      <w:keepNext/>
      <w:keepLines/>
      <w:widowControl w:val="0"/>
      <w:spacing w:before="260" w:after="260" w:line="415" w:lineRule="auto"/>
      <w:jc w:val="both"/>
      <w:outlineLvl w:val="1"/>
    </w:pPr>
    <w:rPr>
      <w:rFonts w:ascii="Cambria" w:eastAsia="宋体" w:cs="Mongolian Baiti" w:hAnsi="Cambria"/>
      <w:b/>
      <w:bCs/>
      <w:kern w:val="2"/>
      <w:sz w:val="32"/>
      <w:szCs w:val="32"/>
      <w:lang w:val="en-US" w:eastAsia="zh-CN" w:bidi="ar-SA"/>
    </w:rPr>
  </w:style>
  <w:style w:type="paragraph" w:customStyle="1" w:styleId="132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235 10 磅"/>
    <w:pPr>
      <w:widowControl w:val="0"/>
      <w:jc w:val="both"/>
    </w:pPr>
    <w:rPr>
      <w:rFonts w:ascii="Calibri" w:eastAsia="宋体" w:cs="Calibri" w:hAnsi="Calibri"/>
      <w:kern w:val="2"/>
      <w:sz w:val="21"/>
      <w:szCs w:val="21"/>
      <w:lang w:val="en-US" w:eastAsia="zh-CN" w:bidi="ar-SA"/>
    </w:rPr>
  </w:style>
  <w:style w:type="paragraph" w:customStyle="1" w:styleId="134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0 三号"/>
    <w:basedOn w:val="0"/>
    <w:pPr>
      <w:keepNext/>
      <w:keepLines/>
      <w:widowControl w:val="0"/>
      <w:spacing w:before="260" w:after="260" w:line="415" w:lineRule="auto"/>
      <w:jc w:val="both"/>
      <w:outlineLvl w:val="1"/>
    </w:pPr>
    <w:rPr>
      <w:rFonts w:ascii="Cambria" w:eastAsia="宋体" w:cs="Mongolian Baiti" w:hAnsi="Cambria"/>
      <w:b/>
      <w:bCs/>
      <w:kern w:val="2"/>
      <w:sz w:val="32"/>
      <w:szCs w:val="32"/>
      <w:lang w:val="en-US" w:eastAsia="zh-CN" w:bidi="ar-SA"/>
    </w:rPr>
  </w:style>
  <w:style w:type="paragraph" w:customStyle="1" w:styleId="1347">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245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2.bmp"/><Relationship Id="rId7" Type="http://schemas.openxmlformats.org/officeDocument/2006/relationships/image" Target="media/5.bmp"/><Relationship Id="rId8" Type="http://schemas.openxmlformats.org/officeDocument/2006/relationships/image" Target="media/8.bmp"/><Relationship Id="rId9" Type="http://schemas.openxmlformats.org/officeDocument/2006/relationships/image" Target="media/11.bmp"/><Relationship Id="rId10" Type="http://schemas.openxmlformats.org/officeDocument/2006/relationships/image" Target="media/14.bmp"/><Relationship Id="rId11" Type="http://schemas.openxmlformats.org/officeDocument/2006/relationships/image" Target="media/17.png"/><Relationship Id="rId12" Type="http://schemas.openxmlformats.org/officeDocument/2006/relationships/image" Target="media/20.png"/><Relationship Id="rId13" Type="http://schemas.openxmlformats.org/officeDocument/2006/relationships/image" Target="media/23.png"/><Relationship Id="rId14" Type="http://schemas.openxmlformats.org/officeDocument/2006/relationships/image" Target="media/26.png"/><Relationship Id="rId15" Type="http://schemas.openxmlformats.org/officeDocument/2006/relationships/image" Target="media/29.png"/><Relationship Id="rId16" Type="http://schemas.openxmlformats.org/officeDocument/2006/relationships/image" Target="media/32.png"/><Relationship Id="rId17" Type="http://schemas.openxmlformats.org/officeDocument/2006/relationships/image" Target="media/35.png"/><Relationship Id="rId18" Type="http://schemas.openxmlformats.org/officeDocument/2006/relationships/image" Target="media/38.png"/><Relationship Id="rId19" Type="http://schemas.openxmlformats.org/officeDocument/2006/relationships/image" Target="media/41.png"/><Relationship Id="rId20" Type="http://schemas.openxmlformats.org/officeDocument/2006/relationships/image" Target="media/44.png"/><Relationship Id="rId21" Type="http://schemas.openxmlformats.org/officeDocument/2006/relationships/styles" Target="styles.xml"/><Relationship Id="rId22" Type="http://schemas.openxmlformats.org/officeDocument/2006/relationships/numbering" Target="numbering.xml"/><Relationship Id="rId23" Type="http://schemas.openxmlformats.org/officeDocument/2006/relationships/fontTable" Target="fontTable.xml"/></Relationships>
</file>

<file path=docProps/app.xml><?xml version="1.0" encoding="utf-8"?>
<Properties xmlns="http://schemas.openxmlformats.org/officeDocument/2006/extended-properties">
  <Template>Normal.eit</Template>
  <TotalTime>503</TotalTime>
  <Application>Yozo_Office</Application>
  <Pages>46</Pages>
  <Words>9151</Words>
  <Characters>11447</Characters>
  <Lines>2534</Lines>
  <Paragraphs>1024</Paragraphs>
  <CharactersWithSpaces>11849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海关总署2019年度</dc:title>
  <dc:creator>lu_wei</dc:creator>
  <cp:lastModifiedBy>安国强</cp:lastModifiedBy>
  <cp:revision>8</cp:revision>
  <cp:lastPrinted>2023-08-09T02:53:00Z</cp:lastPrinted>
  <dcterms:created xsi:type="dcterms:W3CDTF">2025-08-18T09:17:00Z</dcterms:created>
  <dcterms:modified xsi:type="dcterms:W3CDTF">2026-08-17T06:40:45Z</dcterms:modified>
</cp:coreProperties>
</file>