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bookmarkStart w:id="0" w:name="_GoBack"/>
      <w:bookmarkEnd w:id="0"/>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lang w:bidi="mn-Mong-CN"/>
        </w:rPr>
        <w:drawing>
          <wp:inline distT="0" distB="0" distL="0" distR="0">
            <wp:extent cx="3070860" cy="307086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3070860" cy="3070860"/>
                    </a:xfrm>
                    <a:prstGeom prst="rect"/>
                    <a:noFill/>
                    <a:ln w="9525" cmpd="sng" cap="flat">
                      <a:noFill/>
                      <a:prstDash val="solid"/>
                      <a:miter/>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乌拉特海关部门预算</w:t>
      </w:r>
    </w:p>
    <w:p>
      <w:pPr>
        <w:jc w:val="center"/>
        <w:rPr>
          <w:rFonts w:ascii="Times New Roman" w:hAnsi="Times New Roman"/>
          <w:sz w:val="44"/>
          <w:szCs w:val="44"/>
        </w:rPr>
      </w:pPr>
      <w:r>
        <w:rPr>
          <w:rFonts w:ascii="Times New Roman" w:hAnsi="Times New Roman" w:hint="eastAsia"/>
          <w:sz w:val="44"/>
          <w:szCs w:val="44"/>
        </w:rPr>
        <w:t>2024年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乌拉特</w:t>
      </w:r>
      <w:r>
        <w:rPr>
          <w:rFonts w:ascii="宋体" w:hint="eastAsia"/>
          <w:b/>
          <w:sz w:val="44"/>
          <w:szCs w:val="44"/>
        </w:rPr>
        <w:t>海关单位概况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二、乌拉特海关单位构成情况</w:t>
      </w:r>
      <w:r>
        <w:rPr>
          <w:rFonts w:hint="eastAsia"/>
          <w:sz w:val="36"/>
          <w:szCs w:val="36"/>
        </w:rPr>
        <w:t xml:space="preserve"> </w:t>
      </w:r>
    </w:p>
    <w:p>
      <w:pPr>
        <w:rPr>
          <w:b/>
          <w:sz w:val="44"/>
          <w:szCs w:val="44"/>
        </w:rPr>
      </w:pPr>
      <w:r>
        <w:rPr>
          <w:rFonts w:ascii="宋体" w:hint="eastAsia"/>
          <w:b/>
          <w:sz w:val="44"/>
          <w:szCs w:val="44"/>
        </w:rPr>
        <w:t>第二部分</w:t>
      </w:r>
      <w:r>
        <w:rPr>
          <w:rFonts w:hint="eastAsia"/>
          <w:b/>
          <w:sz w:val="44"/>
          <w:szCs w:val="44"/>
        </w:rPr>
        <w:t xml:space="preserve">  乌拉特</w:t>
      </w:r>
      <w:r>
        <w:rPr>
          <w:rFonts w:ascii="宋体" w:hint="eastAsia"/>
          <w:b/>
          <w:sz w:val="44"/>
          <w:szCs w:val="44"/>
        </w:rPr>
        <w:t>海关</w:t>
      </w:r>
      <w:r>
        <w:rPr>
          <w:b/>
          <w:sz w:val="44"/>
          <w:szCs w:val="44"/>
        </w:rPr>
        <w:t>202</w:t>
      </w:r>
      <w:r>
        <w:rPr>
          <w:rFonts w:hint="eastAsia"/>
          <w:b/>
          <w:sz w:val="44"/>
          <w:szCs w:val="44"/>
        </w:rPr>
        <w:t>4</w:t>
      </w:r>
      <w:r>
        <w:rPr>
          <w:rFonts w:ascii="宋体" w:hint="eastAsia"/>
          <w:b/>
          <w:sz w:val="44"/>
          <w:szCs w:val="44"/>
        </w:rPr>
        <w:t>年部门预算表</w:t>
      </w:r>
    </w:p>
    <w:p>
      <w:pPr>
        <w:rPr>
          <w:color w:val="3366FF"/>
          <w:sz w:val="36"/>
          <w:szCs w:val="36"/>
        </w:rPr>
      </w:pPr>
      <w:r>
        <w:rPr>
          <w:rFonts w:ascii="宋体" w:hint="eastAsia"/>
          <w:sz w:val="36"/>
          <w:szCs w:val="36"/>
        </w:rPr>
        <w:t>一、部门收支总表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四、财政拨款收支总表</w:t>
      </w:r>
    </w:p>
    <w:p>
      <w:pPr>
        <w:rPr>
          <w:sz w:val="36"/>
          <w:szCs w:val="36"/>
        </w:rPr>
      </w:pPr>
      <w:r>
        <w:rPr>
          <w:rFonts w:ascii="宋体" w:hint="eastAsia"/>
          <w:sz w:val="36"/>
          <w:szCs w:val="36"/>
        </w:rPr>
        <w:t>五、一般公共预算支出表</w:t>
      </w:r>
    </w:p>
    <w:p>
      <w:pPr>
        <w:rPr>
          <w:color w:val="339966"/>
          <w:sz w:val="36"/>
          <w:szCs w:val="36"/>
        </w:rPr>
      </w:pPr>
      <w:r>
        <w:rPr>
          <w:rFonts w:ascii="宋体" w:hint="eastAsia"/>
          <w:sz w:val="36"/>
          <w:szCs w:val="36"/>
        </w:rPr>
        <w:t>六、一般公共预算基本支出表</w:t>
      </w:r>
    </w:p>
    <w:p>
      <w:pPr>
        <w:rPr>
          <w:sz w:val="36"/>
          <w:szCs w:val="36"/>
        </w:rPr>
      </w:pPr>
      <w:r>
        <w:rPr>
          <w:rFonts w:ascii="宋体" w:hint="eastAsia"/>
          <w:sz w:val="36"/>
          <w:szCs w:val="36"/>
        </w:rPr>
        <w:t>七、政府性基金预算支出表</w:t>
      </w:r>
    </w:p>
    <w:p>
      <w:pPr>
        <w:rPr>
          <w:rFonts w:ascii="宋体"/>
          <w:sz w:val="36"/>
          <w:szCs w:val="36"/>
        </w:rPr>
      </w:pPr>
      <w:r>
        <w:rPr>
          <w:rFonts w:ascii="宋体" w:hint="eastAsia"/>
          <w:sz w:val="36"/>
          <w:szCs w:val="36"/>
        </w:rPr>
        <w:t>八、国有资本经营预算支出表</w:t>
      </w:r>
    </w:p>
    <w:p>
      <w:pPr>
        <w:rPr>
          <w:sz w:val="36"/>
          <w:szCs w:val="36"/>
        </w:rPr>
      </w:pPr>
      <w:r>
        <w:rPr>
          <w:rFonts w:ascii="宋体" w:hint="eastAsia"/>
          <w:sz w:val="36"/>
          <w:szCs w:val="36"/>
        </w:rPr>
        <w:t>九、财政拨款预算“三公”经费支出表</w:t>
      </w:r>
    </w:p>
    <w:p>
      <w:pPr>
        <w:ind w:left="2164" w:hangingChars="492" w:hanging="2164"/>
        <w:rPr>
          <w:b/>
          <w:sz w:val="44"/>
          <w:szCs w:val="44"/>
        </w:rPr>
      </w:pPr>
      <w:r>
        <w:rPr>
          <w:rFonts w:ascii="宋体" w:hint="eastAsia"/>
          <w:b/>
          <w:sz w:val="44"/>
          <w:szCs w:val="44"/>
        </w:rPr>
        <w:t>第三部分</w:t>
      </w:r>
      <w:r>
        <w:rPr>
          <w:rFonts w:hint="eastAsia"/>
          <w:b/>
          <w:sz w:val="44"/>
          <w:szCs w:val="44"/>
        </w:rPr>
        <w:t xml:space="preserve">  乌拉特</w:t>
      </w:r>
      <w:r>
        <w:rPr>
          <w:rFonts w:ascii="宋体" w:hint="eastAsia"/>
          <w:b/>
          <w:sz w:val="44"/>
          <w:szCs w:val="44"/>
        </w:rPr>
        <w:t>海关</w:t>
      </w:r>
      <w:r>
        <w:rPr>
          <w:b/>
          <w:sz w:val="44"/>
          <w:szCs w:val="44"/>
        </w:rPr>
        <w:t>202</w:t>
      </w:r>
      <w:r>
        <w:rPr>
          <w:rFonts w:hint="eastAsia"/>
          <w:b/>
          <w:sz w:val="44"/>
          <w:szCs w:val="44"/>
        </w:rPr>
        <w:t>4</w:t>
      </w:r>
      <w:r>
        <w:rPr>
          <w:rFonts w:ascii="宋体" w:hint="eastAsia"/>
          <w:b/>
          <w:sz w:val="44"/>
          <w:szCs w:val="44"/>
        </w:rPr>
        <w:t>年部门预算情况说明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rFonts w:ascii="宋体"/>
          <w:b/>
          <w:sz w:val="44"/>
          <w:szCs w:val="44"/>
        </w:rPr>
        <w:sectPr>
          <w:footerReference w:type="default" r:id="rId3"/>
          <w:pgSz w:w="11906" w:h="16838"/>
          <w:pgMar w:top="1440" w:right="1800" w:bottom="1440" w:left="1800" w:header="851" w:footer="992" w:gutter="0"/>
          <w:pgNumType w:start="1"/>
          <w:docGrid w:type="lines" w:linePitch="312" w:charSpace="0"/>
        </w:sect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乌拉特海关</w:t>
      </w:r>
    </w:p>
    <w:p>
      <w:pPr>
        <w:jc w:val="center"/>
        <w:rPr>
          <w:rFonts w:ascii="Times New Roman" w:hAnsi="Times New Roman"/>
          <w:b/>
          <w:sz w:val="84"/>
          <w:szCs w:val="84"/>
        </w:rPr>
      </w:pPr>
      <w:r>
        <w:rPr>
          <w:rFonts w:ascii="Times New Roman" w:hAnsi="Times New Roman"/>
          <w:b/>
          <w:sz w:val="84"/>
          <w:szCs w:val="84"/>
        </w:rPr>
        <w:t>单位</w:t>
      </w:r>
      <w:r>
        <w:rPr>
          <w:rFonts w:ascii="Times New Roman" w:hAnsi="Times New Roman" w:hint="eastAsia"/>
          <w:b/>
          <w:sz w:val="84"/>
          <w:szCs w:val="84"/>
        </w:rPr>
        <w:t>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r>
        <w:rPr>
          <w:rFonts w:ascii="仿宋" w:eastAsia="仿宋" w:cs="宋体" w:hint="eastAsia"/>
          <w:kern w:val="0"/>
          <w:sz w:val="32"/>
          <w:szCs w:val="32"/>
          <w:lang w:bidi="mn-Mong-CN"/>
        </w:rPr>
        <w:t xml:space="preserve">   </w:t>
      </w:r>
      <w:r>
        <w:rPr>
          <w:rFonts w:ascii="仿宋" w:eastAsia="仿宋" w:cs="宋体"/>
          <w:kern w:val="0"/>
          <w:sz w:val="32"/>
          <w:szCs w:val="32"/>
          <w:lang w:bidi="mn-Mong-CN"/>
        </w:rPr>
        <w:t xml:space="preserve">乌拉特海关成立于2009年8月28日，隶属于呼和浩特海关的正处级海关机构，主要承担巴彦淖尔市的出入境监管、征税、打私、统计及卫生检疫、动植物检疫和商品检验等职责。辖区面积6.4万平方公里，共有两个业务现场，一个是临河区保税物流中心（B型），另一个是甘其毛都口岸（口岸于1992年获批为季节性双边口岸，2007年获批为中蒙双边常年开放口岸）。 </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乌拉特</w:t>
      </w:r>
      <w:r>
        <w:rPr>
          <w:rFonts w:ascii="Times New Roman" w:eastAsia="方正黑体_GBK" w:hAnsi="Times New Roman"/>
          <w:sz w:val="32"/>
          <w:szCs w:val="32"/>
        </w:rPr>
        <w:t>海关单位构成情况</w:t>
      </w:r>
    </w:p>
    <w:p>
      <w:pPr>
        <w:spacing w:line="560" w:lineRule="exact"/>
        <w:ind w:firstLineChars="200" w:firstLine="640"/>
        <w:rPr>
          <w:rFonts w:ascii="Times New Roman" w:eastAsia="方正仿宋_GBK" w:hAnsi="Times New Roman"/>
          <w:sz w:val="32"/>
          <w:szCs w:val="32"/>
        </w:rPr>
      </w:pPr>
      <w:r>
        <w:rPr>
          <w:rFonts w:eastAsia="方正仿宋_GBK"/>
          <w:sz w:val="32"/>
          <w:szCs w:val="32"/>
        </w:rPr>
        <w:t>全国海关实行垂直管理体制。</w:t>
      </w:r>
      <w:r>
        <w:rPr>
          <w:rFonts w:ascii="仿宋" w:eastAsia="仿宋" w:cs="宋体"/>
          <w:kern w:val="0"/>
          <w:sz w:val="32"/>
          <w:szCs w:val="32"/>
          <w:lang w:bidi="mn-Mong-CN"/>
        </w:rPr>
        <w:t>乌拉特海关内设9个科室，分别为办公室、人事政工科、综合业务科、监控科、旅检科、监管一科、监管二科、监管三科、监管四科，核定编制</w:t>
      </w:r>
      <w:r>
        <w:rPr>
          <w:rFonts w:ascii="仿宋" w:eastAsia="仿宋" w:cs="宋体" w:hint="eastAsia"/>
          <w:kern w:val="0"/>
          <w:sz w:val="32"/>
          <w:szCs w:val="32"/>
          <w:lang w:bidi="mn-Mong-CN"/>
        </w:rPr>
        <w:t>91</w:t>
      </w:r>
      <w:r>
        <w:rPr>
          <w:rFonts w:ascii="仿宋" w:eastAsia="仿宋" w:cs="宋体"/>
          <w:kern w:val="0"/>
          <w:sz w:val="32"/>
          <w:szCs w:val="32"/>
          <w:lang w:bidi="mn-Mong-CN"/>
        </w:rPr>
        <w:t>人，在编关员</w:t>
      </w:r>
      <w:r>
        <w:rPr>
          <w:rFonts w:ascii="仿宋" w:eastAsia="仿宋" w:cs="宋体" w:hint="eastAsia"/>
          <w:kern w:val="0"/>
          <w:sz w:val="32"/>
          <w:szCs w:val="32"/>
          <w:lang w:bidi="mn-Mong-CN"/>
        </w:rPr>
        <w:t>90</w:t>
      </w:r>
      <w:r>
        <w:rPr>
          <w:rFonts w:ascii="仿宋" w:eastAsia="仿宋" w:cs="宋体"/>
          <w:kern w:val="0"/>
          <w:sz w:val="32"/>
          <w:szCs w:val="32"/>
          <w:lang w:bidi="mn-Mong-CN"/>
        </w:rPr>
        <w:t>人。乌拉特海关缉私分局内设3个科室，分别为办公室、法制科、缉私科，在编警员</w:t>
      </w:r>
      <w:r>
        <w:rPr>
          <w:rFonts w:ascii="仿宋" w:eastAsia="仿宋" w:cs="宋体" w:hint="eastAsia"/>
          <w:kern w:val="0"/>
          <w:sz w:val="32"/>
          <w:szCs w:val="32"/>
          <w:lang w:bidi="mn-Mong-CN"/>
        </w:rPr>
        <w:t>10</w:t>
      </w:r>
      <w:r>
        <w:rPr>
          <w:rFonts w:ascii="仿宋" w:eastAsia="仿宋" w:cs="宋体"/>
          <w:kern w:val="0"/>
          <w:sz w:val="32"/>
          <w:szCs w:val="32"/>
          <w:lang w:bidi="mn-Mong-CN"/>
        </w:rPr>
        <w:t>人。</w:t>
      </w:r>
    </w:p>
    <w:p>
      <w:pPr>
        <w:jc w:val="center"/>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pPr>
        <w:jc w:val="center"/>
        <w:rPr>
          <w:rFonts w:ascii="Times New Roman" w:hAnsi="Times New Roman"/>
          <w:b/>
          <w:sz w:val="72"/>
          <w:szCs w:val="72"/>
        </w:rPr>
      </w:pPr>
      <w:r>
        <w:rPr>
          <w:rFonts w:ascii="Times New Roman" w:hAnsi="Times New Roman" w:hint="eastAsia"/>
          <w:b/>
          <w:sz w:val="72"/>
          <w:szCs w:val="72"/>
        </w:rPr>
        <w:t>乌拉特海关</w:t>
      </w:r>
      <w:r>
        <w:rPr>
          <w:rFonts w:ascii="Times New Roman" w:hAnsi="Times New Roman"/>
          <w:b/>
          <w:sz w:val="72"/>
          <w:szCs w:val="72"/>
        </w:rPr>
        <w:t>202</w:t>
      </w:r>
      <w:r>
        <w:rPr>
          <w:rFonts w:ascii="Times New Roman" w:hAnsi="Times New Roman" w:hint="eastAsia"/>
          <w:b/>
          <w:sz w:val="72"/>
          <w:szCs w:val="72"/>
        </w:rPr>
        <w:t>4年</w:t>
      </w:r>
    </w:p>
    <w:p>
      <w:pPr>
        <w:jc w:val="center"/>
        <w:rPr>
          <w:rFonts w:ascii="Times New Roman" w:hAnsi="Times New Roman"/>
          <w:szCs w:val="21"/>
        </w:rPr>
      </w:pPr>
      <w:r>
        <w:rPr>
          <w:rFonts w:ascii="Times New Roman" w:hAnsi="Times New Roman" w:hint="eastAsia"/>
          <w:b/>
          <w:sz w:val="72"/>
          <w:szCs w:val="72"/>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center"/>
        <w:tblW w:w="1585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7"/>
        <w:gridCol w:w="3260"/>
        <w:gridCol w:w="3827"/>
        <w:gridCol w:w="5078"/>
      </w:tblGrid>
      <w:tr>
        <w:trPr>
          <w:trHeight w:val="319"/>
        </w:trPr>
        <w:tc>
          <w:tcPr>
            <w:tcW w:w="10774"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507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585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单位名称：中华人民共和国乌拉特海关</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507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890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50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2891.88</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一、一般公共服务支出</w:t>
            </w: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4026.58</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二、</w:t>
            </w:r>
            <w:r>
              <w:rPr>
                <w:rFonts w:ascii="Times New Roman" w:cs="宋体" w:hAnsi="Times New Roman" w:hint="eastAsia"/>
                <w:color w:val="000000"/>
                <w:kern w:val="0"/>
                <w:sz w:val="20"/>
                <w:szCs w:val="20"/>
              </w:rPr>
              <w:t>公共安全支出</w:t>
            </w: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254.21</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三、社会保障和就业支出</w:t>
            </w: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211.57</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四、卫生</w:t>
            </w:r>
            <w:r>
              <w:rPr>
                <w:rFonts w:ascii="Times New Roman" w:cs="宋体" w:hAnsi="Times New Roman"/>
                <w:color w:val="000000"/>
                <w:kern w:val="0"/>
                <w:sz w:val="20"/>
                <w:szCs w:val="20"/>
              </w:rPr>
              <w:t>健康支出</w:t>
            </w: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70.62</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五、住房保障支出</w:t>
            </w: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291.24</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hint="eastAsia"/>
                <w:color w:val="000000"/>
                <w:sz w:val="22"/>
              </w:rPr>
              <w:t>1827.44</w:t>
            </w: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507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4719.32</w:t>
            </w:r>
          </w:p>
        </w:tc>
        <w:tc>
          <w:tcPr>
            <w:tcW w:w="382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本年支出合计</w:t>
            </w:r>
          </w:p>
        </w:tc>
        <w:tc>
          <w:tcPr>
            <w:tcW w:w="507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4854.22</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结转下年（非财政拨款）</w:t>
            </w:r>
          </w:p>
        </w:tc>
        <w:tc>
          <w:tcPr>
            <w:tcW w:w="507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134.9</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507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收    入    总    计</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4854.22</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支</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出</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总</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计</w:t>
            </w:r>
          </w:p>
        </w:tc>
        <w:tc>
          <w:tcPr>
            <w:tcW w:w="5078"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4854.22</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center"/>
        <w:tblW w:w="1380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66"/>
        <w:gridCol w:w="1360"/>
        <w:gridCol w:w="1266"/>
        <w:gridCol w:w="880"/>
        <w:gridCol w:w="880"/>
        <w:gridCol w:w="1116"/>
        <w:gridCol w:w="1120"/>
        <w:gridCol w:w="1139"/>
        <w:gridCol w:w="1134"/>
        <w:gridCol w:w="1087"/>
        <w:gridCol w:w="1266"/>
        <w:gridCol w:w="1290"/>
      </w:tblGrid>
      <w:tr>
        <w:trPr>
          <w:trHeight w:val="270"/>
        </w:trPr>
        <w:tc>
          <w:tcPr>
            <w:tcW w:w="126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6"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804"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5652" w:type="dxa"/>
            <w:gridSpan w:val="5"/>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r>
              <w:rPr>
                <w:rFonts w:ascii="Times New Roman" w:cs="宋体" w:hAnsi="Times New Roman" w:hint="eastAsia"/>
                <w:color w:val="000000"/>
                <w:kern w:val="0"/>
                <w:sz w:val="18"/>
                <w:szCs w:val="18"/>
              </w:rPr>
              <w:t>单位名称：中华人民共和国乌拉特海关</w:t>
            </w:r>
          </w:p>
        </w:tc>
        <w:tc>
          <w:tcPr>
            <w:tcW w:w="11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270"/>
        </w:trPr>
        <w:tc>
          <w:tcPr>
            <w:tcW w:w="126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上年结转</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附属单位上缴收入</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使用非财政拨款结余</w:t>
            </w:r>
          </w:p>
        </w:tc>
      </w:tr>
      <w:tr>
        <w:trPr>
          <w:trHeight w:val="480"/>
        </w:trPr>
        <w:tc>
          <w:tcPr>
            <w:tcW w:w="126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66"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2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66" w:type="dxa"/>
            <w:tcBorders>
              <w:top w:val="nil"/>
              <w:left w:val="single" w:sz="4" w:space="0" w:color="auto"/>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4</w:t>
            </w:r>
            <w:r>
              <w:rPr>
                <w:rFonts w:ascii="Times New Roman" w:cs="宋体" w:hAnsi="Times New Roman" w:hint="eastAsia"/>
                <w:kern w:val="0"/>
                <w:sz w:val="20"/>
                <w:szCs w:val="20"/>
              </w:rPr>
              <w:t>854.22</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134.9</w:t>
            </w:r>
          </w:p>
        </w:tc>
        <w:tc>
          <w:tcPr>
            <w:tcW w:w="126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2891</w:t>
            </w:r>
            <w:r>
              <w:rPr>
                <w:rFonts w:ascii="Times New Roman" w:cs="宋体" w:hAnsi="Times New Roman" w:hint="eastAsia"/>
                <w:kern w:val="0"/>
                <w:sz w:val="20"/>
                <w:szCs w:val="20"/>
              </w:rPr>
              <w:t>.</w:t>
            </w:r>
            <w:r>
              <w:rPr>
                <w:rFonts w:ascii="Times New Roman" w:cs="宋体" w:hAnsi="Times New Roman"/>
                <w:kern w:val="0"/>
                <w:sz w:val="20"/>
                <w:szCs w:val="20"/>
              </w:rPr>
              <w:t>88</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126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1827</w:t>
            </w:r>
            <w:r>
              <w:rPr>
                <w:rFonts w:ascii="Times New Roman" w:cs="宋体" w:hAnsi="Times New Roman" w:hint="eastAsia"/>
                <w:kern w:val="0"/>
                <w:sz w:val="20"/>
                <w:szCs w:val="20"/>
              </w:rPr>
              <w:t>.</w:t>
            </w:r>
            <w:r>
              <w:rPr>
                <w:rFonts w:ascii="Times New Roman" w:cs="宋体" w:hAnsi="Times New Roman"/>
                <w:kern w:val="0"/>
                <w:sz w:val="20"/>
                <w:szCs w:val="20"/>
              </w:rPr>
              <w:t>44</w:t>
            </w:r>
          </w:p>
        </w:tc>
        <w:tc>
          <w:tcPr>
            <w:tcW w:w="129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048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9"/>
        <w:gridCol w:w="2380"/>
        <w:gridCol w:w="1078"/>
        <w:gridCol w:w="1332"/>
        <w:gridCol w:w="1173"/>
        <w:gridCol w:w="993"/>
        <w:gridCol w:w="1134"/>
        <w:gridCol w:w="1275"/>
      </w:tblGrid>
      <w:tr>
        <w:trPr>
          <w:trHeight w:val="319"/>
        </w:trPr>
        <w:tc>
          <w:tcPr>
            <w:tcW w:w="10484" w:type="dxa"/>
            <w:gridSpan w:val="8"/>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0484"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5909" w:type="dxa"/>
            <w:gridSpan w:val="4"/>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36"/>
                <w:szCs w:val="36"/>
              </w:rPr>
            </w:pPr>
            <w:r>
              <w:rPr>
                <w:rFonts w:ascii="Times New Roman" w:cs="宋体" w:hAnsi="Times New Roman" w:hint="eastAsia"/>
                <w:color w:val="000000"/>
                <w:kern w:val="0"/>
                <w:sz w:val="18"/>
                <w:szCs w:val="18"/>
              </w:rPr>
              <w:t>单位名称：中华人民共和国乌拉特海关</w:t>
            </w:r>
          </w:p>
        </w:tc>
        <w:tc>
          <w:tcPr>
            <w:tcW w:w="117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402" w:type="dxa"/>
            <w:gridSpan w:val="3"/>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22"/>
              </w:rPr>
              <w:t>　</w:t>
            </w:r>
            <w:r>
              <w:rPr>
                <w:rFonts w:ascii="Times New Roman" w:cs="宋体" w:hAnsi="Times New Roman" w:hint="eastAsia"/>
                <w:color w:val="000000"/>
                <w:kern w:val="0"/>
                <w:sz w:val="18"/>
                <w:szCs w:val="18"/>
              </w:rPr>
              <w:t xml:space="preserve"> 单位：万元 </w:t>
            </w:r>
          </w:p>
        </w:tc>
      </w:tr>
      <w:tr>
        <w:trPr>
          <w:trHeight w:val="540"/>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科目代码 </w:t>
            </w:r>
          </w:p>
        </w:tc>
        <w:tc>
          <w:tcPr>
            <w:tcW w:w="238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科目名称 </w:t>
            </w:r>
          </w:p>
        </w:tc>
        <w:tc>
          <w:tcPr>
            <w:tcW w:w="1078"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合计 </w:t>
            </w:r>
          </w:p>
        </w:tc>
        <w:tc>
          <w:tcPr>
            <w:tcW w:w="1332"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基本支出 </w:t>
            </w:r>
          </w:p>
        </w:tc>
        <w:tc>
          <w:tcPr>
            <w:tcW w:w="117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项目支出 </w:t>
            </w:r>
          </w:p>
        </w:tc>
        <w:tc>
          <w:tcPr>
            <w:tcW w:w="9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上缴上级支出 </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事业单位经营支出 </w:t>
            </w:r>
          </w:p>
        </w:tc>
        <w:tc>
          <w:tcPr>
            <w:tcW w:w="1275"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对附属单位补助支出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一般公共服务支出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4026.58</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1633.64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2392.94</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20109</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海关事务</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4026.58</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1633.64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2392.94</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1633.64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1633.64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2010902</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1962.34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1962.34</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2010905</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缉私办案</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2010909</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海关关务</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335.41</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335.41</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海关监管</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37.69</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37.69</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2010912</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检验检疫</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55.5</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55.5</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公共安全支出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254.21</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194.4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59.81</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20410</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缉私警察</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254.21</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194.4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59.81</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194.4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194.4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2041006</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6.4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6.4</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2041007</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缉私业务</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53.41</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53.41</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208</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社会保障和就业支出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211.57</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211.57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20805</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行政事业单位养老支出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211.57</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211.57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2080505</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机关事业单位基本养老保险缴费支出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139</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139</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2080506</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机关事业单位职业年金缴费支出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72.57</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72.57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210</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卫生健康支出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70.62</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70.62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21011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行政事业单位医疗</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70.62</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70.62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2"/>
              </w:rPr>
            </w:pPr>
            <w:r>
              <w:rPr>
                <w:rFonts w:hint="eastAsia"/>
                <w:color w:val="000000"/>
                <w:sz w:val="22"/>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行政单位医疗</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52.17</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52.17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2101103</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公务员医疗补助</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16.77</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16.77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2101199</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其他行政事业单位医疗支出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1.68</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1.68</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221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住房保障支出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291.24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291.24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22102</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住房改革支出</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291.24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291.24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2210201</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住房公积金</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164.24</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164.24</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2210203</w:t>
            </w:r>
          </w:p>
        </w:tc>
        <w:tc>
          <w:tcPr>
            <w:tcW w:w="2380"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购房补贴</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127</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127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0</w:t>
            </w:r>
          </w:p>
        </w:tc>
        <w:tc>
          <w:tcPr>
            <w:tcW w:w="99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r>
      <w:tr>
        <w:trPr>
          <w:trHeight w:val="360"/>
        </w:trPr>
        <w:tc>
          <w:tcPr>
            <w:tcW w:w="3499"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合      计</w:t>
            </w:r>
          </w:p>
        </w:tc>
        <w:tc>
          <w:tcPr>
            <w:tcW w:w="107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4854.22</w:t>
            </w:r>
          </w:p>
        </w:tc>
        <w:tc>
          <w:tcPr>
            <w:tcW w:w="133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2401.47</w:t>
            </w:r>
          </w:p>
        </w:tc>
        <w:tc>
          <w:tcPr>
            <w:tcW w:w="11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2452.75</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bl>
    <w:p>
      <w:pPr>
        <w:widowControl/>
        <w:jc w:val="righ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4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8"/>
        <w:gridCol w:w="4155"/>
        <w:gridCol w:w="108"/>
        <w:gridCol w:w="2585"/>
        <w:gridCol w:w="400"/>
        <w:gridCol w:w="3853"/>
        <w:gridCol w:w="108"/>
        <w:gridCol w:w="2585"/>
        <w:gridCol w:w="108"/>
      </w:tblGrid>
      <w:tr>
        <w:trPr>
          <w:trHeight w:val="319"/>
          <w:gridAfter w:val="1"/>
          <w:wAfter w:w="108" w:type="dxa"/>
        </w:trPr>
        <w:tc>
          <w:tcPr>
            <w:tcW w:w="11199" w:type="dxa"/>
            <w:gridSpan w:val="6"/>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2693"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40"/>
          <w:gridAfter w:val="1"/>
          <w:wAfter w:w="108" w:type="dxa"/>
        </w:trPr>
        <w:tc>
          <w:tcPr>
            <w:tcW w:w="13892"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60"/>
          <w:gridAfter w:val="1"/>
          <w:wAfter w:w="108" w:type="dxa"/>
        </w:trPr>
        <w:tc>
          <w:tcPr>
            <w:tcW w:w="4253"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单位名称：中华人民共和国乌拉特海关</w:t>
            </w:r>
          </w:p>
        </w:tc>
        <w:tc>
          <w:tcPr>
            <w:tcW w:w="2693"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gridSpan w:val="2"/>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单位：万元</w:t>
            </w:r>
          </w:p>
        </w:tc>
      </w:tr>
      <w:tr>
        <w:trPr>
          <w:trHeight w:val="315"/>
          <w:gridBefore w:val="1"/>
          <w:wBefore w:w="98" w:type="dxa"/>
        </w:trPr>
        <w:tc>
          <w:tcPr>
            <w:tcW w:w="7248" w:type="dxa"/>
            <w:gridSpan w:val="4"/>
            <w:tcBorders>
              <w:top w:val="single" w:sz="8" w:space="0" w:color="auto"/>
              <w:left w:val="single" w:sz="8" w:space="0" w:color="auto"/>
              <w:bottom w:val="single" w:sz="8" w:space="0" w:color="auto"/>
              <w:right w:val="single" w:sz="4" w:space="0" w:color="auto"/>
            </w:tcBorders>
            <w:shd w:val="clear" w:color="auto" w:fill="auto"/>
            <w:vAlign w:val="center"/>
          </w:tcPr>
          <w:p>
            <w:pPr>
              <w:jc w:val="center"/>
              <w:rPr>
                <w:rFonts w:ascii="宋体" w:cs="宋体"/>
                <w:color w:val="000000"/>
                <w:sz w:val="24"/>
                <w:szCs w:val="24"/>
              </w:rPr>
            </w:pPr>
            <w:r>
              <w:rPr>
                <w:rFonts w:hint="eastAsia"/>
                <w:color w:val="000000"/>
              </w:rPr>
              <w:t>收</w:t>
            </w:r>
            <w:r>
              <w:rPr>
                <w:rFonts w:ascii="Times New Roman" w:cs="Times New Roman" w:hAnsi="Times New Roman"/>
                <w:color w:val="000000"/>
              </w:rPr>
              <w:t xml:space="preserve">      </w:t>
            </w:r>
            <w:r>
              <w:rPr>
                <w:rFonts w:hint="eastAsia"/>
                <w:color w:val="000000"/>
              </w:rPr>
              <w:t>入</w:t>
            </w:r>
          </w:p>
        </w:tc>
        <w:tc>
          <w:tcPr>
            <w:tcW w:w="66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24"/>
                <w:szCs w:val="24"/>
              </w:rPr>
            </w:pPr>
            <w:r>
              <w:rPr>
                <w:rFonts w:hint="eastAsia"/>
                <w:color w:val="000000"/>
              </w:rPr>
              <w:t>支</w:t>
            </w:r>
            <w:r>
              <w:rPr>
                <w:rFonts w:ascii="Times New Roman" w:cs="Times New Roman" w:hAnsi="Times New Roman"/>
                <w:color w:val="000000"/>
              </w:rPr>
              <w:t xml:space="preserve">      </w:t>
            </w:r>
            <w:r>
              <w:rPr>
                <w:rFonts w:hint="eastAsia"/>
                <w:color w:val="000000"/>
              </w:rPr>
              <w:t>出</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vAlign w:val="center"/>
          </w:tcPr>
          <w:p>
            <w:pPr>
              <w:jc w:val="center"/>
              <w:rPr>
                <w:rFonts w:ascii="宋体" w:cs="宋体"/>
                <w:color w:val="000000"/>
                <w:sz w:val="24"/>
                <w:szCs w:val="24"/>
              </w:rPr>
            </w:pPr>
            <w:r>
              <w:rPr>
                <w:rFonts w:hint="eastAsia"/>
                <w:color w:val="000000"/>
              </w:rPr>
              <w:t>项目</w:t>
            </w:r>
          </w:p>
        </w:tc>
        <w:tc>
          <w:tcPr>
            <w:tcW w:w="2985" w:type="dxa"/>
            <w:gridSpan w:val="2"/>
            <w:tcBorders>
              <w:top w:val="nil"/>
              <w:left w:val="nil"/>
              <w:bottom w:val="single" w:sz="8" w:space="0" w:color="auto"/>
              <w:right w:val="single" w:sz="4" w:space="0" w:color="auto"/>
            </w:tcBorders>
            <w:shd w:val="clear" w:color="auto" w:fill="auto"/>
            <w:vAlign w:val="center"/>
          </w:tcPr>
          <w:p>
            <w:pPr>
              <w:jc w:val="center"/>
              <w:rPr>
                <w:rFonts w:ascii="宋体" w:cs="宋体"/>
                <w:color w:val="000000"/>
                <w:sz w:val="24"/>
                <w:szCs w:val="24"/>
              </w:rPr>
            </w:pPr>
            <w:r>
              <w:rPr>
                <w:rFonts w:hint="eastAsia"/>
                <w:color w:val="000000"/>
              </w:rPr>
              <w:t>预算数</w:t>
            </w:r>
          </w:p>
        </w:tc>
        <w:tc>
          <w:tcPr>
            <w:tcW w:w="3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24"/>
                <w:szCs w:val="24"/>
              </w:rPr>
            </w:pPr>
            <w:r>
              <w:rPr>
                <w:rFonts w:hint="eastAsia"/>
                <w:color w:val="000000"/>
              </w:rPr>
              <w:t>项目</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24"/>
                <w:szCs w:val="24"/>
              </w:rPr>
            </w:pPr>
            <w:r>
              <w:rPr>
                <w:rFonts w:hint="eastAsia"/>
                <w:color w:val="000000"/>
              </w:rPr>
              <w:t>预算数</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一、本年收入</w:t>
            </w:r>
          </w:p>
        </w:tc>
        <w:tc>
          <w:tcPr>
            <w:tcW w:w="2985" w:type="dxa"/>
            <w:gridSpan w:val="2"/>
            <w:tcBorders>
              <w:top w:val="nil"/>
              <w:left w:val="nil"/>
              <w:bottom w:val="single" w:sz="8" w:space="0" w:color="auto"/>
              <w:right w:val="single" w:sz="4" w:space="0" w:color="auto"/>
            </w:tcBorders>
            <w:shd w:val="clear" w:color="auto" w:fill="auto"/>
            <w:noWrap/>
            <w:vAlign w:val="center"/>
          </w:tcPr>
          <w:p>
            <w:pPr>
              <w:jc w:val="right"/>
              <w:rPr>
                <w:rFonts w:ascii="宋体" w:cs="宋体"/>
                <w:color w:val="000000"/>
                <w:sz w:val="24"/>
                <w:szCs w:val="24"/>
              </w:rPr>
            </w:pPr>
            <w:r>
              <w:rPr>
                <w:rFonts w:hint="eastAsia"/>
                <w:color w:val="000000"/>
              </w:rPr>
              <w:t>2891.88</w:t>
            </w:r>
          </w:p>
        </w:tc>
        <w:tc>
          <w:tcPr>
            <w:tcW w:w="39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rPr>
              <w:t>一、本年支出</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right"/>
              <w:rPr>
                <w:rFonts w:ascii="宋体" w:cs="宋体"/>
                <w:color w:val="000000"/>
                <w:sz w:val="24"/>
                <w:szCs w:val="24"/>
              </w:rPr>
            </w:pPr>
            <w:r>
              <w:rPr>
                <w:rFonts w:hint="eastAsia"/>
                <w:color w:val="000000"/>
              </w:rPr>
              <w:t>2891.88</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（一）一般公共预算拨款</w:t>
            </w:r>
          </w:p>
        </w:tc>
        <w:tc>
          <w:tcPr>
            <w:tcW w:w="2985" w:type="dxa"/>
            <w:gridSpan w:val="2"/>
            <w:tcBorders>
              <w:top w:val="nil"/>
              <w:left w:val="nil"/>
              <w:bottom w:val="single" w:sz="8" w:space="0" w:color="auto"/>
              <w:right w:val="single" w:sz="4" w:space="0" w:color="auto"/>
            </w:tcBorders>
            <w:shd w:val="clear" w:color="auto" w:fill="auto"/>
            <w:noWrap/>
            <w:vAlign w:val="center"/>
          </w:tcPr>
          <w:p>
            <w:pPr>
              <w:jc w:val="right"/>
              <w:rPr>
                <w:rFonts w:ascii="宋体" w:cs="宋体"/>
                <w:color w:val="000000"/>
                <w:sz w:val="24"/>
                <w:szCs w:val="24"/>
              </w:rPr>
            </w:pPr>
            <w:r>
              <w:rPr>
                <w:rFonts w:hint="eastAsia"/>
                <w:color w:val="000000"/>
              </w:rPr>
              <w:t>2891.88</w:t>
            </w:r>
          </w:p>
        </w:tc>
        <w:tc>
          <w:tcPr>
            <w:tcW w:w="39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rPr>
              <w:t>（一）一般公共服务支出</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right"/>
              <w:rPr>
                <w:rFonts w:ascii="宋体" w:cs="宋体"/>
                <w:color w:val="000000"/>
                <w:sz w:val="24"/>
                <w:szCs w:val="24"/>
              </w:rPr>
            </w:pPr>
            <w:r>
              <w:rPr>
                <w:rFonts w:hint="eastAsia"/>
                <w:color w:val="000000"/>
              </w:rPr>
              <w:t>2064.24</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（二）政府性基金预算拨款</w:t>
            </w:r>
          </w:p>
        </w:tc>
        <w:tc>
          <w:tcPr>
            <w:tcW w:w="2985" w:type="dxa"/>
            <w:gridSpan w:val="2"/>
            <w:tcBorders>
              <w:top w:val="nil"/>
              <w:left w:val="nil"/>
              <w:bottom w:val="single" w:sz="8" w:space="0" w:color="auto"/>
              <w:right w:val="single" w:sz="4"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rPr>
              <w:t>（二）公共安全支出</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jc w:val="right"/>
              <w:rPr>
                <w:rFonts w:ascii="宋体" w:cs="宋体"/>
                <w:color w:val="000000"/>
                <w:sz w:val="24"/>
                <w:szCs w:val="24"/>
              </w:rPr>
            </w:pPr>
            <w:r>
              <w:rPr>
                <w:rFonts w:hint="eastAsia"/>
                <w:color w:val="000000"/>
              </w:rPr>
              <w:t>254.21</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（三）国有资本经营预算拨款</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single" w:sz="4" w:space="0" w:color="auto"/>
              <w:left w:val="nil"/>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（三）社会保障和就业支出</w:t>
            </w:r>
          </w:p>
        </w:tc>
        <w:tc>
          <w:tcPr>
            <w:tcW w:w="2693" w:type="dxa"/>
            <w:gridSpan w:val="2"/>
            <w:tcBorders>
              <w:top w:val="single" w:sz="4" w:space="0" w:color="auto"/>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211.57</w:t>
            </w:r>
          </w:p>
        </w:tc>
      </w:tr>
      <w:tr>
        <w:trPr>
          <w:trHeight w:val="33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Times New Roman" w:cs="Times New Roman" w:hAnsi="Times New Roman"/>
                <w:color w:val="000000"/>
                <w:sz w:val="24"/>
                <w:szCs w:val="24"/>
              </w:rPr>
            </w:pPr>
            <w:r>
              <w:rPr>
                <w:rFonts w:ascii="Times New Roman" w:cs="Times New Roman" w:hAnsi="Times New Roman"/>
                <w:color w:val="000000"/>
              </w:rPr>
              <w:t>　</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nil"/>
              <w:left w:val="nil"/>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（四）卫生健康支出</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70.62</w:t>
            </w:r>
          </w:p>
        </w:tc>
      </w:tr>
      <w:tr>
        <w:trPr>
          <w:trHeight w:val="436"/>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二、上年结转</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nil"/>
              <w:left w:val="nil"/>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（五）住房保障支出</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291.24</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（一）一般公共预算拨款</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nil"/>
              <w:left w:val="nil"/>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　</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r>
      <w:tr>
        <w:trPr>
          <w:trHeight w:val="30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（二）政府性基金预算拨款</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nil"/>
              <w:left w:val="nil"/>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　</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r>
      <w:tr>
        <w:trPr>
          <w:trHeight w:val="33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rPr>
                <w:rFonts w:ascii="宋体" w:cs="宋体"/>
                <w:color w:val="000000"/>
                <w:sz w:val="24"/>
                <w:szCs w:val="24"/>
              </w:rPr>
            </w:pPr>
            <w:r>
              <w:rPr>
                <w:rFonts w:hint="eastAsia"/>
                <w:color w:val="000000"/>
              </w:rPr>
              <w:t>（三）国有资本经营预算拨款</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nil"/>
              <w:left w:val="nil"/>
              <w:bottom w:val="single" w:sz="8" w:space="0" w:color="auto"/>
              <w:right w:val="single" w:sz="8" w:space="0" w:color="auto"/>
            </w:tcBorders>
            <w:shd w:val="clear" w:color="auto" w:fill="auto"/>
            <w:noWrap/>
            <w:vAlign w:val="center"/>
          </w:tcPr>
          <w:p>
            <w:pPr>
              <w:jc w:val="center"/>
              <w:rPr>
                <w:rFonts w:ascii="Times New Roman" w:cs="Times New Roman" w:hAnsi="Times New Roman"/>
                <w:color w:val="000000"/>
                <w:sz w:val="24"/>
                <w:szCs w:val="24"/>
              </w:rPr>
            </w:pPr>
            <w:r>
              <w:rPr>
                <w:rFonts w:ascii="Times New Roman" w:cs="Times New Roman" w:hAnsi="Times New Roman"/>
                <w:color w:val="000000"/>
              </w:rPr>
              <w:t>　</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r>
      <w:tr>
        <w:trPr>
          <w:trHeight w:val="33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jc w:val="center"/>
              <w:rPr>
                <w:rFonts w:ascii="Times New Roman" w:cs="Times New Roman" w:hAnsi="Times New Roman"/>
                <w:color w:val="000000"/>
                <w:sz w:val="24"/>
                <w:szCs w:val="24"/>
              </w:rPr>
            </w:pPr>
            <w:r>
              <w:rPr>
                <w:rFonts w:ascii="Times New Roman" w:cs="Times New Roman" w:hAnsi="Times New Roman"/>
                <w:color w:val="000000"/>
              </w:rPr>
              <w:t>　</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c>
          <w:tcPr>
            <w:tcW w:w="3961" w:type="dxa"/>
            <w:gridSpan w:val="2"/>
            <w:tcBorders>
              <w:top w:val="nil"/>
              <w:left w:val="nil"/>
              <w:bottom w:val="single" w:sz="8" w:space="0" w:color="auto"/>
              <w:right w:val="single" w:sz="8" w:space="0" w:color="auto"/>
            </w:tcBorders>
            <w:shd w:val="clear" w:color="auto" w:fill="auto"/>
            <w:noWrap/>
            <w:vAlign w:val="center"/>
          </w:tcPr>
          <w:p>
            <w:pPr>
              <w:jc w:val="center"/>
              <w:rPr>
                <w:rFonts w:ascii="Times New Roman" w:cs="Times New Roman" w:hAnsi="Times New Roman"/>
                <w:color w:val="000000"/>
                <w:sz w:val="24"/>
                <w:szCs w:val="24"/>
              </w:rPr>
            </w:pPr>
            <w:r>
              <w:rPr>
                <w:rFonts w:ascii="Times New Roman" w:cs="Times New Roman" w:hAnsi="Times New Roman"/>
                <w:color w:val="000000"/>
              </w:rPr>
              <w:t>　</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　</w:t>
            </w:r>
          </w:p>
        </w:tc>
      </w:tr>
      <w:tr>
        <w:trPr>
          <w:trHeight w:val="330"/>
          <w:gridBefore w:val="1"/>
          <w:wBefore w:w="98" w:type="dxa"/>
        </w:trPr>
        <w:tc>
          <w:tcPr>
            <w:tcW w:w="4263" w:type="dxa"/>
            <w:gridSpan w:val="2"/>
            <w:tcBorders>
              <w:top w:val="nil"/>
              <w:left w:val="single" w:sz="8" w:space="0" w:color="auto"/>
              <w:bottom w:val="single" w:sz="8" w:space="0" w:color="auto"/>
              <w:right w:val="single" w:sz="8" w:space="0" w:color="auto"/>
            </w:tcBorders>
            <w:shd w:val="clear" w:color="auto" w:fill="auto"/>
            <w:noWrap/>
            <w:vAlign w:val="center"/>
          </w:tcPr>
          <w:p>
            <w:pPr>
              <w:jc w:val="center"/>
              <w:rPr>
                <w:rFonts w:ascii="宋体" w:cs="宋体"/>
                <w:color w:val="000000"/>
                <w:sz w:val="24"/>
                <w:szCs w:val="24"/>
              </w:rPr>
            </w:pPr>
            <w:r>
              <w:rPr>
                <w:rFonts w:hint="eastAsia"/>
                <w:color w:val="000000"/>
              </w:rPr>
              <w:t>收</w:t>
            </w:r>
            <w:r>
              <w:rPr>
                <w:rFonts w:ascii="Times New Roman" w:cs="Times New Roman" w:hAnsi="Times New Roman"/>
                <w:color w:val="000000"/>
              </w:rPr>
              <w:t xml:space="preserve">    </w:t>
            </w:r>
            <w:r>
              <w:rPr>
                <w:rFonts w:hint="eastAsia"/>
                <w:color w:val="000000"/>
              </w:rPr>
              <w:t>入</w:t>
            </w:r>
            <w:r>
              <w:rPr>
                <w:rFonts w:ascii="Times New Roman" w:cs="Times New Roman" w:hAnsi="Times New Roman"/>
                <w:color w:val="000000"/>
              </w:rPr>
              <w:t xml:space="preserve">    </w:t>
            </w:r>
            <w:r>
              <w:rPr>
                <w:rFonts w:hint="eastAsia"/>
                <w:color w:val="000000"/>
              </w:rPr>
              <w:t>总</w:t>
            </w:r>
            <w:r>
              <w:rPr>
                <w:rFonts w:ascii="Times New Roman" w:cs="Times New Roman" w:hAnsi="Times New Roman"/>
                <w:color w:val="000000"/>
              </w:rPr>
              <w:t xml:space="preserve">    </w:t>
            </w:r>
            <w:r>
              <w:rPr>
                <w:rFonts w:hint="eastAsia"/>
                <w:color w:val="000000"/>
              </w:rPr>
              <w:t>计</w:t>
            </w:r>
          </w:p>
        </w:tc>
        <w:tc>
          <w:tcPr>
            <w:tcW w:w="2985"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2891.88</w:t>
            </w:r>
          </w:p>
        </w:tc>
        <w:tc>
          <w:tcPr>
            <w:tcW w:w="3961" w:type="dxa"/>
            <w:gridSpan w:val="2"/>
            <w:tcBorders>
              <w:top w:val="nil"/>
              <w:left w:val="nil"/>
              <w:bottom w:val="single" w:sz="8" w:space="0" w:color="auto"/>
              <w:right w:val="single" w:sz="8" w:space="0" w:color="auto"/>
            </w:tcBorders>
            <w:shd w:val="clear" w:color="auto" w:fill="auto"/>
            <w:noWrap/>
            <w:vAlign w:val="center"/>
          </w:tcPr>
          <w:p>
            <w:pPr>
              <w:jc w:val="center"/>
              <w:rPr>
                <w:rFonts w:ascii="宋体" w:cs="宋体"/>
                <w:color w:val="000000"/>
                <w:sz w:val="24"/>
                <w:szCs w:val="24"/>
              </w:rPr>
            </w:pPr>
            <w:r>
              <w:rPr>
                <w:rFonts w:hint="eastAsia"/>
                <w:color w:val="000000"/>
              </w:rPr>
              <w:t>支</w:t>
            </w:r>
            <w:r>
              <w:rPr>
                <w:rFonts w:ascii="Times New Roman" w:cs="Times New Roman" w:hAnsi="Times New Roman"/>
                <w:color w:val="000000"/>
              </w:rPr>
              <w:t xml:space="preserve">    </w:t>
            </w:r>
            <w:r>
              <w:rPr>
                <w:rFonts w:hint="eastAsia"/>
                <w:color w:val="000000"/>
              </w:rPr>
              <w:t>出</w:t>
            </w:r>
            <w:r>
              <w:rPr>
                <w:rFonts w:ascii="Times New Roman" w:cs="Times New Roman" w:hAnsi="Times New Roman"/>
                <w:color w:val="000000"/>
              </w:rPr>
              <w:t xml:space="preserve">    </w:t>
            </w:r>
            <w:r>
              <w:rPr>
                <w:rFonts w:hint="eastAsia"/>
                <w:color w:val="000000"/>
              </w:rPr>
              <w:t>总</w:t>
            </w:r>
            <w:r>
              <w:rPr>
                <w:rFonts w:ascii="Times New Roman" w:cs="Times New Roman" w:hAnsi="Times New Roman"/>
                <w:color w:val="000000"/>
              </w:rPr>
              <w:t xml:space="preserve">    </w:t>
            </w:r>
            <w:r>
              <w:rPr>
                <w:rFonts w:hint="eastAsia"/>
                <w:color w:val="000000"/>
              </w:rPr>
              <w:t>计</w:t>
            </w:r>
          </w:p>
        </w:tc>
        <w:tc>
          <w:tcPr>
            <w:tcW w:w="2693" w:type="dxa"/>
            <w:gridSpan w:val="2"/>
            <w:tcBorders>
              <w:top w:val="nil"/>
              <w:left w:val="nil"/>
              <w:bottom w:val="single" w:sz="8" w:space="0" w:color="auto"/>
              <w:right w:val="single" w:sz="8" w:space="0" w:color="auto"/>
            </w:tcBorders>
            <w:shd w:val="clear" w:color="auto" w:fill="auto"/>
            <w:noWrap/>
            <w:vAlign w:val="center"/>
          </w:tcPr>
          <w:p>
            <w:pPr>
              <w:jc w:val="right"/>
              <w:rPr>
                <w:rFonts w:ascii="宋体" w:cs="宋体"/>
                <w:color w:val="000000"/>
                <w:sz w:val="24"/>
                <w:szCs w:val="24"/>
              </w:rPr>
            </w:pPr>
            <w:r>
              <w:rPr>
                <w:rFonts w:hint="eastAsia"/>
                <w:color w:val="000000"/>
              </w:rPr>
              <w:t>2891.88</w:t>
            </w:r>
          </w:p>
        </w:tc>
      </w:tr>
      <w:tr>
        <w:trPr>
          <w:trHeight w:val="360"/>
          <w:gridAfter w:val="1"/>
          <w:wAfter w:w="108" w:type="dxa"/>
        </w:trPr>
        <w:tc>
          <w:tcPr>
            <w:tcW w:w="4253" w:type="dxa"/>
            <w:gridSpan w:val="2"/>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gridSpan w:val="2"/>
            <w:tcBorders>
              <w:top w:val="nil"/>
              <w:left w:val="nil"/>
              <w:bottom w:val="nil"/>
              <w:right w:val="nil"/>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gridSpan w:val="2"/>
            <w:tcBorders>
              <w:top w:val="single" w:sz="4" w:space="0" w:color="auto"/>
              <w:left w:val="nil"/>
              <w:bottom w:val="nil"/>
              <w:right w:val="nil"/>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gridSpan w:val="2"/>
            <w:tcBorders>
              <w:top w:val="single" w:sz="4" w:space="0" w:color="auto"/>
              <w:left w:val="nil"/>
              <w:bottom w:val="nil"/>
              <w:right w:val="nil"/>
            </w:tcBorders>
            <w:shd w:val="clear" w:color="auto" w:fill="auto"/>
            <w:noWrap/>
            <w:vAlign w:val="center"/>
          </w:tcPr>
          <w:p>
            <w:pPr>
              <w:widowControl/>
              <w:jc w:val="right"/>
              <w:rPr>
                <w:rFonts w:ascii="Times New Roman" w:cs="Times New Roman" w:hAnsi="Times New Roman"/>
                <w:color w:val="000000"/>
                <w:kern w:val="0"/>
                <w:sz w:val="24"/>
                <w:szCs w:val="24"/>
              </w:rPr>
            </w:pPr>
          </w:p>
        </w:tc>
      </w:tr>
      <w:tr>
        <w:trPr>
          <w:trHeight w:val="360"/>
          <w:gridAfter w:val="1"/>
          <w:wAfter w:w="108" w:type="dxa"/>
        </w:trPr>
        <w:tc>
          <w:tcPr>
            <w:tcW w:w="4253" w:type="dxa"/>
            <w:gridSpan w:val="2"/>
            <w:tcBorders>
              <w:top w:val="nil"/>
              <w:left w:val="nil"/>
              <w:bottom w:val="nil"/>
              <w:right w:val="nil"/>
            </w:tcBorders>
            <w:shd w:val="clear" w:color="auto" w:fill="auto"/>
            <w:noWrap/>
            <w:vAlign w:val="center"/>
          </w:tcPr>
          <w:p>
            <w:pPr>
              <w:widowControl/>
              <w:jc w:val="center"/>
              <w:rPr>
                <w:rFonts w:ascii="Times New Roman" w:cs="宋体" w:hAnsi="Times New Roman" w:hint="eastAsia"/>
                <w:color w:val="000000"/>
                <w:kern w:val="0"/>
                <w:sz w:val="24"/>
                <w:szCs w:val="24"/>
              </w:rPr>
            </w:pPr>
          </w:p>
          <w:p>
            <w:pPr>
              <w:widowControl/>
              <w:jc w:val="center"/>
              <w:rPr>
                <w:rFonts w:ascii="Times New Roman" w:cs="宋体" w:hAnsi="Times New Roman" w:hint="eastAsia"/>
                <w:color w:val="000000"/>
                <w:kern w:val="0"/>
                <w:sz w:val="24"/>
                <w:szCs w:val="24"/>
              </w:rPr>
            </w:pPr>
          </w:p>
          <w:p>
            <w:pPr>
              <w:widowControl/>
              <w:jc w:val="center"/>
              <w:rPr>
                <w:rFonts w:ascii="Times New Roman" w:cs="宋体" w:hAnsi="Times New Roman" w:hint="eastAsia"/>
                <w:color w:val="000000"/>
                <w:kern w:val="0"/>
                <w:sz w:val="24"/>
                <w:szCs w:val="24"/>
              </w:rPr>
            </w:pPr>
          </w:p>
          <w:p>
            <w:pPr>
              <w:widowControl/>
              <w:jc w:val="center"/>
              <w:rPr>
                <w:rFonts w:ascii="Times New Roman" w:cs="宋体" w:hAnsi="Times New Roman"/>
                <w:color w:val="000000"/>
                <w:kern w:val="0"/>
                <w:sz w:val="24"/>
                <w:szCs w:val="24"/>
              </w:rPr>
            </w:pPr>
          </w:p>
          <w:p>
            <w:pPr>
              <w:widowControl/>
              <w:jc w:val="center"/>
              <w:rPr>
                <w:rFonts w:ascii="Times New Roman" w:cs="宋体" w:hAnsi="Times New Roman"/>
                <w:color w:val="000000"/>
                <w:kern w:val="0"/>
                <w:sz w:val="24"/>
                <w:szCs w:val="24"/>
              </w:rPr>
            </w:pPr>
          </w:p>
        </w:tc>
        <w:tc>
          <w:tcPr>
            <w:tcW w:w="2693" w:type="dxa"/>
            <w:gridSpan w:val="2"/>
            <w:tcBorders>
              <w:top w:val="nil"/>
              <w:left w:val="nil"/>
              <w:bottom w:val="nil"/>
              <w:right w:val="nil"/>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gridSpan w:val="2"/>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gridSpan w:val="2"/>
            <w:tcBorders>
              <w:top w:val="nil"/>
              <w:left w:val="nil"/>
              <w:bottom w:val="nil"/>
              <w:right w:val="nil"/>
            </w:tcBorders>
            <w:shd w:val="clear" w:color="auto" w:fill="auto"/>
            <w:noWrap/>
            <w:vAlign w:val="center"/>
          </w:tcPr>
          <w:p>
            <w:pPr>
              <w:widowControl/>
              <w:jc w:val="right"/>
              <w:rPr>
                <w:rFonts w:ascii="Times New Roman" w:cs="Times New Roman" w:hAnsi="Times New Roman"/>
                <w:color w:val="000000"/>
                <w:kern w:val="0"/>
                <w:sz w:val="24"/>
                <w:szCs w:val="24"/>
              </w:rPr>
            </w:pPr>
          </w:p>
        </w:tc>
      </w:tr>
      <w:tr>
        <w:trPr>
          <w:trHeight w:val="360"/>
          <w:gridAfter w:val="1"/>
          <w:wAfter w:w="108" w:type="dxa"/>
        </w:trPr>
        <w:tc>
          <w:tcPr>
            <w:tcW w:w="4253" w:type="dxa"/>
            <w:gridSpan w:val="2"/>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24"/>
                <w:szCs w:val="24"/>
              </w:rPr>
            </w:pPr>
          </w:p>
          <w:p>
            <w:pPr>
              <w:widowControl/>
              <w:jc w:val="center"/>
              <w:rPr>
                <w:rFonts w:ascii="Times New Roman" w:cs="宋体" w:hAnsi="Times New Roman"/>
                <w:color w:val="000000"/>
                <w:kern w:val="0"/>
                <w:sz w:val="24"/>
                <w:szCs w:val="24"/>
              </w:rPr>
            </w:pPr>
          </w:p>
        </w:tc>
        <w:tc>
          <w:tcPr>
            <w:tcW w:w="2693" w:type="dxa"/>
            <w:gridSpan w:val="2"/>
            <w:tcBorders>
              <w:top w:val="nil"/>
              <w:left w:val="nil"/>
              <w:bottom w:val="nil"/>
              <w:right w:val="nil"/>
            </w:tcBorders>
            <w:shd w:val="clear" w:color="auto" w:fill="auto"/>
            <w:noWrap/>
            <w:vAlign w:val="center"/>
          </w:tcPr>
          <w:p>
            <w:pPr>
              <w:widowControl/>
              <w:jc w:val="right"/>
              <w:rPr>
                <w:rFonts w:ascii="Times New Roman" w:cs="Times New Roman" w:hAnsi="Times New Roman"/>
                <w:color w:val="000000"/>
                <w:kern w:val="0"/>
                <w:sz w:val="24"/>
                <w:szCs w:val="24"/>
              </w:rPr>
            </w:pPr>
          </w:p>
        </w:tc>
        <w:tc>
          <w:tcPr>
            <w:tcW w:w="4253" w:type="dxa"/>
            <w:gridSpan w:val="2"/>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gridSpan w:val="2"/>
            <w:tcBorders>
              <w:top w:val="nil"/>
              <w:left w:val="nil"/>
              <w:bottom w:val="nil"/>
              <w:right w:val="nil"/>
            </w:tcBorders>
            <w:shd w:val="clear" w:color="auto" w:fill="auto"/>
            <w:noWrap/>
            <w:vAlign w:val="center"/>
          </w:tcPr>
          <w:p>
            <w:pPr>
              <w:widowControl/>
              <w:jc w:val="right"/>
              <w:rPr>
                <w:rFonts w:ascii="Times New Roman" w:cs="Times New Roman" w:hAnsi="Times New Roman"/>
                <w:color w:val="000000"/>
                <w:kern w:val="0"/>
                <w:sz w:val="24"/>
                <w:szCs w:val="24"/>
              </w:rPr>
            </w:pPr>
          </w:p>
        </w:tc>
      </w:tr>
    </w:tbl>
    <w:tbl>
      <w:tblPr>
        <w:tblpPr w:leftFromText="144" w:rightFromText="144" w:vertAnchor="text" w:horzAnchor="page" w:tblpX="546" w:tblpY="203"/>
        <w:tblW w:w="1603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065"/>
        <w:gridCol w:w="1390"/>
        <w:gridCol w:w="1310"/>
        <w:gridCol w:w="1150"/>
        <w:gridCol w:w="1630"/>
        <w:gridCol w:w="1284"/>
        <w:gridCol w:w="964"/>
        <w:gridCol w:w="1216"/>
        <w:gridCol w:w="1029"/>
      </w:tblGrid>
      <w:tr>
        <w:trPr>
          <w:trHeight w:val="285"/>
        </w:trPr>
        <w:tc>
          <w:tcPr>
            <w:tcW w:w="16038" w:type="dxa"/>
            <w:gridSpan w:val="9"/>
            <w:tcBorders>
              <w:top w:val="nil"/>
              <w:left w:val="nil"/>
              <w:bottom w:val="nil"/>
              <w:right w:val="nil"/>
            </w:tcBorders>
            <w:shd w:val="clear" w:color="auto" w:fill="auto"/>
            <w:vAlign w:val="center"/>
          </w:tcPr>
          <w:p>
            <w:pPr>
              <w:widowControl/>
              <w:jc w:val="right"/>
              <w:rPr>
                <w:rFonts w:ascii="Times New Roman" w:cs="宋体" w:hAnsi="Times New Roman"/>
                <w:kern w:val="0"/>
                <w:sz w:val="36"/>
                <w:szCs w:val="36"/>
              </w:rPr>
            </w:pPr>
            <w:r>
              <w:rPr>
                <w:rFonts w:ascii="黑体" w:eastAsia="黑体" w:cs="黑体" w:hint="eastAsia"/>
                <w:kern w:val="0"/>
                <w:sz w:val="20"/>
                <w:szCs w:val="20"/>
              </w:rPr>
              <w:t>部门公开表5</w:t>
            </w:r>
          </w:p>
        </w:tc>
      </w:tr>
      <w:tr>
        <w:trPr>
          <w:trHeight w:val="285"/>
        </w:trPr>
        <w:tc>
          <w:tcPr>
            <w:tcW w:w="16038" w:type="dxa"/>
            <w:gridSpan w:val="9"/>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一般公共预算支出表</w:t>
            </w:r>
          </w:p>
        </w:tc>
      </w:tr>
      <w:tr>
        <w:trPr>
          <w:trHeight w:val="255"/>
        </w:trPr>
        <w:tc>
          <w:tcPr>
            <w:tcW w:w="6065"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r>
              <w:rPr>
                <w:rFonts w:ascii="Times New Roman" w:cs="宋体" w:hAnsi="Times New Roman" w:hint="eastAsia"/>
                <w:color w:val="000000"/>
                <w:kern w:val="0"/>
                <w:sz w:val="18"/>
                <w:szCs w:val="18"/>
              </w:rPr>
              <w:t>单位名称：中华人民共和国乌拉特海关</w:t>
            </w:r>
          </w:p>
        </w:tc>
        <w:tc>
          <w:tcPr>
            <w:tcW w:w="139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1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15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3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284"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964"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16"/>
                <w:szCs w:val="16"/>
              </w:rPr>
            </w:pPr>
          </w:p>
        </w:tc>
        <w:tc>
          <w:tcPr>
            <w:tcW w:w="1216"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29" w:type="dxa"/>
            <w:tcBorders>
              <w:top w:val="nil"/>
              <w:left w:val="nil"/>
              <w:bottom w:val="nil"/>
              <w:right w:val="nil"/>
            </w:tcBorders>
            <w:shd w:val="clear" w:color="auto" w:fill="auto"/>
            <w:noWrap/>
            <w:vAlign w:val="center"/>
          </w:tcPr>
          <w:p>
            <w:pPr>
              <w:widowControl/>
              <w:jc w:val="right"/>
              <w:rPr>
                <w:rFonts w:ascii="Times New Roman" w:cs="宋体" w:hAnsi="Times New Roman"/>
                <w:kern w:val="0"/>
                <w:sz w:val="16"/>
                <w:szCs w:val="16"/>
              </w:rPr>
            </w:pPr>
            <w:r>
              <w:rPr>
                <w:rFonts w:ascii="Times New Roman" w:cs="宋体" w:hAnsi="Times New Roman" w:hint="eastAsia"/>
                <w:kern w:val="0"/>
                <w:sz w:val="16"/>
                <w:szCs w:val="16"/>
              </w:rPr>
              <w:t>单位：万元</w:t>
            </w:r>
          </w:p>
        </w:tc>
      </w:tr>
    </w:tbl>
    <w:tbl>
      <w:tblPr>
        <w:jc w:val="left"/>
        <w:tblInd w:w="-885" w:type="dxa"/>
        <w:tblW w:w="1601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40"/>
        <w:gridCol w:w="2561"/>
        <w:gridCol w:w="736"/>
        <w:gridCol w:w="1559"/>
        <w:gridCol w:w="1560"/>
        <w:gridCol w:w="1134"/>
        <w:gridCol w:w="1134"/>
        <w:gridCol w:w="1559"/>
        <w:gridCol w:w="1276"/>
        <w:gridCol w:w="992"/>
        <w:gridCol w:w="1276"/>
        <w:gridCol w:w="992"/>
      </w:tblGrid>
      <w:tr>
        <w:trPr>
          <w:trHeight w:val="270"/>
        </w:trPr>
        <w:tc>
          <w:tcPr>
            <w:tcW w:w="38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功能分类科目</w:t>
            </w:r>
          </w:p>
        </w:tc>
        <w:tc>
          <w:tcPr>
            <w:tcW w:w="22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cs="Times New Roman" w:hAnsi="Times New Roman"/>
                <w:color w:val="000000"/>
                <w:sz w:val="16"/>
                <w:szCs w:val="16"/>
              </w:rPr>
            </w:pPr>
            <w:r>
              <w:rPr>
                <w:rFonts w:ascii="Times New Roman" w:cs="Times New Roman" w:hAnsi="Times New Roman"/>
                <w:color w:val="000000"/>
                <w:sz w:val="16"/>
                <w:szCs w:val="16"/>
              </w:rPr>
              <w:t>2023</w:t>
            </w:r>
            <w:r>
              <w:rPr>
                <w:rFonts w:cs="Times New Roman" w:hint="eastAsia"/>
                <w:color w:val="000000"/>
                <w:sz w:val="16"/>
                <w:szCs w:val="16"/>
              </w:rPr>
              <w:t>年执行数</w:t>
            </w:r>
          </w:p>
        </w:tc>
        <w:tc>
          <w:tcPr>
            <w:tcW w:w="538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cs="Times New Roman" w:hAnsi="Times New Roman"/>
                <w:color w:val="000000"/>
                <w:sz w:val="16"/>
                <w:szCs w:val="16"/>
              </w:rPr>
            </w:pPr>
            <w:r>
              <w:rPr>
                <w:rFonts w:ascii="Times New Roman" w:cs="Times New Roman" w:hAnsi="Times New Roman"/>
                <w:color w:val="000000"/>
                <w:sz w:val="16"/>
                <w:szCs w:val="16"/>
              </w:rPr>
              <w:t>2024</w:t>
            </w:r>
            <w:r>
              <w:rPr>
                <w:rFonts w:cs="Times New Roman" w:hint="eastAsia"/>
                <w:color w:val="000000"/>
                <w:sz w:val="16"/>
                <w:szCs w:val="16"/>
              </w:rPr>
              <w:t>年预算数</w:t>
            </w:r>
          </w:p>
        </w:tc>
        <w:tc>
          <w:tcPr>
            <w:tcW w:w="2268" w:type="dxa"/>
            <w:gridSpan w:val="2"/>
            <w:tcBorders>
              <w:top w:val="single" w:sz="4" w:space="0" w:color="auto"/>
              <w:left w:val="single" w:sz="4" w:space="0" w:color="auto"/>
              <w:right w:val="single" w:sz="4" w:space="0" w:color="auto"/>
            </w:tcBorders>
            <w:shd w:val="clear" w:color="auto" w:fill="auto"/>
            <w:vAlign w:val="center"/>
          </w:tcPr>
          <w:p>
            <w:pPr>
              <w:jc w:val="center"/>
              <w:rPr>
                <w:rFonts w:ascii="Times New Roman" w:cs="Times New Roman" w:hAnsi="Times New Roman"/>
                <w:color w:val="000000"/>
                <w:sz w:val="16"/>
                <w:szCs w:val="16"/>
              </w:rPr>
            </w:pPr>
            <w:r>
              <w:rPr>
                <w:rFonts w:ascii="Times New Roman" w:cs="Times New Roman" w:hAnsi="Times New Roman"/>
                <w:color w:val="000000"/>
                <w:sz w:val="16"/>
                <w:szCs w:val="16"/>
              </w:rPr>
              <w:t>2024</w:t>
            </w:r>
            <w:r>
              <w:rPr>
                <w:rFonts w:cs="Times New Roman" w:hint="eastAsia"/>
                <w:color w:val="000000"/>
                <w:sz w:val="16"/>
                <w:szCs w:val="16"/>
              </w:rPr>
              <w:t>年预算数比</w:t>
            </w:r>
          </w:p>
        </w:tc>
        <w:tc>
          <w:tcPr>
            <w:tcW w:w="2268" w:type="dxa"/>
            <w:gridSpan w:val="2"/>
            <w:tcBorders>
              <w:top w:val="single" w:sz="4" w:space="0" w:color="auto"/>
              <w:left w:val="single" w:sz="4" w:space="0" w:color="auto"/>
              <w:right w:val="single" w:sz="4" w:space="0" w:color="auto"/>
            </w:tcBorders>
            <w:shd w:val="clear" w:color="auto" w:fill="auto"/>
            <w:vAlign w:val="center"/>
          </w:tcPr>
          <w:p>
            <w:pPr>
              <w:jc w:val="center"/>
              <w:rPr>
                <w:rFonts w:ascii="Times New Roman" w:cs="Times New Roman" w:hAnsi="Times New Roman"/>
                <w:color w:val="000000"/>
                <w:sz w:val="16"/>
                <w:szCs w:val="16"/>
              </w:rPr>
            </w:pPr>
            <w:r>
              <w:rPr>
                <w:rFonts w:ascii="Times New Roman" w:cs="Times New Roman" w:hAnsi="Times New Roman"/>
                <w:color w:val="000000"/>
                <w:sz w:val="16"/>
                <w:szCs w:val="16"/>
              </w:rPr>
              <w:t>2024</w:t>
            </w:r>
            <w:r>
              <w:rPr>
                <w:rFonts w:cs="Times New Roman" w:hint="eastAsia"/>
                <w:color w:val="000000"/>
                <w:sz w:val="16"/>
                <w:szCs w:val="16"/>
              </w:rPr>
              <w:t>年预算数比</w:t>
            </w:r>
          </w:p>
        </w:tc>
      </w:tr>
      <w:tr>
        <w:trPr>
          <w:trHeight w:val="270"/>
        </w:trPr>
        <w:tc>
          <w:tcPr>
            <w:tcW w:w="3801" w:type="dxa"/>
            <w:gridSpan w:val="2"/>
            <w:vMerge/>
            <w:tcBorders>
              <w:top w:val="single" w:sz="4" w:space="0" w:color="auto"/>
              <w:left w:val="single" w:sz="4" w:space="0" w:color="auto"/>
              <w:bottom w:val="single" w:sz="4" w:space="0" w:color="auto"/>
              <w:right w:val="single" w:sz="4" w:space="0" w:color="auto"/>
            </w:tcBorders>
            <w:vAlign w:val="center"/>
          </w:tcPr>
          <w:p/>
        </w:tc>
        <w:tc>
          <w:tcPr>
            <w:tcW w:w="2295" w:type="dxa"/>
            <w:gridSpan w:val="2"/>
            <w:vMerge/>
            <w:tcBorders>
              <w:top w:val="single" w:sz="4" w:space="0" w:color="auto"/>
              <w:left w:val="single" w:sz="4" w:space="0" w:color="auto"/>
              <w:bottom w:val="single" w:sz="4" w:space="0" w:color="auto"/>
              <w:right w:val="single" w:sz="4" w:space="0" w:color="auto"/>
            </w:tcBorders>
            <w:vAlign w:val="center"/>
          </w:tcPr>
          <w:p/>
        </w:tc>
        <w:tc>
          <w:tcPr>
            <w:tcW w:w="5387" w:type="dxa"/>
            <w:gridSpan w:val="4"/>
            <w:vMerge/>
            <w:tcBorders>
              <w:top w:val="single" w:sz="4" w:space="0" w:color="auto"/>
              <w:left w:val="single" w:sz="4" w:space="0" w:color="auto"/>
              <w:bottom w:val="single" w:sz="4" w:space="0" w:color="auto"/>
              <w:right w:val="single" w:sz="4" w:space="0" w:color="auto"/>
            </w:tcBorders>
            <w:vAlign w:val="center"/>
          </w:tcPr>
          <w:p/>
        </w:tc>
        <w:tc>
          <w:tcPr>
            <w:tcW w:w="2268" w:type="dxa"/>
            <w:gridSpan w:val="2"/>
            <w:tcBorders>
              <w:left w:val="single" w:sz="4" w:space="0" w:color="auto"/>
              <w:right w:val="single" w:sz="4" w:space="0" w:color="auto"/>
            </w:tcBorders>
            <w:shd w:val="clear" w:color="auto" w:fill="auto"/>
            <w:vAlign w:val="center"/>
          </w:tcPr>
          <w:p>
            <w:pPr>
              <w:jc w:val="center"/>
              <w:rPr>
                <w:rFonts w:ascii="Times New Roman" w:cs="Times New Roman" w:hAnsi="Times New Roman"/>
                <w:color w:val="000000"/>
                <w:sz w:val="16"/>
                <w:szCs w:val="16"/>
              </w:rPr>
            </w:pPr>
            <w:r>
              <w:rPr>
                <w:rFonts w:ascii="Times New Roman" w:cs="Times New Roman" w:hAnsi="Times New Roman"/>
                <w:color w:val="000000"/>
                <w:sz w:val="16"/>
                <w:szCs w:val="16"/>
              </w:rPr>
              <w:t>2023</w:t>
            </w:r>
            <w:r>
              <w:rPr>
                <w:rFonts w:cs="Times New Roman" w:hint="eastAsia"/>
                <w:color w:val="000000"/>
                <w:sz w:val="16"/>
                <w:szCs w:val="16"/>
              </w:rPr>
              <w:t>年执行数</w:t>
            </w:r>
          </w:p>
        </w:tc>
        <w:tc>
          <w:tcPr>
            <w:tcW w:w="2268" w:type="dxa"/>
            <w:gridSpan w:val="2"/>
            <w:tcBorders>
              <w:left w:val="single" w:sz="4" w:space="0" w:color="auto"/>
              <w:right w:val="single" w:sz="4" w:space="0" w:color="auto"/>
            </w:tcBorders>
            <w:shd w:val="clear" w:color="auto" w:fill="auto"/>
            <w:vAlign w:val="center"/>
          </w:tcPr>
          <w:p>
            <w:pPr>
              <w:jc w:val="center"/>
              <w:rPr>
                <w:rFonts w:ascii="Times New Roman" w:cs="Times New Roman" w:hAnsi="Times New Roman"/>
                <w:color w:val="000000"/>
                <w:sz w:val="16"/>
                <w:szCs w:val="16"/>
              </w:rPr>
            </w:pPr>
            <w:r>
              <w:rPr>
                <w:rFonts w:ascii="Times New Roman" w:cs="Times New Roman" w:hAnsi="Times New Roman"/>
                <w:color w:val="000000"/>
                <w:sz w:val="16"/>
                <w:szCs w:val="16"/>
              </w:rPr>
              <w:t>2023</w:t>
            </w:r>
            <w:r>
              <w:rPr>
                <w:rFonts w:cs="Times New Roman" w:hint="eastAsia"/>
                <w:color w:val="000000"/>
                <w:sz w:val="16"/>
                <w:szCs w:val="16"/>
              </w:rPr>
              <w:t>年执行数</w:t>
            </w:r>
          </w:p>
        </w:tc>
      </w:tr>
      <w:tr>
        <w:trPr>
          <w:trHeight w:val="285"/>
        </w:trPr>
        <w:tc>
          <w:tcPr>
            <w:tcW w:w="3801" w:type="dxa"/>
            <w:gridSpan w:val="2"/>
            <w:vMerge/>
            <w:tcBorders>
              <w:top w:val="single" w:sz="4" w:space="0" w:color="auto"/>
              <w:left w:val="single" w:sz="4" w:space="0" w:color="auto"/>
              <w:bottom w:val="single" w:sz="4" w:space="0" w:color="auto"/>
              <w:right w:val="single" w:sz="4" w:space="0" w:color="auto"/>
            </w:tcBorders>
            <w:vAlign w:val="center"/>
          </w:tcPr>
          <w:p/>
        </w:tc>
        <w:tc>
          <w:tcPr>
            <w:tcW w:w="2295" w:type="dxa"/>
            <w:gridSpan w:val="2"/>
            <w:vMerge/>
            <w:tcBorders>
              <w:top w:val="single" w:sz="4" w:space="0" w:color="auto"/>
              <w:left w:val="single" w:sz="4" w:space="0" w:color="auto"/>
              <w:bottom w:val="single" w:sz="4" w:space="0" w:color="auto"/>
              <w:right w:val="single" w:sz="4" w:space="0" w:color="auto"/>
            </w:tcBorders>
            <w:vAlign w:val="center"/>
          </w:tcPr>
          <w:p/>
        </w:tc>
        <w:tc>
          <w:tcPr>
            <w:tcW w:w="5387" w:type="dxa"/>
            <w:gridSpan w:val="4"/>
            <w:vMerge/>
            <w:tcBorders>
              <w:top w:val="single" w:sz="4" w:space="0" w:color="auto"/>
              <w:left w:val="single" w:sz="4" w:space="0" w:color="auto"/>
              <w:bottom w:val="single" w:sz="4" w:space="0" w:color="auto"/>
              <w:right w:val="single" w:sz="4" w:space="0" w:color="auto"/>
            </w:tcBorders>
            <w:vAlign w:val="center"/>
          </w:tcPr>
          <w:p/>
        </w:tc>
        <w:tc>
          <w:tcPr>
            <w:tcW w:w="2268" w:type="dxa"/>
            <w:gridSpan w:val="2"/>
            <w:tcBorders>
              <w:left w:val="single" w:sz="4" w:space="0" w:color="auto"/>
              <w:bottom w:val="single" w:sz="4" w:space="0" w:color="auto"/>
              <w:right w:val="single" w:sz="4" w:space="0" w:color="auto"/>
            </w:tcBorders>
            <w:shd w:val="clear" w:color="auto" w:fill="auto"/>
            <w:vAlign w:val="center"/>
          </w:tcPr>
          <w:p>
            <w:pPr>
              <w:rPr>
                <w:rFonts w:ascii="宋体" w:cs="宋体"/>
                <w:color w:val="000000"/>
                <w:sz w:val="22"/>
              </w:rPr>
            </w:pPr>
            <w:r>
              <w:rPr>
                <w:rFonts w:hint="eastAsia"/>
                <w:color w:val="000000"/>
                <w:sz w:val="22"/>
              </w:rPr>
              <w:t>　</w:t>
            </w:r>
          </w:p>
        </w:tc>
        <w:tc>
          <w:tcPr>
            <w:tcW w:w="2268" w:type="dxa"/>
            <w:gridSpan w:val="2"/>
            <w:tcBorders>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（扣除中央基建投资）</w:t>
            </w:r>
          </w:p>
        </w:tc>
      </w:tr>
      <w:tr>
        <w:trPr>
          <w:trHeight w:val="285"/>
        </w:trPr>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科目编码</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科目名称</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执行数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扣除中央基建投资后执行数</w:t>
            </w:r>
          </w:p>
        </w:tc>
        <w:tc>
          <w:tcPr>
            <w:tcW w:w="3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年初预算数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扣除中央基建投资后预算数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增减额</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增减</w:t>
            </w:r>
            <w:r>
              <w:rPr>
                <w:rFonts w:ascii="Times New Roman" w:cs="Times New Roman" w:hAnsi="Times New Roman"/>
                <w:color w:val="000000"/>
                <w:sz w:val="16"/>
                <w:szCs w:val="16"/>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增减额</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增减</w:t>
            </w:r>
            <w:r>
              <w:rPr>
                <w:rFonts w:ascii="Times New Roman" w:cs="Times New Roman" w:hAnsi="Times New Roman"/>
                <w:color w:val="000000"/>
                <w:sz w:val="16"/>
                <w:szCs w:val="16"/>
              </w:rPr>
              <w:t>(%)</w:t>
            </w:r>
          </w:p>
        </w:tc>
      </w:tr>
      <w:tr>
        <w:trPr>
          <w:trHeight w:val="285"/>
        </w:trPr>
        <w:tc>
          <w:tcPr>
            <w:tcW w:w="1240" w:type="dxa"/>
            <w:vMerge/>
            <w:tcBorders>
              <w:top w:val="single" w:sz="4" w:space="0" w:color="auto"/>
              <w:left w:val="single" w:sz="4" w:space="0" w:color="auto"/>
              <w:bottom w:val="single" w:sz="4" w:space="0" w:color="auto"/>
              <w:right w:val="single" w:sz="4" w:space="0" w:color="auto"/>
            </w:tcBorders>
            <w:vAlign w:val="center"/>
          </w:tcPr>
          <w:p/>
        </w:tc>
        <w:tc>
          <w:tcPr>
            <w:tcW w:w="2561" w:type="dxa"/>
            <w:vMerge/>
            <w:tcBorders>
              <w:top w:val="single" w:sz="4" w:space="0" w:color="auto"/>
              <w:left w:val="single" w:sz="4" w:space="0" w:color="auto"/>
              <w:bottom w:val="single" w:sz="4" w:space="0" w:color="auto"/>
              <w:right w:val="single" w:sz="4" w:space="0" w:color="auto"/>
            </w:tcBorders>
            <w:vAlign w:val="center"/>
          </w:tcPr>
          <w:p/>
        </w:tc>
        <w:tc>
          <w:tcPr>
            <w:tcW w:w="736" w:type="dxa"/>
            <w:vMerge/>
            <w:tcBorders>
              <w:top w:val="single" w:sz="4" w:space="0" w:color="auto"/>
              <w:left w:val="single" w:sz="4" w:space="0" w:color="auto"/>
              <w:bottom w:val="single" w:sz="4" w:space="0" w:color="auto"/>
              <w:right w:val="single" w:sz="4" w:space="0" w:color="auto"/>
            </w:tcBorders>
            <w:vAlign w:val="center"/>
          </w:tcPr>
          <w:p/>
        </w:tc>
        <w:tc>
          <w:tcPr>
            <w:tcW w:w="1559" w:type="dxa"/>
            <w:vMerge/>
            <w:tcBorders>
              <w:top w:val="single" w:sz="4" w:space="0" w:color="auto"/>
              <w:left w:val="single" w:sz="4" w:space="0" w:color="auto"/>
              <w:bottom w:val="single" w:sz="4" w:space="0" w:color="auto"/>
              <w:right w:val="single" w:sz="4" w:space="0" w:color="auto"/>
            </w:tcBorders>
            <w:vAlign w:val="center"/>
          </w:tc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小计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基本支出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项目支出</w:t>
            </w:r>
          </w:p>
        </w:tc>
        <w:tc>
          <w:tcPr>
            <w:tcW w:w="1559" w:type="dxa"/>
            <w:vMerge/>
            <w:tcBorders>
              <w:top w:val="single" w:sz="4" w:space="0" w:color="auto"/>
              <w:left w:val="single" w:sz="4" w:space="0" w:color="auto"/>
              <w:bottom w:val="single" w:sz="4" w:space="0" w:color="auto"/>
              <w:right w:val="single" w:sz="4" w:space="0" w:color="auto"/>
            </w:tcBorders>
            <w:vAlign w:val="center"/>
          </w:tcPr>
          <w:p/>
        </w:tc>
        <w:tc>
          <w:tcPr>
            <w:tcW w:w="1276" w:type="dxa"/>
            <w:vMerge/>
            <w:tcBorders>
              <w:top w:val="single" w:sz="4" w:space="0" w:color="auto"/>
              <w:left w:val="single" w:sz="4" w:space="0" w:color="auto"/>
              <w:bottom w:val="single" w:sz="4" w:space="0" w:color="auto"/>
              <w:right w:val="single" w:sz="4" w:space="0" w:color="auto"/>
            </w:tcBorders>
            <w:vAlign w:val="center"/>
          </w:tcPr>
          <w:p/>
        </w:tc>
        <w:tc>
          <w:tcPr>
            <w:tcW w:w="992" w:type="dxa"/>
            <w:vMerge/>
            <w:tcBorders>
              <w:top w:val="single" w:sz="4" w:space="0" w:color="auto"/>
              <w:left w:val="single" w:sz="4" w:space="0" w:color="auto"/>
              <w:bottom w:val="single" w:sz="4" w:space="0" w:color="auto"/>
              <w:right w:val="single" w:sz="4" w:space="0" w:color="auto"/>
            </w:tcBorders>
            <w:vAlign w:val="center"/>
          </w:tcPr>
          <w:p/>
        </w:tc>
        <w:tc>
          <w:tcPr>
            <w:tcW w:w="1276" w:type="dxa"/>
            <w:vMerge/>
            <w:tcBorders>
              <w:top w:val="single" w:sz="4" w:space="0" w:color="auto"/>
              <w:left w:val="single" w:sz="4" w:space="0" w:color="auto"/>
              <w:bottom w:val="single" w:sz="4" w:space="0" w:color="auto"/>
              <w:right w:val="single" w:sz="4" w:space="0" w:color="auto"/>
            </w:tcBorders>
            <w:vAlign w:val="center"/>
          </w:tcPr>
          <w:p/>
        </w:tc>
        <w:tc>
          <w:tcPr>
            <w:tcW w:w="992" w:type="dxa"/>
            <w:vMerge/>
            <w:tcBorders>
              <w:top w:val="single" w:sz="4" w:space="0" w:color="auto"/>
              <w:left w:val="single" w:sz="4" w:space="0" w:color="auto"/>
              <w:bottom w:val="single" w:sz="4" w:space="0" w:color="auto"/>
              <w:right w:val="single" w:sz="4" w:space="0" w:color="auto"/>
            </w:tcBorders>
            <w:vAlign w:val="center"/>
          </w:tcP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201</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ind w:firstLineChars="100" w:firstLine="160"/>
              <w:rPr>
                <w:rFonts w:ascii="宋体" w:cs="宋体"/>
                <w:b/>
                <w:bCs/>
                <w:color w:val="000000"/>
                <w:sz w:val="16"/>
                <w:szCs w:val="16"/>
              </w:rPr>
            </w:pPr>
            <w:r>
              <w:rPr>
                <w:rFonts w:hint="eastAsia"/>
                <w:b/>
                <w:bCs/>
                <w:color w:val="000000"/>
                <w:sz w:val="16"/>
                <w:szCs w:val="16"/>
              </w:rPr>
              <w:t>一般公共服务支出</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1894.8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1894.8</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2064.24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1633.64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430.6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2064.24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169.44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169.44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8.94%</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20109</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ind w:firstLineChars="200" w:firstLine="320"/>
              <w:rPr>
                <w:rFonts w:ascii="宋体" w:cs="宋体"/>
                <w:b/>
                <w:bCs/>
                <w:color w:val="000000"/>
                <w:sz w:val="16"/>
                <w:szCs w:val="16"/>
              </w:rPr>
            </w:pPr>
            <w:r>
              <w:rPr>
                <w:rFonts w:hint="eastAsia"/>
                <w:b/>
                <w:bCs/>
                <w:color w:val="000000"/>
                <w:sz w:val="16"/>
                <w:szCs w:val="16"/>
              </w:rPr>
              <w:t>海关事务</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1894.8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1894.8</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2064.24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1633.64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430.6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2064.24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169.44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169.44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8.94%</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2010901</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cs="宋体"/>
                <w:color w:val="000000"/>
                <w:sz w:val="16"/>
                <w:szCs w:val="16"/>
              </w:rPr>
            </w:pPr>
            <w:r>
              <w:rPr>
                <w:rFonts w:hint="eastAsia"/>
                <w:color w:val="000000"/>
                <w:sz w:val="16"/>
                <w:szCs w:val="16"/>
              </w:rPr>
              <w:t>行政运行</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1511.82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1511.82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1633.64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1633.64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1633.64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121.82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121.82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8.06%</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2010905</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cs="宋体"/>
                <w:color w:val="000000"/>
                <w:sz w:val="16"/>
                <w:szCs w:val="16"/>
              </w:rPr>
            </w:pPr>
            <w:r>
              <w:rPr>
                <w:rFonts w:hint="eastAsia"/>
                <w:color w:val="000000"/>
                <w:sz w:val="16"/>
                <w:szCs w:val="16"/>
              </w:rPr>
              <w:t>缉私办案</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-77.78%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-77.78%</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2010908</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cs="宋体"/>
                <w:color w:val="000000"/>
                <w:sz w:val="16"/>
                <w:szCs w:val="16"/>
              </w:rPr>
            </w:pPr>
            <w:r>
              <w:rPr>
                <w:rFonts w:hint="eastAsia"/>
                <w:color w:val="000000"/>
                <w:sz w:val="16"/>
                <w:szCs w:val="16"/>
              </w:rPr>
              <w:t>信息化建设</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-100.00%</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2010909</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cs="宋体"/>
                <w:color w:val="000000"/>
                <w:sz w:val="16"/>
                <w:szCs w:val="16"/>
              </w:rPr>
            </w:pPr>
            <w:r>
              <w:rPr>
                <w:rFonts w:hint="eastAsia"/>
                <w:color w:val="000000"/>
                <w:sz w:val="16"/>
                <w:szCs w:val="16"/>
              </w:rPr>
              <w:t>海关关务</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220.52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220.52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335.41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335.41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335.41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114.89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52.10%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114.89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52.10%</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2010911</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cs="宋体"/>
                <w:color w:val="000000"/>
                <w:sz w:val="16"/>
                <w:szCs w:val="16"/>
              </w:rPr>
            </w:pPr>
            <w:r>
              <w:rPr>
                <w:rFonts w:hint="eastAsia"/>
                <w:color w:val="000000"/>
                <w:sz w:val="16"/>
                <w:szCs w:val="16"/>
              </w:rPr>
              <w:t>海关监管</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31</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37.69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37.69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37.69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21.58%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21.58%</w:t>
            </w:r>
          </w:p>
        </w:tc>
      </w:tr>
      <w:tr>
        <w:trPr>
          <w:trHeight w:val="285"/>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2010912</w:t>
            </w:r>
          </w:p>
        </w:tc>
        <w:tc>
          <w:tcPr>
            <w:tcW w:w="2561" w:type="dxa"/>
            <w:tcBorders>
              <w:top w:val="single" w:sz="4" w:space="0" w:color="auto"/>
              <w:left w:val="single" w:sz="4" w:space="0" w:color="auto"/>
              <w:bottom w:val="single" w:sz="4" w:space="0" w:color="auto"/>
              <w:right w:val="single" w:sz="4" w:space="0" w:color="auto"/>
            </w:tcBorders>
            <w:shd w:val="clear" w:color="auto" w:fill="auto"/>
            <w:vAlign w:val="center"/>
          </w:tcPr>
          <w:p>
            <w:pPr>
              <w:rPr>
                <w:rFonts w:ascii="宋体" w:cs="宋体"/>
                <w:color w:val="000000"/>
                <w:sz w:val="16"/>
                <w:szCs w:val="16"/>
              </w:rPr>
            </w:pPr>
            <w:r>
              <w:rPr>
                <w:rFonts w:hint="eastAsia"/>
                <w:color w:val="000000"/>
                <w:sz w:val="16"/>
                <w:szCs w:val="16"/>
              </w:rPr>
              <w:t>检验检疫</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103.46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103.46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55.5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55.5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-47.96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-46.36%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-47.96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-46.36%</w:t>
            </w:r>
          </w:p>
        </w:tc>
      </w:tr>
      <w:tr>
        <w:trPr>
          <w:trHeight w:val="285"/>
        </w:trPr>
        <w:tc>
          <w:tcPr>
            <w:tcW w:w="1240" w:type="dxa"/>
            <w:tcBorders>
              <w:top w:val="single" w:sz="4" w:space="0" w:color="auto"/>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204</w:t>
            </w:r>
          </w:p>
        </w:tc>
        <w:tc>
          <w:tcPr>
            <w:tcW w:w="2561" w:type="dxa"/>
            <w:tcBorders>
              <w:top w:val="single" w:sz="4" w:space="0" w:color="auto"/>
              <w:left w:val="nil"/>
              <w:bottom w:val="single" w:sz="8" w:space="0" w:color="000000"/>
              <w:right w:val="single" w:sz="8" w:space="0" w:color="000000"/>
            </w:tcBorders>
            <w:shd w:val="clear" w:color="auto" w:fill="auto"/>
            <w:vAlign w:val="center"/>
          </w:tcPr>
          <w:p>
            <w:pPr>
              <w:ind w:firstLineChars="100" w:firstLine="160"/>
              <w:rPr>
                <w:rFonts w:ascii="宋体" w:cs="宋体"/>
                <w:b/>
                <w:bCs/>
                <w:color w:val="000000"/>
                <w:sz w:val="16"/>
                <w:szCs w:val="16"/>
              </w:rPr>
            </w:pPr>
            <w:r>
              <w:rPr>
                <w:rFonts w:hint="eastAsia"/>
                <w:b/>
                <w:bCs/>
                <w:color w:val="000000"/>
                <w:sz w:val="16"/>
                <w:szCs w:val="16"/>
              </w:rPr>
              <w:t>公共安全支出</w:t>
            </w:r>
          </w:p>
        </w:tc>
        <w:tc>
          <w:tcPr>
            <w:tcW w:w="736" w:type="dxa"/>
            <w:tcBorders>
              <w:top w:val="single" w:sz="4" w:space="0" w:color="auto"/>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268.36</w:t>
            </w:r>
          </w:p>
        </w:tc>
        <w:tc>
          <w:tcPr>
            <w:tcW w:w="1559" w:type="dxa"/>
            <w:tcBorders>
              <w:top w:val="single" w:sz="4" w:space="0" w:color="auto"/>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268.36</w:t>
            </w:r>
          </w:p>
        </w:tc>
        <w:tc>
          <w:tcPr>
            <w:tcW w:w="1560" w:type="dxa"/>
            <w:tcBorders>
              <w:top w:val="single" w:sz="4" w:space="0" w:color="auto"/>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254.21</w:t>
            </w:r>
          </w:p>
        </w:tc>
        <w:tc>
          <w:tcPr>
            <w:tcW w:w="1134" w:type="dxa"/>
            <w:tcBorders>
              <w:top w:val="single" w:sz="4" w:space="0" w:color="auto"/>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194.4</w:t>
            </w:r>
          </w:p>
        </w:tc>
        <w:tc>
          <w:tcPr>
            <w:tcW w:w="1134" w:type="dxa"/>
            <w:tcBorders>
              <w:top w:val="single" w:sz="4" w:space="0" w:color="auto"/>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59.81</w:t>
            </w:r>
          </w:p>
        </w:tc>
        <w:tc>
          <w:tcPr>
            <w:tcW w:w="1559" w:type="dxa"/>
            <w:tcBorders>
              <w:top w:val="single" w:sz="4" w:space="0" w:color="auto"/>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254.21</w:t>
            </w:r>
          </w:p>
        </w:tc>
        <w:tc>
          <w:tcPr>
            <w:tcW w:w="1276" w:type="dxa"/>
            <w:tcBorders>
              <w:top w:val="single" w:sz="4" w:space="0" w:color="auto"/>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-14.15</w:t>
            </w:r>
          </w:p>
        </w:tc>
        <w:tc>
          <w:tcPr>
            <w:tcW w:w="992" w:type="dxa"/>
            <w:tcBorders>
              <w:top w:val="single" w:sz="4" w:space="0" w:color="auto"/>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-5.27%</w:t>
            </w:r>
          </w:p>
        </w:tc>
        <w:tc>
          <w:tcPr>
            <w:tcW w:w="1276" w:type="dxa"/>
            <w:tcBorders>
              <w:top w:val="single" w:sz="4" w:space="0" w:color="auto"/>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-14.15</w:t>
            </w:r>
          </w:p>
        </w:tc>
        <w:tc>
          <w:tcPr>
            <w:tcW w:w="992" w:type="dxa"/>
            <w:tcBorders>
              <w:top w:val="single" w:sz="4" w:space="0" w:color="auto"/>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-5.27%</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20410</w:t>
            </w:r>
          </w:p>
        </w:tc>
        <w:tc>
          <w:tcPr>
            <w:tcW w:w="2561" w:type="dxa"/>
            <w:tcBorders>
              <w:top w:val="nil"/>
              <w:left w:val="nil"/>
              <w:bottom w:val="single" w:sz="8" w:space="0" w:color="000000"/>
              <w:right w:val="single" w:sz="8" w:space="0" w:color="000000"/>
            </w:tcBorders>
            <w:shd w:val="clear" w:color="auto" w:fill="auto"/>
            <w:vAlign w:val="center"/>
          </w:tcPr>
          <w:p>
            <w:pPr>
              <w:ind w:firstLineChars="200" w:firstLine="320"/>
              <w:rPr>
                <w:rFonts w:ascii="宋体" w:cs="宋体"/>
                <w:b/>
                <w:bCs/>
                <w:color w:val="000000"/>
                <w:sz w:val="16"/>
                <w:szCs w:val="16"/>
              </w:rPr>
            </w:pPr>
            <w:r>
              <w:rPr>
                <w:rFonts w:hint="eastAsia"/>
                <w:b/>
                <w:bCs/>
                <w:color w:val="000000"/>
                <w:sz w:val="16"/>
                <w:szCs w:val="16"/>
              </w:rPr>
              <w:t>缉私警察</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268.36</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268.36</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254.21</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194.4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59.81</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254.21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-14.15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-5.27%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-14.15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-5.27%</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2041001</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行政运行</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216.75</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216.75</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194.4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194.4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194.4</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-22.35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-10.31%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-22.35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-10.31%</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2041006</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信息化建设</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5.35</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5.35</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19.63%</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19.63%</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2041007</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缉私业务</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46.26</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46.26</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53.41</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53.41</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53.41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7.15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15.46%</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7.15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15.46%</w:t>
            </w:r>
          </w:p>
        </w:tc>
      </w:tr>
      <w:tr>
        <w:trPr>
          <w:trHeight w:val="43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208</w:t>
            </w:r>
          </w:p>
        </w:tc>
        <w:tc>
          <w:tcPr>
            <w:tcW w:w="2561" w:type="dxa"/>
            <w:tcBorders>
              <w:top w:val="nil"/>
              <w:left w:val="nil"/>
              <w:bottom w:val="single" w:sz="8" w:space="0" w:color="000000"/>
              <w:right w:val="single" w:sz="8" w:space="0" w:color="000000"/>
            </w:tcBorders>
            <w:shd w:val="clear" w:color="auto" w:fill="auto"/>
            <w:vAlign w:val="center"/>
          </w:tcPr>
          <w:p>
            <w:pPr>
              <w:ind w:firstLineChars="100" w:firstLine="160"/>
              <w:rPr>
                <w:rFonts w:ascii="宋体" w:cs="宋体"/>
                <w:b/>
                <w:bCs/>
                <w:color w:val="000000"/>
                <w:sz w:val="16"/>
                <w:szCs w:val="16"/>
              </w:rPr>
            </w:pPr>
            <w:r>
              <w:rPr>
                <w:rFonts w:hint="eastAsia"/>
                <w:b/>
                <w:bCs/>
                <w:color w:val="000000"/>
                <w:sz w:val="16"/>
                <w:szCs w:val="16"/>
              </w:rPr>
              <w:t>社会保障和就业支出</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185.58</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185.58</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211.57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211.57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211.57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14.00%</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14.00%</w:t>
            </w:r>
          </w:p>
        </w:tc>
      </w:tr>
      <w:tr>
        <w:trPr>
          <w:trHeight w:val="43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20805</w:t>
            </w:r>
          </w:p>
        </w:tc>
        <w:tc>
          <w:tcPr>
            <w:tcW w:w="2561" w:type="dxa"/>
            <w:tcBorders>
              <w:top w:val="nil"/>
              <w:left w:val="nil"/>
              <w:bottom w:val="single" w:sz="8" w:space="0" w:color="000000"/>
              <w:right w:val="single" w:sz="8" w:space="0" w:color="000000"/>
            </w:tcBorders>
            <w:shd w:val="clear" w:color="auto" w:fill="auto"/>
            <w:vAlign w:val="center"/>
          </w:tcPr>
          <w:p>
            <w:pPr>
              <w:ind w:firstLineChars="200" w:firstLine="320"/>
              <w:rPr>
                <w:rFonts w:ascii="宋体" w:cs="宋体"/>
                <w:b/>
                <w:bCs/>
                <w:color w:val="000000"/>
                <w:sz w:val="16"/>
                <w:szCs w:val="16"/>
              </w:rPr>
            </w:pPr>
            <w:r>
              <w:rPr>
                <w:rFonts w:hint="eastAsia"/>
                <w:b/>
                <w:bCs/>
                <w:color w:val="000000"/>
                <w:sz w:val="16"/>
                <w:szCs w:val="16"/>
              </w:rPr>
              <w:t>行政事业单位养老支出</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185.58</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185.58</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211.57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211.57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211.57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14.00%</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14.00%</w:t>
            </w:r>
          </w:p>
        </w:tc>
      </w:tr>
      <w:tr>
        <w:trPr>
          <w:trHeight w:val="40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2080505</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3"/>
                <w:szCs w:val="13"/>
              </w:rPr>
            </w:pPr>
            <w:r>
              <w:rPr>
                <w:rFonts w:hint="eastAsia"/>
                <w:color w:val="000000"/>
                <w:sz w:val="13"/>
                <w:szCs w:val="13"/>
              </w:rPr>
              <w:t>机关事业单位基本养老保险缴费支出</w:t>
            </w:r>
          </w:p>
        </w:tc>
        <w:tc>
          <w:tcPr>
            <w:tcW w:w="73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120.94</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120.94</w:t>
            </w:r>
          </w:p>
        </w:tc>
        <w:tc>
          <w:tcPr>
            <w:tcW w:w="156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139</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139</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139</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18.06</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14.93%</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18.06</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14.93%</w:t>
            </w:r>
          </w:p>
        </w:tc>
      </w:tr>
    </w:tbl>
    <w:tbl>
      <w:tblPr>
        <w:tblpPr w:leftFromText="144" w:rightFromText="144" w:vertAnchor="text" w:horzAnchor="page" w:tblpX="546" w:tblpY="203"/>
        <w:tblW w:w="160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Grid>
        <w:gridCol w:w="1242"/>
        <w:gridCol w:w="2552"/>
        <w:gridCol w:w="992"/>
        <w:gridCol w:w="1276"/>
        <w:gridCol w:w="1393"/>
        <w:gridCol w:w="1310"/>
        <w:gridCol w:w="1150"/>
        <w:gridCol w:w="1630"/>
        <w:gridCol w:w="1284"/>
        <w:gridCol w:w="964"/>
        <w:gridCol w:w="1199"/>
        <w:gridCol w:w="1046"/>
      </w:tblGrid>
      <w:tr>
        <w:trPr>
          <w:trHeight w:val="255"/>
        </w:trPr>
        <w:tc>
          <w:tcPr>
            <w:tcW w:w="3794" w:type="dxa"/>
            <w:gridSpan w:val="2"/>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功能分类科目</w:t>
            </w:r>
          </w:p>
        </w:tc>
        <w:tc>
          <w:tcPr>
            <w:tcW w:w="2268" w:type="dxa"/>
            <w:gridSpan w:val="2"/>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2023年执行数</w:t>
            </w:r>
          </w:p>
        </w:tc>
        <w:tc>
          <w:tcPr>
            <w:tcW w:w="5483" w:type="dxa"/>
            <w:gridSpan w:val="4"/>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2024年预算数</w:t>
            </w:r>
          </w:p>
        </w:tc>
        <w:tc>
          <w:tcPr>
            <w:tcW w:w="2248" w:type="dxa"/>
            <w:gridSpan w:val="2"/>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2024年预算数比</w:t>
            </w:r>
          </w:p>
          <w:p>
            <w:pPr>
              <w:widowControl/>
              <w:jc w:val="center"/>
              <w:rPr>
                <w:rFonts w:ascii="Times New Roman" w:cs="宋体" w:hAnsi="Times New Roman"/>
                <w:kern w:val="0"/>
                <w:sz w:val="16"/>
                <w:szCs w:val="16"/>
                <w:highlight w:val="yellow"/>
              </w:rPr>
            </w:pPr>
            <w:r>
              <w:rPr>
                <w:rFonts w:ascii="Times New Roman" w:cs="宋体" w:hAnsi="Times New Roman" w:hint="eastAsia"/>
                <w:kern w:val="0"/>
                <w:sz w:val="16"/>
                <w:szCs w:val="16"/>
              </w:rPr>
              <w:t>2023年执行数</w:t>
            </w:r>
          </w:p>
        </w:tc>
        <w:tc>
          <w:tcPr>
            <w:tcW w:w="2245" w:type="dxa"/>
            <w:gridSpan w:val="2"/>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2024年预算数比</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2023年执行数</w:t>
            </w:r>
          </w:p>
          <w:p>
            <w:pPr>
              <w:widowControl/>
              <w:jc w:val="center"/>
              <w:rPr>
                <w:rFonts w:ascii="Times New Roman" w:cs="宋体" w:hAnsi="Times New Roman"/>
                <w:kern w:val="0"/>
                <w:sz w:val="16"/>
                <w:szCs w:val="16"/>
                <w:highlight w:val="yellow"/>
              </w:rPr>
            </w:pPr>
            <w:r>
              <w:rPr>
                <w:rFonts w:ascii="Times New Roman" w:cs="宋体" w:hAnsi="Times New Roman" w:hint="eastAsia"/>
                <w:kern w:val="0"/>
                <w:sz w:val="16"/>
                <w:szCs w:val="16"/>
              </w:rPr>
              <w:t>（扣除中央基建投资）</w:t>
            </w:r>
          </w:p>
        </w:tc>
      </w:tr>
      <w:tr>
        <w:trPr>
          <w:trHeight w:val="255"/>
        </w:trPr>
        <w:tc>
          <w:tcPr>
            <w:tcW w:w="1242"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2552"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992"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276"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853" w:type="dxa"/>
            <w:gridSpan w:val="3"/>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630"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84"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964"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199"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46" w:type="dxa"/>
            <w:vMerge w:val="restart"/>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1242" w:type="dxa"/>
            <w:vMerge/>
            <w:vAlign w:val="center"/>
          </w:tcPr>
          <w:p/>
        </w:tc>
        <w:tc>
          <w:tcPr>
            <w:tcW w:w="2552" w:type="dxa"/>
            <w:vMerge/>
            <w:vAlign w:val="center"/>
          </w:tcPr>
          <w:p/>
        </w:tc>
        <w:tc>
          <w:tcPr>
            <w:tcW w:w="992" w:type="dxa"/>
            <w:vMerge/>
            <w:vAlign w:val="center"/>
          </w:tcPr>
          <w:p/>
        </w:tc>
        <w:tc>
          <w:tcPr>
            <w:tcW w:w="1276" w:type="dxa"/>
            <w:vMerge/>
            <w:vAlign w:val="center"/>
          </w:tcPr>
          <w:p/>
        </w:tc>
        <w:tc>
          <w:tcPr>
            <w:tcW w:w="1393" w:type="dxa"/>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310" w:type="dxa"/>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150" w:type="dxa"/>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630" w:type="dxa"/>
            <w:vMerge/>
            <w:vAlign w:val="center"/>
          </w:tcPr>
          <w:p/>
        </w:tc>
        <w:tc>
          <w:tcPr>
            <w:tcW w:w="1284" w:type="dxa"/>
            <w:vMerge/>
            <w:vAlign w:val="center"/>
          </w:tcPr>
          <w:p/>
        </w:tc>
        <w:tc>
          <w:tcPr>
            <w:tcW w:w="964" w:type="dxa"/>
            <w:vMerge/>
            <w:vAlign w:val="center"/>
          </w:tcPr>
          <w:p/>
        </w:tc>
        <w:tc>
          <w:tcPr>
            <w:tcW w:w="1199" w:type="dxa"/>
            <w:vMerge/>
            <w:vAlign w:val="center"/>
          </w:tcPr>
          <w:p/>
        </w:tc>
        <w:tc>
          <w:tcPr>
            <w:tcW w:w="1046" w:type="dxa"/>
            <w:vMerge/>
            <w:vAlign w:val="center"/>
          </w:tcPr>
          <w:p/>
        </w:tc>
      </w:tr>
    </w:tbl>
    <w:tbl>
      <w:tblPr>
        <w:jc w:val="left"/>
        <w:tblInd w:w="-885" w:type="dxa"/>
        <w:tblW w:w="1601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40"/>
        <w:gridCol w:w="2561"/>
        <w:gridCol w:w="1020"/>
        <w:gridCol w:w="1275"/>
        <w:gridCol w:w="1418"/>
        <w:gridCol w:w="1276"/>
        <w:gridCol w:w="1134"/>
        <w:gridCol w:w="1559"/>
        <w:gridCol w:w="1276"/>
        <w:gridCol w:w="992"/>
        <w:gridCol w:w="1276"/>
        <w:gridCol w:w="992"/>
      </w:tblGrid>
      <w:tr>
        <w:trPr>
          <w:trHeight w:val="43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2080506</w:t>
            </w:r>
          </w:p>
        </w:tc>
        <w:tc>
          <w:tcPr>
            <w:tcW w:w="2561" w:type="dxa"/>
            <w:tcBorders>
              <w:top w:val="nil"/>
              <w:left w:val="nil"/>
              <w:bottom w:val="single" w:sz="8" w:space="0" w:color="000000"/>
              <w:right w:val="single" w:sz="8" w:space="0" w:color="000000"/>
            </w:tcBorders>
            <w:shd w:val="clear" w:color="auto" w:fill="auto"/>
            <w:vAlign w:val="center"/>
          </w:tcPr>
          <w:p>
            <w:pPr>
              <w:rPr>
                <w:rFonts w:ascii="Times New Roman" w:cs="Times New Roman" w:hAnsi="Times New Roman"/>
                <w:color w:val="000000"/>
                <w:sz w:val="16"/>
                <w:szCs w:val="16"/>
              </w:rPr>
            </w:pPr>
            <w:r>
              <w:rPr>
                <w:rFonts w:ascii="Times New Roman" w:cs="Times New Roman" w:hAnsi="Times New Roman" w:hint="eastAsia"/>
                <w:color w:val="000000"/>
                <w:sz w:val="16"/>
                <w:szCs w:val="16"/>
              </w:rPr>
              <w:t>机关事业单位职业年金缴费支出</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64.64</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64.64</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72.57</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72.57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72.57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7.93</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12.27%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7.93</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12.27%</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210</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b/>
                <w:bCs/>
                <w:color w:val="000000"/>
                <w:sz w:val="16"/>
                <w:szCs w:val="16"/>
              </w:rPr>
            </w:pPr>
            <w:r>
              <w:rPr>
                <w:rFonts w:hint="eastAsia"/>
                <w:b/>
                <w:bCs/>
                <w:color w:val="000000"/>
                <w:sz w:val="16"/>
                <w:szCs w:val="16"/>
              </w:rPr>
              <w:t>卫生健康支出</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81.85</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81.85</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70.62</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70.62</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70.62</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-11.23</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-13.72%</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-11.23</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-13.72%</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21011</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b/>
                <w:bCs/>
                <w:color w:val="000000"/>
                <w:sz w:val="16"/>
                <w:szCs w:val="16"/>
              </w:rPr>
            </w:pPr>
            <w:r>
              <w:rPr>
                <w:rFonts w:hint="eastAsia"/>
                <w:b/>
                <w:bCs/>
                <w:color w:val="000000"/>
                <w:sz w:val="16"/>
                <w:szCs w:val="16"/>
              </w:rPr>
              <w:t>行政事业单位医疗</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81.85</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81.85</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70.62</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70.62</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70.62</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-11.23</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-13.72%</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-11.23</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-13.72%</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2101101</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行政单位医疗</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64.18</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64.18</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52.17</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52.17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52.17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-12.01</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-18.71%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-12.01</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-18.71%</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2101103</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公务员医疗补助</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15.97</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15.97</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16.77</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16.77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16.77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0.80</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5.01%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0.80</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5.01%</w:t>
            </w:r>
          </w:p>
        </w:tc>
      </w:tr>
      <w:tr>
        <w:trPr>
          <w:trHeight w:val="251"/>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2101199</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其他行政事业单位医疗支出</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1.7</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1.7</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1.68</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1.68</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1.68</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-0.02</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-1.18%</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-0.02</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-1.18%</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221</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b/>
                <w:bCs/>
                <w:color w:val="000000"/>
                <w:sz w:val="16"/>
                <w:szCs w:val="16"/>
              </w:rPr>
            </w:pPr>
            <w:r>
              <w:rPr>
                <w:rFonts w:hint="eastAsia"/>
                <w:b/>
                <w:bCs/>
                <w:color w:val="000000"/>
                <w:sz w:val="16"/>
                <w:szCs w:val="16"/>
              </w:rPr>
              <w:t>住房保障支出</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231.3</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231.3</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291.24</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291.24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291.24</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59.94</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59.94</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25.91%</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b/>
                <w:bCs/>
                <w:color w:val="000000"/>
                <w:sz w:val="16"/>
                <w:szCs w:val="16"/>
              </w:rPr>
            </w:pPr>
            <w:r>
              <w:rPr>
                <w:b/>
                <w:bCs/>
                <w:color w:val="000000"/>
                <w:sz w:val="16"/>
                <w:szCs w:val="16"/>
              </w:rPr>
              <w:t>22102</w:t>
            </w:r>
          </w:p>
        </w:tc>
        <w:tc>
          <w:tcPr>
            <w:tcW w:w="2561" w:type="dxa"/>
            <w:tcBorders>
              <w:top w:val="nil"/>
              <w:left w:val="nil"/>
              <w:bottom w:val="single" w:sz="8" w:space="0" w:color="000000"/>
              <w:right w:val="single" w:sz="8" w:space="0" w:color="000000"/>
            </w:tcBorders>
            <w:shd w:val="clear" w:color="auto" w:fill="auto"/>
            <w:vAlign w:val="center"/>
          </w:tcPr>
          <w:p>
            <w:pPr>
              <w:rPr>
                <w:b/>
                <w:bCs/>
                <w:color w:val="000000"/>
                <w:sz w:val="16"/>
                <w:szCs w:val="16"/>
              </w:rPr>
            </w:pPr>
            <w:r>
              <w:rPr>
                <w:rFonts w:hint="eastAsia"/>
                <w:b/>
                <w:bCs/>
                <w:color w:val="000000"/>
                <w:sz w:val="16"/>
                <w:szCs w:val="16"/>
              </w:rPr>
              <w:t>住房改革支出</w:t>
            </w:r>
          </w:p>
        </w:tc>
        <w:tc>
          <w:tcPr>
            <w:tcW w:w="1020" w:type="dxa"/>
            <w:tcBorders>
              <w:top w:val="nil"/>
              <w:left w:val="nil"/>
              <w:bottom w:val="single" w:sz="8" w:space="0" w:color="000000"/>
              <w:right w:val="single" w:sz="8" w:space="0" w:color="000000"/>
            </w:tcBorders>
            <w:shd w:val="clear" w:color="000000" w:fill="FFFFFF"/>
            <w:vAlign w:val="center"/>
          </w:tcPr>
          <w:p>
            <w:pPr>
              <w:jc w:val="right"/>
              <w:rPr>
                <w:b/>
                <w:bCs/>
                <w:color w:val="000000"/>
                <w:sz w:val="16"/>
                <w:szCs w:val="16"/>
              </w:rPr>
            </w:pPr>
            <w:r>
              <w:rPr>
                <w:b/>
                <w:bCs/>
                <w:color w:val="000000"/>
                <w:sz w:val="16"/>
                <w:szCs w:val="16"/>
              </w:rPr>
              <w:t>231.3</w:t>
            </w:r>
          </w:p>
        </w:tc>
        <w:tc>
          <w:tcPr>
            <w:tcW w:w="1275" w:type="dxa"/>
            <w:tcBorders>
              <w:top w:val="nil"/>
              <w:left w:val="nil"/>
              <w:bottom w:val="single" w:sz="8" w:space="0" w:color="000000"/>
              <w:right w:val="single" w:sz="8" w:space="0" w:color="000000"/>
            </w:tcBorders>
            <w:shd w:val="clear" w:color="000000" w:fill="FFFFFF"/>
            <w:vAlign w:val="center"/>
          </w:tcPr>
          <w:p>
            <w:pPr>
              <w:jc w:val="right"/>
              <w:rPr>
                <w:b/>
                <w:bCs/>
                <w:color w:val="000000"/>
                <w:sz w:val="16"/>
                <w:szCs w:val="16"/>
              </w:rPr>
            </w:pPr>
            <w:r>
              <w:rPr>
                <w:b/>
                <w:bCs/>
                <w:color w:val="000000"/>
                <w:sz w:val="16"/>
                <w:szCs w:val="16"/>
              </w:rPr>
              <w:t>231.3</w:t>
            </w:r>
          </w:p>
        </w:tc>
        <w:tc>
          <w:tcPr>
            <w:tcW w:w="1418" w:type="dxa"/>
            <w:tcBorders>
              <w:top w:val="nil"/>
              <w:left w:val="nil"/>
              <w:bottom w:val="single" w:sz="8" w:space="0" w:color="000000"/>
              <w:right w:val="single" w:sz="8" w:space="0" w:color="000000"/>
            </w:tcBorders>
            <w:shd w:val="clear" w:color="000000" w:fill="FFFFFF"/>
            <w:vAlign w:val="center"/>
          </w:tcPr>
          <w:p>
            <w:pPr>
              <w:jc w:val="right"/>
              <w:rPr>
                <w:b/>
                <w:bCs/>
                <w:color w:val="000000"/>
                <w:sz w:val="16"/>
                <w:szCs w:val="16"/>
              </w:rPr>
            </w:pPr>
            <w:r>
              <w:rPr>
                <w:b/>
                <w:bCs/>
                <w:color w:val="000000"/>
                <w:sz w:val="16"/>
                <w:szCs w:val="16"/>
              </w:rPr>
              <w:t>291.24</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291.24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291.24</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59.94</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59.94</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25.91%</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2210201</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住房公积金</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133.69</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133.69</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164.24</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164.24</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164.24</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30.55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22.85%</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30.55</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22.85%</w:t>
            </w:r>
          </w:p>
        </w:tc>
      </w:tr>
      <w:tr>
        <w:trPr>
          <w:trHeight w:val="285"/>
        </w:trPr>
        <w:tc>
          <w:tcPr>
            <w:tcW w:w="1240" w:type="dxa"/>
            <w:tcBorders>
              <w:top w:val="nil"/>
              <w:left w:val="single" w:sz="8" w:space="0" w:color="000000"/>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2210203</w:t>
            </w:r>
          </w:p>
        </w:tc>
        <w:tc>
          <w:tcPr>
            <w:tcW w:w="2561" w:type="dxa"/>
            <w:tcBorders>
              <w:top w:val="nil"/>
              <w:left w:val="nil"/>
              <w:bottom w:val="single" w:sz="8" w:space="0" w:color="000000"/>
              <w:right w:val="single" w:sz="8" w:space="0" w:color="000000"/>
            </w:tcBorders>
            <w:shd w:val="clear" w:color="auto" w:fill="auto"/>
            <w:vAlign w:val="center"/>
          </w:tcPr>
          <w:p>
            <w:pPr>
              <w:rPr>
                <w:rFonts w:ascii="宋体" w:cs="宋体"/>
                <w:color w:val="000000"/>
                <w:sz w:val="16"/>
                <w:szCs w:val="16"/>
              </w:rPr>
            </w:pPr>
            <w:r>
              <w:rPr>
                <w:rFonts w:hint="eastAsia"/>
                <w:color w:val="000000"/>
                <w:sz w:val="16"/>
                <w:szCs w:val="16"/>
              </w:rPr>
              <w:t>购房补贴</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97.61</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97.61</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127</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127</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29.39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30.11%</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29.39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30.11%</w:t>
            </w:r>
          </w:p>
        </w:tc>
      </w:tr>
      <w:tr>
        <w:trPr>
          <w:trHeight w:val="285"/>
        </w:trPr>
        <w:tc>
          <w:tcPr>
            <w:tcW w:w="3801" w:type="dxa"/>
            <w:gridSpan w:val="2"/>
            <w:tcBorders>
              <w:top w:val="single" w:sz="8" w:space="0" w:color="000000"/>
              <w:left w:val="single" w:sz="8" w:space="0" w:color="000000"/>
              <w:bottom w:val="single" w:sz="8" w:space="0" w:color="000000"/>
              <w:right w:val="single" w:sz="8" w:space="0" w:color="000000"/>
            </w:tcBorders>
            <w:shd w:val="clear" w:color="auto" w:fill="auto"/>
          </w:tcPr>
          <w:p>
            <w:pPr>
              <w:jc w:val="center"/>
              <w:rPr>
                <w:rFonts w:ascii="宋体" w:cs="宋体"/>
                <w:b/>
                <w:bCs/>
                <w:color w:val="000000"/>
                <w:sz w:val="16"/>
                <w:szCs w:val="16"/>
              </w:rPr>
            </w:pPr>
            <w:r>
              <w:rPr>
                <w:rFonts w:hint="eastAsia"/>
                <w:b/>
                <w:bCs/>
                <w:color w:val="000000"/>
                <w:sz w:val="16"/>
                <w:szCs w:val="16"/>
              </w:rPr>
              <w:t>合</w:t>
            </w:r>
            <w:r>
              <w:rPr>
                <w:rFonts w:ascii="Times New Roman" w:cs="Times New Roman" w:hAnsi="Times New Roman"/>
                <w:b/>
                <w:bCs/>
                <w:color w:val="000000"/>
                <w:sz w:val="16"/>
                <w:szCs w:val="16"/>
              </w:rPr>
              <w:t xml:space="preserve">  </w:t>
            </w:r>
            <w:r>
              <w:rPr>
                <w:rFonts w:hint="eastAsia"/>
                <w:b/>
                <w:bCs/>
                <w:color w:val="000000"/>
                <w:sz w:val="16"/>
                <w:szCs w:val="16"/>
              </w:rPr>
              <w:t>计</w:t>
            </w:r>
          </w:p>
        </w:tc>
        <w:tc>
          <w:tcPr>
            <w:tcW w:w="1020"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2661.89</w:t>
            </w:r>
          </w:p>
        </w:tc>
        <w:tc>
          <w:tcPr>
            <w:tcW w:w="1275"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2661.89</w:t>
            </w:r>
          </w:p>
        </w:tc>
        <w:tc>
          <w:tcPr>
            <w:tcW w:w="1418"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2891.88</w:t>
            </w:r>
          </w:p>
        </w:tc>
        <w:tc>
          <w:tcPr>
            <w:tcW w:w="1276"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2401.47</w:t>
            </w:r>
          </w:p>
        </w:tc>
        <w:tc>
          <w:tcPr>
            <w:tcW w:w="1134"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490.41</w:t>
            </w:r>
          </w:p>
        </w:tc>
        <w:tc>
          <w:tcPr>
            <w:tcW w:w="1559" w:type="dxa"/>
            <w:tcBorders>
              <w:top w:val="nil"/>
              <w:left w:val="nil"/>
              <w:bottom w:val="single" w:sz="8" w:space="0" w:color="000000"/>
              <w:right w:val="single" w:sz="8" w:space="0" w:color="000000"/>
            </w:tcBorders>
            <w:shd w:val="clear" w:color="000000" w:fill="FFFFFF"/>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2891.88</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229.99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8.64%</w:t>
            </w:r>
          </w:p>
        </w:tc>
        <w:tc>
          <w:tcPr>
            <w:tcW w:w="1276"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229.99</w:t>
            </w:r>
          </w:p>
        </w:tc>
        <w:tc>
          <w:tcPr>
            <w:tcW w:w="992" w:type="dxa"/>
            <w:tcBorders>
              <w:top w:val="nil"/>
              <w:left w:val="nil"/>
              <w:bottom w:val="single" w:sz="8" w:space="0" w:color="000000"/>
              <w:right w:val="single" w:sz="8" w:space="0" w:color="000000"/>
            </w:tcBorders>
            <w:shd w:val="clear" w:color="auto" w:fill="auto"/>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8.64%</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418" w:right="1440" w:bottom="1797" w:left="1440" w:header="851" w:footer="992" w:gutter="0"/>
          <w:docGrid w:type="lines" w:linePitch="312" w:charSpace="0"/>
        </w:sectPr>
      </w:pPr>
    </w:p>
    <w:tbl>
      <w:tblPr>
        <w:jc w:val="center"/>
        <w:tblW w:w="1006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3119"/>
        <w:gridCol w:w="2126"/>
        <w:gridCol w:w="1985"/>
        <w:gridCol w:w="1842"/>
      </w:tblGrid>
      <w:tr>
        <w:trPr>
          <w:trHeight w:val="270"/>
        </w:trPr>
        <w:tc>
          <w:tcPr>
            <w:tcW w:w="993"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bookmarkStart w:id="1" w:name="RANGE!A1:E71"/>
            <w:bookmarkEnd w:id="1"/>
          </w:p>
        </w:tc>
        <w:tc>
          <w:tcPr>
            <w:tcW w:w="311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2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985" w:type="dxa"/>
            <w:tcBorders>
              <w:top w:val="nil"/>
              <w:left w:val="nil"/>
              <w:bottom w:val="nil"/>
              <w:right w:val="nil"/>
            </w:tcBorders>
            <w:shd w:val="clear" w:color="auto" w:fill="auto"/>
            <w:noWrap/>
            <w:vAlign w:val="center"/>
          </w:tcPr>
          <w:p>
            <w:pPr>
              <w:widowControl/>
              <w:jc w:val="center"/>
              <w:rPr>
                <w:rFonts w:ascii="Times New Roman" w:eastAsia="Times New Roman" w:cs="Times New Roman" w:hAnsi="Times New Roman"/>
                <w:kern w:val="0"/>
                <w:sz w:val="20"/>
                <w:szCs w:val="20"/>
              </w:rPr>
            </w:pPr>
          </w:p>
        </w:tc>
        <w:tc>
          <w:tcPr>
            <w:tcW w:w="1842"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部门公开表6</w:t>
            </w:r>
          </w:p>
        </w:tc>
      </w:tr>
      <w:tr>
        <w:trPr>
          <w:trHeight w:val="578"/>
        </w:trPr>
        <w:tc>
          <w:tcPr>
            <w:tcW w:w="10065" w:type="dxa"/>
            <w:gridSpan w:val="5"/>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一般公共预算基本支出表</w:t>
            </w:r>
          </w:p>
        </w:tc>
      </w:tr>
      <w:tr>
        <w:trPr>
          <w:trHeight w:val="360"/>
        </w:trPr>
        <w:tc>
          <w:tcPr>
            <w:tcW w:w="6238"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Cs w:val="36"/>
              </w:rPr>
            </w:pPr>
            <w:r>
              <w:rPr>
                <w:rFonts w:ascii="Times New Roman" w:cs="宋体" w:hAnsi="Times New Roman" w:hint="eastAsia"/>
                <w:kern w:val="0"/>
                <w:sz w:val="16"/>
                <w:szCs w:val="16"/>
              </w:rPr>
              <w:t>　</w:t>
            </w:r>
            <w:r>
              <w:rPr>
                <w:rFonts w:ascii="Times New Roman" w:cs="宋体" w:hAnsi="Times New Roman" w:hint="eastAsia"/>
                <w:color w:val="000000"/>
                <w:kern w:val="0"/>
                <w:sz w:val="18"/>
                <w:szCs w:val="18"/>
              </w:rPr>
              <w:t>单位名称：中华人民共和国乌拉特海关</w:t>
            </w:r>
          </w:p>
        </w:tc>
        <w:tc>
          <w:tcPr>
            <w:tcW w:w="1985"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842" w:type="dxa"/>
            <w:tcBorders>
              <w:top w:val="nil"/>
              <w:left w:val="nil"/>
              <w:bottom w:val="nil"/>
              <w:right w:val="nil"/>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单位：万元</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公用经费</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1638.37</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1638.37</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361.00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361</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798.94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798.94</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32.00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32</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139.00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139</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72.57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72.57</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52.17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52.17</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16.77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16.77</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1.68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1.68</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164.24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164.24</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1638.37</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1638.37</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361.00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361</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748.6</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748.6</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72.70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72.7</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5.10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5.1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30205</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2.50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2.5</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4.40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4.4</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38.35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38.35</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取暖费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18.32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18.32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120.50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120.5</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11.00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33.00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33</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5.00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5</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4.10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4.1</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30224</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被装购置费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20.20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20.2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30226</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31.20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30227</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10.00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30228</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34.22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34.22</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福利费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46.54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46.54</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30231</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19.00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19</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120.00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120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152.47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152.47</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303</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 xml:space="preserve">4.50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4.5</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30399</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4.50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4.5</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310</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 xml:space="preserve">10.00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10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31002</w:t>
            </w:r>
          </w:p>
        </w:tc>
        <w:tc>
          <w:tcPr>
            <w:tcW w:w="3119"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xml:space="preserve">10.00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0</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10</w:t>
            </w:r>
          </w:p>
        </w:tc>
      </w:tr>
      <w:tr>
        <w:trPr>
          <w:trHeight w:val="360"/>
        </w:trPr>
        <w:tc>
          <w:tcPr>
            <w:tcW w:w="4112"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bCs/>
                <w:kern w:val="0"/>
                <w:sz w:val="18"/>
                <w:szCs w:val="18"/>
              </w:rPr>
            </w:pPr>
            <w:r>
              <w:rPr>
                <w:rFonts w:ascii="Times New Roman" w:cs="宋体" w:hAnsi="Times New Roman" w:hint="eastAsia"/>
                <w:b/>
                <w:bCs/>
                <w:kern w:val="0"/>
                <w:sz w:val="18"/>
                <w:szCs w:val="18"/>
              </w:rPr>
              <w:t>合  计</w:t>
            </w:r>
          </w:p>
        </w:tc>
        <w:tc>
          <w:tcPr>
            <w:tcW w:w="2126"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 xml:space="preserve">2401.47 </w:t>
            </w:r>
          </w:p>
        </w:tc>
        <w:tc>
          <w:tcPr>
            <w:tcW w:w="1985"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 xml:space="preserve">1642.87 </w:t>
            </w:r>
          </w:p>
        </w:tc>
        <w:tc>
          <w:tcPr>
            <w:tcW w:w="184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 xml:space="preserve">758.60 </w:t>
            </w:r>
          </w:p>
        </w:tc>
      </w:tr>
    </w:tbl>
    <w:p>
      <w:pPr>
        <w:jc w:val="cente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6379" w:type="dxa"/>
            <w:gridSpan w:val="2"/>
            <w:tcBorders>
              <w:top w:val="nil"/>
              <w:left w:val="nil"/>
              <w:bottom w:val="nil"/>
              <w:right w:val="nil"/>
            </w:tcBorders>
            <w:shd w:val="clear" w:color="auto" w:fill="auto"/>
            <w:noWrap/>
            <w:vAlign w:val="center"/>
          </w:tcPr>
          <w:p>
            <w:pPr>
              <w:widowControl/>
              <w:jc w:val="left"/>
              <w:rPr>
                <w:rFonts w:ascii="Times New Roman" w:cs="宋体" w:hAnsi="Times New Roman"/>
                <w:kern w:val="0"/>
                <w:sz w:val="36"/>
                <w:szCs w:val="36"/>
              </w:rPr>
            </w:pPr>
            <w:r>
              <w:rPr>
                <w:rFonts w:ascii="Times New Roman" w:cs="宋体" w:hAnsi="Times New Roman" w:hint="eastAsia"/>
                <w:color w:val="000000"/>
                <w:kern w:val="0"/>
                <w:sz w:val="18"/>
                <w:szCs w:val="18"/>
              </w:rPr>
              <w:t>单位名称：中华人民共和国乌拉特海关</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2024年政府性基金预算支出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single" w:sz="4" w:space="0" w:color="auto"/>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乌拉特</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6521"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单位名称：中华人民共和国乌拉特海关</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2024年国有资本经营预算支出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乌拉特</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jc w:val="center"/>
        <w:rPr>
          <w:rFonts w:ascii="Times New Roman" w:eastAsia="方正仿宋_GBK" w:hAnsi="Times New Roman"/>
          <w:sz w:val="32"/>
          <w:szCs w:val="32"/>
        </w:rPr>
      </w:pPr>
    </w:p>
    <w:p>
      <w:pPr>
        <w:rPr>
          <w:rFonts w:ascii="Times New Roman" w:eastAsia="方正仿宋_GBK" w:hAnsi="Times New Roman"/>
          <w:sz w:val="32"/>
          <w:szCs w:val="32"/>
        </w:rPr>
      </w:pPr>
    </w:p>
    <w:tbl>
      <w:tblPr>
        <w:tblpPr w:leftFromText="180" w:rightFromText="180" w:vertAnchor="page" w:horzAnchor="margin" w:tblpXSpec="left" w:tblpY="2242"/>
        <w:tblW w:w="14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35"/>
        <w:gridCol w:w="2075"/>
        <w:gridCol w:w="334"/>
        <w:gridCol w:w="774"/>
        <w:gridCol w:w="927"/>
        <w:gridCol w:w="351"/>
        <w:gridCol w:w="1134"/>
        <w:gridCol w:w="783"/>
        <w:gridCol w:w="351"/>
        <w:gridCol w:w="2059"/>
        <w:gridCol w:w="2977"/>
      </w:tblGrid>
      <w:tr>
        <w:trPr>
          <w:trHeight w:val="285"/>
        </w:trPr>
        <w:tc>
          <w:tcPr>
            <w:tcW w:w="4310" w:type="dxa"/>
            <w:gridSpan w:val="2"/>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gridSpan w:val="2"/>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gridSpan w:val="2"/>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gridSpan w:val="2"/>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5036" w:type="dxa"/>
            <w:gridSpan w:val="2"/>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000" w:type="dxa"/>
            <w:gridSpan w:val="11"/>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7830" w:type="dxa"/>
            <w:gridSpan w:val="7"/>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r>
              <w:rPr>
                <w:rFonts w:ascii="Times New Roman" w:cs="宋体" w:hAnsi="Times New Roman" w:hint="eastAsia"/>
                <w:color w:val="000000"/>
                <w:kern w:val="0"/>
                <w:sz w:val="18"/>
                <w:szCs w:val="18"/>
              </w:rPr>
              <w:t>单位名称：中华人民共和国乌拉特海关</w:t>
            </w:r>
          </w:p>
        </w:tc>
        <w:tc>
          <w:tcPr>
            <w:tcW w:w="1134"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5036"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单位：万元</w:t>
            </w:r>
          </w:p>
        </w:tc>
      </w:tr>
      <w:tr>
        <w:trPr>
          <w:trHeight w:val="660"/>
        </w:trPr>
        <w:tc>
          <w:tcPr>
            <w:tcW w:w="14000"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2024年预算数</w:t>
            </w:r>
          </w:p>
        </w:tc>
      </w:tr>
      <w:tr>
        <w:trPr>
          <w:trHeight w:val="870"/>
        </w:trPr>
        <w:tc>
          <w:tcPr>
            <w:tcW w:w="223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409"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6379" w:type="dxa"/>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2235" w:type="dxa"/>
            <w:vMerge/>
            <w:tcBorders>
              <w:top w:val="nil"/>
              <w:left w:val="single" w:sz="4" w:space="0" w:color="auto"/>
              <w:bottom w:val="single" w:sz="4" w:space="0" w:color="000000"/>
              <w:right w:val="single" w:sz="4" w:space="0" w:color="auto"/>
            </w:tcBorders>
            <w:vAlign w:val="center"/>
          </w:tcPr>
          <w:p/>
        </w:tc>
        <w:tc>
          <w:tcPr>
            <w:tcW w:w="2409" w:type="dxa"/>
            <w:gridSpan w:val="2"/>
            <w:vMerge/>
            <w:tcBorders>
              <w:top w:val="nil"/>
              <w:left w:val="single" w:sz="4" w:space="0" w:color="auto"/>
              <w:bottom w:val="single" w:sz="4" w:space="0" w:color="000000"/>
              <w:right w:val="single" w:sz="4" w:space="0" w:color="auto"/>
            </w:tcBorders>
            <w:vAlign w:val="center"/>
          </w:tcPr>
          <w:p/>
        </w:tc>
        <w:tc>
          <w:tcPr>
            <w:tcW w:w="1701"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2268" w:type="dxa"/>
            <w:gridSpan w:val="3"/>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2410"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2977" w:type="dxa"/>
            <w:vMerge/>
            <w:tcBorders>
              <w:top w:val="nil"/>
              <w:left w:val="single" w:sz="4" w:space="0" w:color="auto"/>
              <w:bottom w:val="single" w:sz="4" w:space="0" w:color="000000"/>
              <w:right w:val="single" w:sz="4" w:space="0" w:color="auto"/>
            </w:tcBorders>
            <w:vAlign w:val="center"/>
          </w:tcPr>
          <w:p/>
        </w:tc>
      </w:tr>
      <w:tr>
        <w:trPr>
          <w:trHeight w:val="1335"/>
        </w:trPr>
        <w:tc>
          <w:tcPr>
            <w:tcW w:w="2235"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82.57</w:t>
            </w:r>
          </w:p>
        </w:tc>
        <w:tc>
          <w:tcPr>
            <w:tcW w:w="2409" w:type="dxa"/>
            <w:gridSpan w:val="2"/>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701"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82.57</w:t>
            </w:r>
          </w:p>
        </w:tc>
        <w:tc>
          <w:tcPr>
            <w:tcW w:w="2268" w:type="dxa"/>
            <w:gridSpan w:val="3"/>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25</w:t>
            </w:r>
          </w:p>
        </w:tc>
        <w:tc>
          <w:tcPr>
            <w:tcW w:w="2410"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57.57</w:t>
            </w: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hint="eastAsia"/>
                <w:kern w:val="0"/>
                <w:sz w:val="20"/>
                <w:szCs w:val="20"/>
              </w:rPr>
              <w:t>0</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海关</w:t>
      </w:r>
      <w:r>
        <w:rPr>
          <w:rFonts w:ascii="Times New Roman" w:hAnsi="Times New Roman"/>
          <w:b/>
          <w:sz w:val="80"/>
          <w:szCs w:val="80"/>
        </w:rPr>
        <w:t>202</w:t>
      </w:r>
      <w:r>
        <w:rPr>
          <w:rFonts w:ascii="Times New Roman" w:hAnsi="Times New Roman" w:hint="eastAsia"/>
          <w:b/>
          <w:sz w:val="80"/>
          <w:szCs w:val="80"/>
        </w:rPr>
        <w:t>4年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一、关于202</w:t>
      </w:r>
      <w:r>
        <w:rPr>
          <w:rFonts w:eastAsia="方正黑体_GBK" w:hint="eastAsia"/>
          <w:sz w:val="32"/>
          <w:szCs w:val="32"/>
        </w:rPr>
        <w:t>4</w:t>
      </w:r>
      <w:r>
        <w:rPr>
          <w:rFonts w:eastAsia="方正黑体_GBK"/>
          <w:sz w:val="32"/>
          <w:szCs w:val="32"/>
        </w:rPr>
        <w:t>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乌拉特海关所有收入和支出均纳入部门预算管理。收入包括：一般公共预算拨款收入、其他收入、使用非财政拨款结余、上年结转；支出包括：一般公共服务支出、公共安全支出、社会保障和就业支出、卫生健康支出、住房保障支出。乌拉特海关202</w:t>
      </w:r>
      <w:r>
        <w:rPr>
          <w:rFonts w:eastAsia="方正仿宋_GBK" w:hint="eastAsia"/>
          <w:sz w:val="32"/>
          <w:szCs w:val="32"/>
        </w:rPr>
        <w:t>4</w:t>
      </w:r>
      <w:r>
        <w:rPr>
          <w:rFonts w:eastAsia="方正仿宋_GBK"/>
          <w:sz w:val="32"/>
          <w:szCs w:val="32"/>
        </w:rPr>
        <w:t>年收支总预算</w:t>
      </w:r>
      <w:r>
        <w:rPr>
          <w:rFonts w:eastAsia="方正仿宋_GBK" w:hint="eastAsia"/>
          <w:sz w:val="32"/>
          <w:szCs w:val="32"/>
        </w:rPr>
        <w:t>4854.22</w:t>
      </w:r>
      <w:r>
        <w:rPr>
          <w:rFonts w:eastAsia="方正仿宋_GBK"/>
          <w:sz w:val="32"/>
          <w:szCs w:val="32"/>
        </w:rPr>
        <w:t>万元。</w:t>
      </w:r>
    </w:p>
    <w:p>
      <w:pPr>
        <w:pStyle w:val="18"/>
        <w:spacing w:line="560" w:lineRule="exact"/>
        <w:ind w:firstLineChars="200" w:firstLine="640"/>
        <w:rPr>
          <w:rFonts w:eastAsia="方正黑体_GBK"/>
          <w:sz w:val="32"/>
          <w:szCs w:val="32"/>
        </w:rPr>
      </w:pPr>
      <w:r>
        <w:rPr>
          <w:rFonts w:eastAsia="方正黑体_GBK"/>
          <w:sz w:val="32"/>
          <w:szCs w:val="32"/>
        </w:rPr>
        <w:t>二、关于202</w:t>
      </w:r>
      <w:r>
        <w:rPr>
          <w:rFonts w:eastAsia="方正黑体_GBK" w:hint="eastAsia"/>
          <w:sz w:val="32"/>
          <w:szCs w:val="32"/>
        </w:rPr>
        <w:t>4</w:t>
      </w:r>
      <w:r>
        <w:rPr>
          <w:rFonts w:eastAsia="方正黑体_GBK"/>
          <w:sz w:val="32"/>
          <w:szCs w:val="32"/>
        </w:rPr>
        <w:t>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乌拉特</w:t>
      </w:r>
      <w:r>
        <w:rPr>
          <w:rFonts w:eastAsia="方正仿宋_GBK"/>
          <w:sz w:val="32"/>
          <w:szCs w:val="32"/>
        </w:rPr>
        <w:t>海关202</w:t>
      </w:r>
      <w:r>
        <w:rPr>
          <w:rFonts w:eastAsia="方正仿宋_GBK" w:hint="eastAsia"/>
          <w:sz w:val="32"/>
          <w:szCs w:val="32"/>
        </w:rPr>
        <w:t>4</w:t>
      </w:r>
      <w:r>
        <w:rPr>
          <w:rFonts w:eastAsia="方正仿宋_GBK"/>
          <w:sz w:val="32"/>
          <w:szCs w:val="32"/>
        </w:rPr>
        <w:t>年收入预算</w:t>
      </w:r>
      <w:r>
        <w:rPr>
          <w:rFonts w:eastAsia="方正仿宋_GBK" w:hint="eastAsia"/>
          <w:sz w:val="32"/>
          <w:szCs w:val="32"/>
        </w:rPr>
        <w:t>4854.22</w:t>
      </w:r>
      <w:r>
        <w:rPr>
          <w:rFonts w:eastAsia="方正仿宋_GBK"/>
          <w:sz w:val="32"/>
          <w:szCs w:val="32"/>
        </w:rPr>
        <w:t xml:space="preserve">万元，其中：上年结转 </w:t>
      </w:r>
      <w:r>
        <w:rPr>
          <w:rFonts w:eastAsia="方正仿宋_GBK" w:hint="eastAsia"/>
          <w:sz w:val="32"/>
          <w:szCs w:val="32"/>
        </w:rPr>
        <w:t>134.9</w:t>
      </w:r>
      <w:r>
        <w:rPr>
          <w:rFonts w:eastAsia="方正仿宋_GBK"/>
          <w:sz w:val="32"/>
          <w:szCs w:val="32"/>
        </w:rPr>
        <w:t>万元，占</w:t>
      </w:r>
      <w:r>
        <w:rPr>
          <w:rFonts w:eastAsia="方正仿宋_GBK" w:hint="eastAsia"/>
          <w:sz w:val="32"/>
          <w:szCs w:val="32"/>
        </w:rPr>
        <w:t>3</w:t>
      </w:r>
      <w:r>
        <w:rPr>
          <w:rFonts w:eastAsia="方正仿宋_GBK"/>
          <w:sz w:val="32"/>
          <w:szCs w:val="32"/>
        </w:rPr>
        <w:t xml:space="preserve">%；一般公共预算财政拨款  </w:t>
      </w:r>
      <w:r>
        <w:rPr>
          <w:rFonts w:eastAsia="方正仿宋_GBK" w:hint="eastAsia"/>
          <w:sz w:val="32"/>
          <w:szCs w:val="32"/>
        </w:rPr>
        <w:t>2891.88</w:t>
      </w:r>
      <w:r>
        <w:rPr>
          <w:rFonts w:eastAsia="方正仿宋_GBK"/>
          <w:sz w:val="32"/>
          <w:szCs w:val="32"/>
        </w:rPr>
        <w:t>万元，占</w:t>
      </w:r>
      <w:r>
        <w:rPr>
          <w:rFonts w:eastAsia="方正仿宋_GBK" w:hint="eastAsia"/>
          <w:sz w:val="32"/>
          <w:szCs w:val="32"/>
        </w:rPr>
        <w:t>59</w:t>
      </w:r>
      <w:r>
        <w:rPr>
          <w:rFonts w:eastAsia="方正仿宋_GBK"/>
          <w:sz w:val="32"/>
          <w:szCs w:val="32"/>
        </w:rPr>
        <w:t>%；其他收入</w:t>
      </w:r>
      <w:r>
        <w:rPr>
          <w:rFonts w:eastAsia="方正仿宋_GBK" w:hint="eastAsia"/>
          <w:sz w:val="32"/>
          <w:szCs w:val="32"/>
        </w:rPr>
        <w:t>1827.44</w:t>
      </w:r>
      <w:r>
        <w:rPr>
          <w:rFonts w:eastAsia="方正仿宋_GBK"/>
          <w:sz w:val="32"/>
          <w:szCs w:val="32"/>
        </w:rPr>
        <w:t>万元，占</w:t>
      </w:r>
      <w:r>
        <w:rPr>
          <w:rFonts w:eastAsia="方正仿宋_GBK" w:hint="eastAsia"/>
          <w:sz w:val="32"/>
          <w:szCs w:val="32"/>
        </w:rPr>
        <w:t>38</w:t>
      </w:r>
      <w:r>
        <w:rPr>
          <w:rFonts w:eastAsia="方正仿宋_GBK"/>
          <w:sz w:val="32"/>
          <w:szCs w:val="32"/>
        </w:rPr>
        <w:t>%。</w:t>
      </w:r>
    </w:p>
    <w:p>
      <w:pPr>
        <w:pStyle w:val="18"/>
        <w:spacing w:line="560" w:lineRule="exact"/>
        <w:rPr>
          <w:rFonts w:eastAsia="方正仿宋_GBK"/>
          <w:sz w:val="32"/>
          <w:szCs w:val="32"/>
        </w:rPr>
      </w:pPr>
      <w:r>
        <w:rPr>
          <w:rFonts w:eastAsia="方正仿宋_GBK"/>
          <w:sz w:val="32"/>
          <w:szCs w:val="32"/>
          <w:lang w:bidi="mn-Mong-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t" style="position:absolute;margin-left:34.8pt;margin-top:6.2499995pt;width:360.55005pt;height:216.0pt;z-index:15;mso-position-horizontal:absolute;mso-position-vertical:absolute;mso-wrap-distance-left:8.999863pt;mso-wrap-distance-right:8.999863pt;" o:ole="">
            <v:stroke color="#000000"/>
            <v:imagedata r:id="rId4" o:title="3216637111714447837227"/>
            <o:lock aspectratio="t"/>
            <w10:wrap type="topAndBottom"/>
          </v:shape>
          <o:OLEObject Type="Embed" ProgID="Package" ShapeID="_x0000_i1" DrawAspect="Icon" ObjectID="_1393063351" r:id="rId5"/>
        </w:object>
      </w:r>
    </w:p>
    <w:p>
      <w:pPr>
        <w:pStyle w:val="18"/>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w:t>
      </w:r>
      <w:r>
        <w:rPr>
          <w:rFonts w:eastAsia="方正黑体_GBK" w:hint="eastAsia"/>
          <w:sz w:val="32"/>
          <w:szCs w:val="32"/>
        </w:rPr>
        <w:t>4年支出预算情况说明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乌拉特海关</w:t>
      </w:r>
      <w:r>
        <w:rPr>
          <w:rFonts w:eastAsia="方正仿宋_GBK"/>
          <w:sz w:val="32"/>
          <w:szCs w:val="32"/>
        </w:rPr>
        <w:t>202</w:t>
      </w:r>
      <w:r>
        <w:rPr>
          <w:rFonts w:eastAsia="方正仿宋_GBK" w:hint="eastAsia"/>
          <w:sz w:val="32"/>
          <w:szCs w:val="32"/>
        </w:rPr>
        <w:t>4年支出预算4854.22万元，其中：基本支出2401.47万元，占49</w:t>
      </w:r>
      <w:r>
        <w:rPr>
          <w:rFonts w:eastAsia="方正仿宋_GBK"/>
          <w:sz w:val="32"/>
          <w:szCs w:val="32"/>
        </w:rPr>
        <w:t>%</w:t>
      </w:r>
      <w:r>
        <w:rPr>
          <w:rFonts w:eastAsia="方正仿宋_GBK" w:hint="eastAsia"/>
          <w:sz w:val="32"/>
          <w:szCs w:val="32"/>
        </w:rPr>
        <w:t>；项目支出</w:t>
      </w:r>
      <w:r>
        <w:rPr>
          <w:rFonts w:eastAsia="方正仿宋_GBK"/>
          <w:sz w:val="32"/>
          <w:szCs w:val="32"/>
        </w:rPr>
        <w:t>2452.75</w:t>
      </w:r>
      <w:r>
        <w:rPr>
          <w:rFonts w:eastAsia="方正仿宋_GBK" w:hint="eastAsia"/>
          <w:sz w:val="32"/>
          <w:szCs w:val="32"/>
        </w:rPr>
        <w:t>万元，占51</w:t>
      </w:r>
      <w:r>
        <w:rPr>
          <w:rFonts w:eastAsia="方正仿宋_GBK"/>
          <w:sz w:val="32"/>
          <w:szCs w:val="32"/>
        </w:rPr>
        <w:t>%</w:t>
      </w:r>
      <w:r>
        <w:rPr>
          <w:rFonts w:eastAsia="方正仿宋_GBK" w:hint="eastAsia"/>
          <w:sz w:val="32"/>
          <w:szCs w:val="32"/>
        </w:rPr>
        <w:t>。</w:t>
      </w:r>
    </w:p>
    <w:p>
      <w:pPr>
        <w:pStyle w:val="18"/>
        <w:spacing w:line="560" w:lineRule="exact"/>
        <w:ind w:firstLineChars="200" w:firstLine="640"/>
        <w:rPr>
          <w:rFonts w:eastAsia="方正仿宋_GBK"/>
          <w:sz w:val="32"/>
          <w:szCs w:val="32"/>
        </w:rPr>
      </w:pPr>
      <w:r>
        <w:rPr>
          <w:rFonts w:eastAsia="方正仿宋_GBK"/>
          <w:sz w:val="32"/>
          <w:szCs w:val="32"/>
        </w:rPr>
        <w:object>
          <v:shape id="_x0000_i2" type="#_x0000_t75" filled="f" stroked="t" style="position:absolute;margin-left:33.55pt;margin-top:2.5pt;width:360.25pt;height:216.0pt;z-index:16;mso-position-horizontal:absolute;mso-position-vertical:absolute;mso-wrap-distance-left:8.999863pt;mso-wrap-distance-right:8.999863pt;" o:ole="">
            <v:stroke color="#000000"/>
            <v:imagedata r:id="rId6" o:title="8988711011714447837236"/>
            <o:lock aspectratio="t"/>
            <w10:wrap type="topAndBottom"/>
          </v:shape>
          <o:OLEObject Type="Embed" ProgID="Package" ShapeID="_x0000_i2" DrawAspect="Icon" ObjectID="_1393063352" r:id="rId7"/>
        </w:object>
      </w:r>
    </w:p>
    <w:p>
      <w:pPr>
        <w:pStyle w:val="18"/>
        <w:spacing w:line="560" w:lineRule="exact"/>
        <w:ind w:firstLineChars="200" w:firstLine="640"/>
        <w:rPr>
          <w:rFonts w:eastAsia="方正黑体_GBK"/>
          <w:sz w:val="32"/>
          <w:szCs w:val="32"/>
        </w:rPr>
      </w:pPr>
      <w:r>
        <w:rPr>
          <w:rFonts w:eastAsia="方正黑体_GBK" w:hint="eastAsia"/>
          <w:sz w:val="32"/>
          <w:szCs w:val="32"/>
        </w:rPr>
        <w:t>四、关于2024年财政拨款收支预算情况的总体说明</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乌拉特海关20</w:t>
      </w:r>
      <w:r>
        <w:rPr>
          <w:rFonts w:ascii="Times New Roman" w:eastAsia="方正仿宋_GBK" w:hAnsi="Times New Roman"/>
          <w:sz w:val="32"/>
          <w:szCs w:val="32"/>
        </w:rPr>
        <w:t>2</w:t>
      </w:r>
      <w:r>
        <w:rPr>
          <w:rFonts w:ascii="Times New Roman" w:eastAsia="方正仿宋_GBK" w:hAnsi="Times New Roman" w:hint="eastAsia"/>
          <w:sz w:val="32"/>
          <w:szCs w:val="32"/>
        </w:rPr>
        <w:t>4年财政拨款收支总预算2891.88万元。收入全部为一般公共预算拨款，无政府性基金预算拨款和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拨款。收入包括：一般公共预算当年财政拨款收入2891.88万元。支出包括：一般公共服务支出2064.24万元、公共安全支出254.21万元、社会保障和就业支出211.57万元、卫生健康支出70.62万元、住房保障支出291.24万元。</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lang w:bidi="mn-Mong-CN"/>
        </w:rPr>
        <w:object>
          <v:shape id="_x0000_i3" type="#_x0000_t75" filled="f" stroked="t" style="position:absolute;margin-left:33.187008pt;margin-top:10.787008pt;width:360.78036pt;height:216.0pt;z-index:17;mso-position-horizontal:absolute;mso-position-vertical:absolute;mso-wrap-distance-left:8.999863pt;mso-wrap-distance-right:8.999863pt;" o:ole="">
            <v:stroke color="#000000"/>
            <v:imagedata r:id="rId8" o:title="824287921714447837243"/>
            <o:lock aspectratio="t"/>
          </v:shape>
          <o:OLEObject Type="Embed" ProgID="Package" ShapeID="_x0000_i3" DrawAspect="Icon" ObjectID="_1393063353" r:id="rId9"/>
        </w:object>
      </w:r>
    </w:p>
    <w:p>
      <w:pPr>
        <w:spacing w:line="560" w:lineRule="exact"/>
        <w:ind w:firstLineChars="200" w:firstLine="640"/>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hint="eastAsia"/>
          <w:sz w:val="32"/>
          <w:szCs w:val="32"/>
        </w:rPr>
      </w:pPr>
    </w:p>
    <w:p>
      <w:pPr>
        <w:spacing w:line="560" w:lineRule="exact"/>
        <w:rPr>
          <w:rFonts w:ascii="Times New Roman" w:eastAsia="方正黑体_GBK" w:hAnsi="Times New Roman" w:hint="eastAsia"/>
          <w:sz w:val="32"/>
          <w:szCs w:val="32"/>
        </w:rPr>
      </w:pPr>
    </w:p>
    <w:p>
      <w:pPr>
        <w:spacing w:line="560" w:lineRule="exact"/>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五、关于202</w:t>
      </w:r>
      <w:r>
        <w:rPr>
          <w:rFonts w:ascii="Times New Roman" w:eastAsia="方正黑体_GBK" w:hAnsi="Times New Roman"/>
          <w:sz w:val="32"/>
          <w:szCs w:val="32"/>
        </w:rPr>
        <w:t>3</w:t>
      </w:r>
      <w:r>
        <w:rPr>
          <w:rFonts w:ascii="Times New Roman" w:eastAsia="方正黑体_GBK" w:hAnsi="Times New Roman" w:hint="eastAsia"/>
          <w:sz w:val="32"/>
          <w:szCs w:val="32"/>
        </w:rPr>
        <w:t>年一般公共预算当年财政拨款情况</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hAnsi="Times New Roman"/>
          <w:szCs w:val="21"/>
        </w:rPr>
      </w:pPr>
      <w:r>
        <w:rPr>
          <w:rFonts w:ascii="Times New Roman" w:eastAsia="方正仿宋_GBK" w:hAnsi="Times New Roman" w:hint="eastAsia"/>
          <w:sz w:val="32"/>
          <w:szCs w:val="32"/>
        </w:rPr>
        <w:t>乌拉特海关2024年一般公共预算当年财政拨款预算2891.88万元，比2023年执行数增长229.99万元，增加8.64%。2024年，按照党中央、国务院关于过紧日子的有关要求，全面加强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重点压减非急需非刚性支出，同时合理保障了海关关务、检验检疫、缉私警察等必要支出需求，体现在有关支出科目中。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年部门预算中，一般公共预算当年财政拨款用于以下方面：一般公共服务（类）支出2064.24万元，占73.78%；公共安全（类）支出254.21万元，占6.80%；社会保障和就业（类）支出211.57万元，占7.52%；卫生健康（类）支出70.62万元，占3.87%；住房保障（类）支出291.24万元，占8.03%。</w:t>
      </w:r>
    </w:p>
    <w:p>
      <w:pPr>
        <w:spacing w:line="560" w:lineRule="exact"/>
        <w:rPr>
          <w:rFonts w:ascii="Times New Roman" w:eastAsia="方正仿宋_GBK" w:hAnsi="Times New Roman"/>
          <w:sz w:val="32"/>
          <w:szCs w:val="32"/>
        </w:rPr>
      </w:pPr>
      <w:r>
        <w:rPr>
          <w:rFonts w:ascii="Times New Roman" w:eastAsia="方正仿宋_GBK" w:hAnsi="Times New Roman"/>
          <w:sz w:val="32"/>
          <w:szCs w:val="32"/>
        </w:rPr>
        <w:object>
          <v:shape id="_x0000_i4" type="#_x0000_t75" filled="f" stroked="t" style="position:absolute;margin-left:12.299921pt;margin-top:3.5825984pt;width:414.52606pt;height:213.49567pt;z-index:18;mso-position-horizontal:absolute;mso-position-vertical:absolute;mso-wrap-distance-left:8.999863pt;mso-wrap-distance-right:8.999863pt;" o:ole="">
            <v:stroke color="#000000"/>
            <v:imagedata r:id="rId10" o:title="5081244611714447837250"/>
            <o:lock aspectratio="t"/>
          </v:shape>
          <o:OLEObject Type="Embed" ProgID="Package" ShapeID="_x0000_i4" DrawAspect="Icon" ObjectID="_1393063354" r:id="rId11"/>
        </w:object>
      </w: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rPr>
          <w:rFonts w:ascii="Times New Roman" w:eastAsia="方正仿宋_GBK" w:hAnsi="Times New Roman"/>
          <w:sz w:val="32"/>
          <w:szCs w:val="32"/>
        </w:rPr>
      </w:pPr>
    </w:p>
    <w:p>
      <w:pPr>
        <w:spacing w:line="560" w:lineRule="exact"/>
        <w:ind w:firstLineChars="200" w:firstLine="640"/>
        <w:rPr>
          <w:rFonts w:ascii="Times New Roman" w:eastAsia="方正楷体_GBK" w:hAnsi="Times New Roman"/>
          <w:b/>
          <w:bCs/>
          <w:sz w:val="32"/>
          <w:szCs w:val="32"/>
        </w:rPr>
      </w:pP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1．一般公共服务支出（类）海关事务（款）2024年预算2064.24万元，比2023年执行数增加169.44万元，增长8.94%，其中：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（1）行政运行（项）2024年预算1633.64万元，比2023年执行数增加121.82万元，增长8.06%。主要是人员增加，增加相关经费。</w:t>
      </w:r>
    </w:p>
    <w:p>
      <w:pPr>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（2）缉私办案（项）2024年预算2万元，比2023年执行数减少7万元，下降77.78%，主要是减少缉私办案相关支出。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（3）海关关务（项）2024年预算335.41万元，比2023年执行数增加114.89万元，增长52.1%。主要是艰苦地区边关综合保障支出增加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（4）海关监管（项）2024年预算37.69万元，比2023年执行数增加6.69万元，增长21.58%。主要是海关监管支出增加。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（5）检验检疫（项）2024年预算55.5万元，比2023年执行数减少103.46万元，降低46.36%。主要是检验检疫支出减少。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2．公共安全支出（类）缉私警察（款）2024年预算254.21万元，比2023年执行数减少14.15万元，降低</w:t>
      </w:r>
      <w:r>
        <w:rPr>
          <w:rFonts w:ascii="Times New Roman" w:eastAsia="方正仿宋_GBK" w:hAnsi="Times New Roman"/>
          <w:sz w:val="32"/>
          <w:szCs w:val="32"/>
        </w:rPr>
        <w:t>5.</w:t>
      </w:r>
      <w:r>
        <w:rPr>
          <w:rFonts w:ascii="Times New Roman" w:eastAsia="方正仿宋_GBK" w:hAnsi="Times New Roman" w:hint="eastAsia"/>
          <w:sz w:val="32"/>
          <w:szCs w:val="32"/>
        </w:rPr>
        <w:t>27%。主要是打击走私等项目支出减少。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3．社会保障和就业支出（类）行政事业单位养老支出（款）2024年预算211.57万元，比2023年执行数增加25.99万元，增长14%。其中：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（1）机关事业单位基本养老保险缴费支出（项）2024年预算139万元，比2023年执行数增加18.06万元，增长14.93%。主要是基本养老保险单位缴费经费增加。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（2）机关事业单位职业年金缴费支出（项）2024年预算72.57万元，比2023年执行数增加7.93万元，增长12.27%。主要是职业年金单位缴费经费增加。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4．卫生健康支出（类）行政事业单位医疗（款）2024年预算70.62万元，比2023年执行数减少11.23万元，降低13.72%。其中：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（1）行政单位医疗（项）2024年预算52.17万元，比2023年执行数减少12.01万元，降低18.71%。主要是行政单位医疗经费减少。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（2）公务员医疗补助（项）2024年预算16.77万元，比2023年执行数增加0.8万元，增长5.01%。主要是公务员医疗补助经费增加。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）其他行政事业单位医疗支出（项）2024年</w:t>
      </w:r>
      <w:r>
        <w:rPr>
          <w:rFonts w:ascii="Times New Roman" w:eastAsia="方正仿宋_GBK" w:hAnsi="Times New Roman"/>
          <w:sz w:val="32"/>
          <w:szCs w:val="32"/>
        </w:rPr>
        <w:t>预算</w:t>
      </w:r>
      <w:r>
        <w:rPr>
          <w:rFonts w:ascii="Times New Roman" w:eastAsia="方正仿宋_GBK" w:hAnsi="Times New Roman" w:hint="eastAsia"/>
          <w:sz w:val="32"/>
          <w:szCs w:val="32"/>
        </w:rPr>
        <w:t>1.68万元</w:t>
      </w:r>
      <w:r>
        <w:rPr>
          <w:rFonts w:ascii="Times New Roman" w:eastAsia="方正仿宋_GBK" w:hAnsi="Times New Roman"/>
          <w:sz w:val="32"/>
          <w:szCs w:val="32"/>
        </w:rPr>
        <w:t>，比</w:t>
      </w:r>
      <w:r>
        <w:rPr>
          <w:rFonts w:ascii="Times New Roman" w:eastAsia="方正仿宋_GBK" w:hAnsi="Times New Roman" w:hint="eastAsia"/>
          <w:sz w:val="32"/>
          <w:szCs w:val="32"/>
        </w:rPr>
        <w:t>2023年</w:t>
      </w:r>
      <w:r>
        <w:rPr>
          <w:rFonts w:ascii="Times New Roman" w:eastAsia="方正仿宋_GBK" w:hAnsi="Times New Roman"/>
          <w:sz w:val="32"/>
          <w:szCs w:val="32"/>
        </w:rPr>
        <w:t>执行数</w:t>
      </w:r>
      <w:r>
        <w:rPr>
          <w:rFonts w:ascii="Times New Roman" w:eastAsia="方正仿宋_GBK" w:hAnsi="Times New Roman" w:hint="eastAsia"/>
          <w:sz w:val="32"/>
          <w:szCs w:val="32"/>
        </w:rPr>
        <w:t>减少0.02万元</w:t>
      </w:r>
      <w:r>
        <w:rPr>
          <w:rFonts w:ascii="Times New Roman" w:eastAsia="方正仿宋_GBK" w:hAnsi="Times New Roman"/>
          <w:sz w:val="32"/>
          <w:szCs w:val="32"/>
        </w:rPr>
        <w:t>，</w:t>
      </w:r>
      <w:r>
        <w:rPr>
          <w:rFonts w:ascii="Times New Roman" w:eastAsia="方正仿宋_GBK" w:hAnsi="Times New Roman" w:hint="eastAsia"/>
          <w:sz w:val="32"/>
          <w:szCs w:val="32"/>
        </w:rPr>
        <w:t>降低1.18</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主要是工伤保险</w:t>
      </w:r>
      <w:r>
        <w:rPr>
          <w:rFonts w:ascii="Times New Roman" w:eastAsia="方正仿宋_GBK" w:hAnsi="Times New Roman" w:hint="eastAsia"/>
          <w:sz w:val="32"/>
          <w:szCs w:val="32"/>
        </w:rPr>
        <w:t>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5．住房保障支出（类）住房改革支出（款）2024年预算291.24万元，比2023年执行数增加59.94万元，增长25.91%。主要是人员变动增加相应经费支出。其中：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（1）住房公积金（项）2024年预算164.24万元，比2023年执行数增加30.55万元，增长22.85%。</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（2）购房补贴（项）2024年预算127万元，比2023年执行数增加29.39万元，增长30.11%。</w:t>
      </w:r>
    </w:p>
    <w:p>
      <w:pPr>
        <w:pStyle w:val="18"/>
        <w:spacing w:line="560" w:lineRule="exact"/>
        <w:ind w:firstLineChars="200" w:firstLine="640"/>
        <w:rPr>
          <w:rFonts w:eastAsia="方正黑体_GBK"/>
          <w:sz w:val="32"/>
          <w:szCs w:val="32"/>
        </w:rPr>
      </w:pPr>
      <w:r>
        <w:rPr>
          <w:rFonts w:eastAsia="方正黑体_GBK" w:hint="eastAsia"/>
          <w:sz w:val="32"/>
          <w:szCs w:val="32"/>
        </w:rPr>
        <w:t>六、关于2024年一般公共预算基本支出情况说明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乌拉特海关2024年一般公共预算基本支出2401.47万元，其中：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1642.87万元，主要包括：基本工资、津贴补贴、奖金、机关事业单位基本养老保险缴费、职业年金缴费、职工基本医疗保险缴费、公务员医疗补助缴费、其他社会保障缴费、住房公积金、其他对个人和家庭的补助；</w:t>
      </w:r>
    </w:p>
    <w:p>
      <w:pPr>
        <w:autoSpaceDE w:val="0"/>
        <w:autoSpaceDN w:val="0"/>
        <w:adjustRightInd w:val="0"/>
        <w:spacing w:line="560" w:lineRule="atLeast"/>
        <w:ind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日常公用经费758.6万元，主要包括：办公费</w:t>
      </w:r>
      <w:r>
        <w:rPr>
          <w:rFonts w:ascii="Times New Roman" w:eastAsia="方正仿宋_GBK" w:hAnsi="Times New Roman"/>
          <w:sz w:val="32"/>
          <w:szCs w:val="32"/>
        </w:rPr>
        <w:t>、</w:t>
      </w:r>
      <w:r>
        <w:rPr>
          <w:rFonts w:ascii="Times New Roman" w:eastAsia="方正仿宋_GBK" w:hAnsi="Times New Roman" w:hint="eastAsia"/>
          <w:sz w:val="32"/>
          <w:szCs w:val="32"/>
        </w:rPr>
        <w:t>印刷费</w:t>
      </w:r>
      <w:r>
        <w:rPr>
          <w:rFonts w:ascii="Times New Roman" w:eastAsia="方正仿宋_GBK" w:hAnsi="Times New Roman"/>
          <w:sz w:val="32"/>
          <w:szCs w:val="32"/>
        </w:rPr>
        <w:t>、</w:t>
      </w:r>
      <w:r>
        <w:rPr>
          <w:rFonts w:ascii="Times New Roman" w:eastAsia="方正仿宋_GBK" w:hAnsi="Times New Roman" w:hint="eastAsia"/>
          <w:sz w:val="32"/>
          <w:szCs w:val="32"/>
        </w:rPr>
        <w:t>水费</w:t>
      </w:r>
      <w:r>
        <w:rPr>
          <w:rFonts w:ascii="Times New Roman" w:eastAsia="方正仿宋_GBK" w:hAnsi="Times New Roman"/>
          <w:sz w:val="32"/>
          <w:szCs w:val="32"/>
        </w:rPr>
        <w:t>、</w:t>
      </w:r>
      <w:r>
        <w:rPr>
          <w:rFonts w:ascii="Times New Roman" w:eastAsia="方正仿宋_GBK" w:hAnsi="Times New Roman" w:hint="eastAsia"/>
          <w:sz w:val="32"/>
          <w:szCs w:val="32"/>
        </w:rPr>
        <w:t>电费</w:t>
      </w:r>
      <w:r>
        <w:rPr>
          <w:rFonts w:ascii="Times New Roman" w:eastAsia="方正仿宋_GBK" w:hAnsi="Times New Roman"/>
          <w:sz w:val="32"/>
          <w:szCs w:val="32"/>
        </w:rPr>
        <w:t>、</w:t>
      </w:r>
      <w:r>
        <w:rPr>
          <w:rFonts w:ascii="Times New Roman" w:eastAsia="方正仿宋_GBK" w:hAnsi="Times New Roman" w:hint="eastAsia"/>
          <w:sz w:val="32"/>
          <w:szCs w:val="32"/>
        </w:rPr>
        <w:t>邮电费</w:t>
      </w:r>
      <w:r>
        <w:rPr>
          <w:rFonts w:ascii="Times New Roman" w:eastAsia="方正仿宋_GBK" w:hAnsi="Times New Roman"/>
          <w:sz w:val="32"/>
          <w:szCs w:val="32"/>
        </w:rPr>
        <w:t>、</w:t>
      </w:r>
      <w:r>
        <w:rPr>
          <w:rFonts w:ascii="Times New Roman" w:eastAsia="方正仿宋_GBK" w:hAnsi="Times New Roman" w:hint="eastAsia"/>
          <w:sz w:val="32"/>
          <w:szCs w:val="32"/>
        </w:rPr>
        <w:t>取暖费</w:t>
      </w:r>
      <w:r>
        <w:rPr>
          <w:rFonts w:ascii="Times New Roman" w:eastAsia="方正仿宋_GBK" w:hAnsi="Times New Roman"/>
          <w:sz w:val="32"/>
          <w:szCs w:val="32"/>
        </w:rPr>
        <w:t>、</w:t>
      </w:r>
      <w:r>
        <w:rPr>
          <w:rFonts w:ascii="Times New Roman" w:eastAsia="方正仿宋_GBK" w:hAnsi="Times New Roman" w:hint="eastAsia"/>
          <w:sz w:val="32"/>
          <w:szCs w:val="32"/>
        </w:rPr>
        <w:t>差旅费</w:t>
      </w:r>
      <w:r>
        <w:rPr>
          <w:rFonts w:ascii="Times New Roman" w:eastAsia="方正仿宋_GBK" w:hAnsi="Times New Roman"/>
          <w:sz w:val="32"/>
          <w:szCs w:val="32"/>
        </w:rPr>
        <w:t>、</w:t>
      </w:r>
      <w:r>
        <w:rPr>
          <w:rFonts w:ascii="Times New Roman" w:eastAsia="方正仿宋_GBK" w:hAnsi="Times New Roman" w:hint="eastAsia"/>
          <w:sz w:val="32"/>
          <w:szCs w:val="32"/>
        </w:rPr>
        <w:t>维修（护）费</w:t>
      </w:r>
      <w:r>
        <w:rPr>
          <w:rFonts w:ascii="Times New Roman" w:eastAsia="方正仿宋_GBK" w:hAnsi="Times New Roman"/>
          <w:sz w:val="32"/>
          <w:szCs w:val="32"/>
        </w:rPr>
        <w:t>、</w:t>
      </w:r>
      <w:r>
        <w:rPr>
          <w:rFonts w:ascii="Times New Roman" w:eastAsia="方正仿宋_GBK" w:hAnsi="Times New Roman" w:hint="eastAsia"/>
          <w:sz w:val="32"/>
          <w:szCs w:val="32"/>
        </w:rPr>
        <w:t>租赁费</w:t>
      </w:r>
      <w:r>
        <w:rPr>
          <w:rFonts w:ascii="Times New Roman" w:eastAsia="方正仿宋_GBK" w:hAnsi="Times New Roman"/>
          <w:sz w:val="32"/>
          <w:szCs w:val="32"/>
        </w:rPr>
        <w:t>、</w:t>
      </w:r>
      <w:r>
        <w:rPr>
          <w:rFonts w:ascii="Times New Roman" w:eastAsia="方正仿宋_GBK" w:hAnsi="Times New Roman" w:hint="eastAsia"/>
          <w:sz w:val="32"/>
          <w:szCs w:val="32"/>
        </w:rPr>
        <w:t>培训费</w:t>
      </w:r>
      <w:r>
        <w:rPr>
          <w:rFonts w:ascii="Times New Roman" w:eastAsia="方正仿宋_GBK" w:hAnsi="Times New Roman"/>
          <w:sz w:val="32"/>
          <w:szCs w:val="32"/>
        </w:rPr>
        <w:t>、</w:t>
      </w:r>
      <w:r>
        <w:rPr>
          <w:rFonts w:ascii="Times New Roman" w:eastAsia="方正仿宋_GBK" w:hAnsi="Times New Roman" w:hint="eastAsia"/>
          <w:sz w:val="32"/>
          <w:szCs w:val="32"/>
        </w:rPr>
        <w:t>专用材料费</w:t>
      </w:r>
      <w:r>
        <w:rPr>
          <w:rFonts w:ascii="Times New Roman" w:eastAsia="方正仿宋_GBK" w:hAnsi="Times New Roman"/>
          <w:sz w:val="32"/>
          <w:szCs w:val="32"/>
        </w:rPr>
        <w:t>、</w:t>
      </w:r>
      <w:r>
        <w:rPr>
          <w:rFonts w:ascii="Times New Roman" w:eastAsia="方正仿宋_GBK" w:hAnsi="Times New Roman" w:hint="eastAsia"/>
          <w:sz w:val="32"/>
          <w:szCs w:val="32"/>
        </w:rPr>
        <w:t>被装购置费</w:t>
      </w:r>
      <w:r>
        <w:rPr>
          <w:rFonts w:ascii="Times New Roman" w:eastAsia="方正仿宋_GBK" w:hAnsi="Times New Roman"/>
          <w:sz w:val="32"/>
          <w:szCs w:val="32"/>
        </w:rPr>
        <w:t>、</w:t>
      </w:r>
      <w:r>
        <w:rPr>
          <w:rFonts w:ascii="Times New Roman" w:eastAsia="方正仿宋_GBK" w:hAnsi="Times New Roman" w:hint="eastAsia"/>
          <w:sz w:val="32"/>
          <w:szCs w:val="32"/>
        </w:rPr>
        <w:t>劳务费</w:t>
      </w:r>
      <w:r>
        <w:rPr>
          <w:rFonts w:ascii="Times New Roman" w:eastAsia="方正仿宋_GBK" w:hAnsi="Times New Roman"/>
          <w:sz w:val="32"/>
          <w:szCs w:val="32"/>
        </w:rPr>
        <w:t>、</w:t>
      </w:r>
      <w:r>
        <w:rPr>
          <w:rFonts w:ascii="Times New Roman" w:eastAsia="方正仿宋_GBK" w:hAnsi="Times New Roman" w:hint="eastAsia"/>
          <w:sz w:val="32"/>
          <w:szCs w:val="32"/>
        </w:rPr>
        <w:t>委托业务费</w:t>
      </w:r>
      <w:r>
        <w:rPr>
          <w:rFonts w:ascii="Times New Roman" w:eastAsia="方正仿宋_GBK" w:hAnsi="Times New Roman"/>
          <w:sz w:val="32"/>
          <w:szCs w:val="32"/>
        </w:rPr>
        <w:t>、</w:t>
      </w:r>
      <w:r>
        <w:rPr>
          <w:rFonts w:ascii="Times New Roman" w:eastAsia="方正仿宋_GBK" w:hAnsi="Times New Roman" w:hint="eastAsia"/>
          <w:sz w:val="32"/>
          <w:szCs w:val="32"/>
        </w:rPr>
        <w:t>工会经费</w:t>
      </w:r>
      <w:r>
        <w:rPr>
          <w:rFonts w:ascii="Times New Roman" w:eastAsia="方正仿宋_GBK" w:hAnsi="Times New Roman"/>
          <w:sz w:val="32"/>
          <w:szCs w:val="32"/>
        </w:rPr>
        <w:t>、</w:t>
      </w:r>
      <w:r>
        <w:rPr>
          <w:rFonts w:ascii="Times New Roman" w:eastAsia="方正仿宋_GBK" w:hAnsi="Times New Roman" w:hint="eastAsia"/>
          <w:sz w:val="32"/>
          <w:szCs w:val="32"/>
        </w:rPr>
        <w:t>福利费</w:t>
      </w:r>
      <w:r>
        <w:rPr>
          <w:rFonts w:ascii="Times New Roman" w:eastAsia="方正仿宋_GBK" w:hAnsi="Times New Roman"/>
          <w:sz w:val="32"/>
          <w:szCs w:val="32"/>
        </w:rPr>
        <w:t>、</w:t>
      </w:r>
      <w:r>
        <w:rPr>
          <w:rFonts w:ascii="Times New Roman" w:eastAsia="方正仿宋_GBK" w:hAnsi="Times New Roman" w:hint="eastAsia"/>
          <w:sz w:val="32"/>
          <w:szCs w:val="32"/>
        </w:rPr>
        <w:t>公务用车运行维护费</w:t>
      </w:r>
      <w:r>
        <w:rPr>
          <w:rFonts w:ascii="Times New Roman" w:eastAsia="方正仿宋_GBK" w:hAnsi="Times New Roman"/>
          <w:sz w:val="32"/>
          <w:szCs w:val="32"/>
        </w:rPr>
        <w:t>、</w:t>
      </w:r>
      <w:r>
        <w:rPr>
          <w:rFonts w:ascii="Times New Roman" w:eastAsia="方正仿宋_GBK" w:hAnsi="Times New Roman" w:hint="eastAsia"/>
          <w:sz w:val="32"/>
          <w:szCs w:val="32"/>
        </w:rPr>
        <w:t>其他交通费用</w:t>
      </w:r>
      <w:r>
        <w:rPr>
          <w:rFonts w:ascii="Times New Roman" w:eastAsia="方正仿宋_GBK" w:hAnsi="Times New Roman"/>
          <w:sz w:val="32"/>
          <w:szCs w:val="32"/>
        </w:rPr>
        <w:t>、</w:t>
      </w:r>
      <w:r>
        <w:rPr>
          <w:rFonts w:ascii="Times New Roman" w:eastAsia="方正仿宋_GBK" w:hAnsi="Times New Roman" w:hint="eastAsia"/>
          <w:sz w:val="32"/>
          <w:szCs w:val="32"/>
        </w:rPr>
        <w:t>其他商品和服务支出</w:t>
      </w:r>
      <w:r>
        <w:rPr>
          <w:rFonts w:ascii="Times New Roman" w:eastAsia="方正仿宋_GBK" w:hAnsi="Times New Roman"/>
          <w:sz w:val="32"/>
          <w:szCs w:val="32"/>
        </w:rPr>
        <w:t>、</w:t>
      </w:r>
      <w:r>
        <w:rPr>
          <w:rFonts w:ascii="Times New Roman" w:eastAsia="方正仿宋_GBK" w:hAnsi="Times New Roman" w:hint="eastAsia"/>
          <w:sz w:val="32"/>
          <w:szCs w:val="32"/>
        </w:rPr>
        <w:t>办公设备购置。</w:t>
      </w:r>
    </w:p>
    <w:p>
      <w:pPr>
        <w:pStyle w:val="18"/>
        <w:spacing w:line="560" w:lineRule="exact"/>
        <w:ind w:firstLineChars="200" w:firstLine="640"/>
        <w:rPr>
          <w:rFonts w:eastAsia="方正黑体_GBK"/>
          <w:sz w:val="32"/>
          <w:szCs w:val="32"/>
        </w:rPr>
      </w:pPr>
      <w:r>
        <w:rPr>
          <w:rFonts w:eastAsia="方正黑体_GBK" w:hint="eastAsia"/>
          <w:sz w:val="32"/>
          <w:szCs w:val="32"/>
        </w:rPr>
        <w:t>七、关于2024年“三公”经费预算情况说明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乌拉特海关2024年“三公”经费预算数为82.57万元，比2023年预算数增加23.07万元。其中：公务用车购置费25元，比2023年预算数增加13万元；公务用车运行费57.57万元，比2023年预算数增加10.07万元。主要是</w:t>
      </w:r>
      <w:r>
        <w:rPr>
          <w:rFonts w:ascii="Times New Roman" w:eastAsia="方正仿宋_GBK" w:hAnsi="Times New Roman"/>
          <w:sz w:val="32"/>
          <w:szCs w:val="32"/>
        </w:rPr>
        <w:t>海关系统公务用车老化严重，</w:t>
      </w:r>
      <w:r>
        <w:rPr>
          <w:rFonts w:ascii="Times New Roman" w:eastAsia="方正仿宋_GBK" w:hAnsi="Times New Roman" w:hint="eastAsia"/>
          <w:sz w:val="32"/>
          <w:szCs w:val="32"/>
        </w:rPr>
        <w:t>2024年</w:t>
      </w:r>
      <w:r>
        <w:rPr>
          <w:rFonts w:ascii="Times New Roman" w:eastAsia="方正仿宋_GBK" w:hAnsi="Times New Roman"/>
          <w:sz w:val="32"/>
          <w:szCs w:val="32"/>
        </w:rPr>
        <w:t>根据实际需求</w:t>
      </w:r>
      <w:r>
        <w:rPr>
          <w:rFonts w:ascii="Times New Roman" w:eastAsia="方正仿宋_GBK" w:hAnsi="Times New Roman" w:hint="eastAsia"/>
          <w:sz w:val="32"/>
          <w:szCs w:val="32"/>
        </w:rPr>
        <w:t>增加</w:t>
      </w:r>
      <w:r>
        <w:rPr>
          <w:rFonts w:ascii="Times New Roman" w:eastAsia="方正仿宋_GBK" w:hAnsi="Times New Roman"/>
          <w:sz w:val="32"/>
          <w:szCs w:val="32"/>
        </w:rPr>
        <w:t>公务用车购置，相应</w:t>
      </w:r>
      <w:r>
        <w:rPr>
          <w:rFonts w:ascii="Times New Roman" w:eastAsia="方正仿宋_GBK" w:hAnsi="Times New Roman" w:hint="eastAsia"/>
          <w:sz w:val="32"/>
          <w:szCs w:val="32"/>
        </w:rPr>
        <w:t>增加</w:t>
      </w:r>
      <w:r>
        <w:rPr>
          <w:rFonts w:ascii="Times New Roman" w:eastAsia="方正仿宋_GBK" w:hAnsi="Times New Roman"/>
          <w:sz w:val="32"/>
          <w:szCs w:val="32"/>
        </w:rPr>
        <w:t>公务用车运行费支出。</w:t>
      </w:r>
    </w:p>
    <w:p>
      <w:pPr>
        <w:pStyle w:val="18"/>
        <w:spacing w:line="560" w:lineRule="exact"/>
        <w:ind w:firstLineChars="200" w:firstLine="640"/>
        <w:rPr>
          <w:rFonts w:eastAsia="方正黑体_GBK"/>
          <w:sz w:val="32"/>
          <w:szCs w:val="32"/>
        </w:rPr>
      </w:pPr>
      <w:r>
        <w:rPr>
          <w:rFonts w:eastAsia="方正黑体_GBK" w:hint="eastAsia"/>
          <w:sz w:val="32"/>
          <w:szCs w:val="32"/>
        </w:rPr>
        <w:t>八、关于2024年政府性基金预算收支情况说明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乌拉特海关2024年无政府性基金预算收支。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九、关于2024年国有资本经营预算收支情况说明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乌拉特海关2024年无国有资本经营预算收支。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autoSpaceDE w:val="0"/>
        <w:autoSpaceDN w:val="0"/>
        <w:adjustRightInd w:val="0"/>
        <w:spacing w:line="560" w:lineRule="atLeast"/>
        <w:ind w:firstLine="640"/>
        <w:rPr>
          <w:rFonts w:ascii="Times New Roman" w:eastAsia="方正仿宋_GBK" w:hAnsi="Times New Roman"/>
          <w:color w:val="000000"/>
          <w:sz w:val="32"/>
          <w:szCs w:val="32"/>
        </w:rPr>
      </w:pPr>
      <w:r>
        <w:rPr>
          <w:rFonts w:ascii="Times New Roman" w:eastAsia="方正仿宋_GBK" w:hAnsi="Times New Roman" w:hint="eastAsia"/>
          <w:sz w:val="32"/>
          <w:szCs w:val="32"/>
        </w:rPr>
        <w:t>2024年乌拉特海关运行经费财政拨款预</w:t>
      </w:r>
      <w:r>
        <w:rPr>
          <w:rFonts w:ascii="Times New Roman" w:eastAsia="方正仿宋_GBK" w:hAnsi="Times New Roman" w:hint="eastAsia"/>
          <w:color w:val="000000"/>
          <w:sz w:val="32"/>
          <w:szCs w:val="32"/>
        </w:rPr>
        <w:t>算758.6</w:t>
      </w:r>
      <w:r>
        <w:rPr>
          <w:rFonts w:ascii="Times New Roman" w:eastAsia="方正仿宋_GBK" w:hAnsi="Times New Roman" w:hint="eastAsia"/>
          <w:sz w:val="32"/>
          <w:szCs w:val="32"/>
        </w:rPr>
        <w:t>万元，较2023年预</w:t>
      </w:r>
      <w:r>
        <w:rPr>
          <w:rFonts w:ascii="Times New Roman" w:eastAsia="方正仿宋_GBK" w:hAnsi="Times New Roman" w:hint="eastAsia"/>
          <w:color w:val="000000"/>
          <w:sz w:val="32"/>
          <w:szCs w:val="32"/>
        </w:rPr>
        <w:t>算增加41.98万元，增加5.86%。</w:t>
      </w:r>
      <w:r>
        <w:rPr>
          <w:rFonts w:ascii="Times New Roman" w:eastAsia="方正仿宋_GBK" w:hAnsi="Times New Roman" w:hint="eastAsia"/>
          <w:sz w:val="32"/>
          <w:szCs w:val="32"/>
        </w:rPr>
        <w:t>主要是</w:t>
      </w:r>
      <w:r>
        <w:rPr>
          <w:rFonts w:ascii="Times New Roman" w:eastAsia="方正仿宋_GBK" w:cs="宋体" w:hAnsi="Times New Roman" w:hint="eastAsia"/>
          <w:sz w:val="32"/>
          <w:szCs w:val="32"/>
          <w:lang w:val="zh-CN" w:bidi="mn-Mong-CN"/>
        </w:rPr>
        <w:t>人员变动，</w:t>
      </w:r>
      <w:r>
        <w:rPr>
          <w:rFonts w:ascii="Times New Roman" w:eastAsia="方正仿宋_GBK" w:hAnsi="Times New Roman" w:hint="eastAsia"/>
          <w:sz w:val="32"/>
          <w:szCs w:val="32"/>
        </w:rPr>
        <w:t>增加相关经费。</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2024年乌拉特海关政府采购预算总额1454.73万元，其中：政府采购货物预算27.88万元、政府采购服务预算1426.85万元。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截至2024年8月31日，乌拉特海关共有车辆9辆，其中，机要通信用车2辆、执法执勤用车7辆。单位价值100万元以上的设备7台（套）。</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2024年部门预算安排购置车辆1辆，为执法执勤用车。</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2024年对乌拉特海关一般公共预算拨款项目全面实施绩效目标管理，涉及一般公共预算当年拨款2392.94万元，一级项目8个，二级项目14个。根据以前年度绩效评价结果，优化</w:t>
      </w:r>
      <w:r>
        <w:rPr>
          <w:rFonts w:eastAsia="方正仿宋_GBK" w:hint="eastAsia"/>
          <w:sz w:val="32"/>
          <w:szCs w:val="32"/>
        </w:rPr>
        <w:t>缉私警察业务费</w:t>
      </w:r>
      <w:r>
        <w:rPr>
          <w:rFonts w:ascii="Times New Roman" w:eastAsia="方正仿宋_GBK" w:hAnsi="Times New Roman" w:hint="eastAsia"/>
          <w:sz w:val="32"/>
          <w:szCs w:val="32"/>
        </w:rPr>
        <w:t>等项目支出2024年预算安排，并进一步改进管理、完善政策。</w:t>
      </w:r>
    </w:p>
    <w:p>
      <w:pPr>
        <w:spacing w:line="560" w:lineRule="exact"/>
        <w:ind w:firstLineChars="200" w:firstLine="640"/>
        <w:rPr>
          <w:rFonts w:eastAsia="方正仿宋_GBK"/>
          <w:sz w:val="32"/>
          <w:szCs w:val="32"/>
        </w:rPr>
      </w:pPr>
      <w:r>
        <w:rPr>
          <w:rFonts w:ascii="Times New Roman" w:eastAsia="方正仿宋_GBK" w:hAnsi="Times New Roman" w:hint="eastAsia"/>
          <w:sz w:val="32"/>
          <w:szCs w:val="32"/>
        </w:rPr>
        <w:t>乌拉特</w:t>
      </w:r>
      <w:r>
        <w:rPr>
          <w:rFonts w:eastAsia="方正仿宋_GBK" w:hint="eastAsia"/>
          <w:sz w:val="32"/>
          <w:szCs w:val="32"/>
        </w:rPr>
        <w:t>海关在2024年度部门预算中反映口岸公共卫生安全专项等14个二级项目绩效目标表，</w:t>
      </w:r>
      <w:r>
        <w:rPr>
          <w:rFonts w:ascii="Times New Roman" w:eastAsia="方正仿宋_GBK" w:cs="Times New Roman" w:hAnsi="Times New Roman" w:hint="eastAsia"/>
          <w:sz w:val="32"/>
          <w:szCs w:val="32"/>
        </w:rPr>
        <w:t>详见第五部分附件。</w:t>
      </w:r>
    </w:p>
    <w:p>
      <w:pPr>
        <w:spacing w:line="560" w:lineRule="exact"/>
        <w:ind w:firstLineChars="200" w:firstLine="640"/>
        <w:rPr>
          <w:rFonts w:ascii="Times New Roman" w:eastAsia="方正仿宋_GBK" w:hAnsi="Times New Roman"/>
          <w:sz w:val="32"/>
          <w:szCs w:val="32"/>
        </w:rPr>
      </w:pPr>
    </w:p>
    <w:p>
      <w:pP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hint="eastAsia"/>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hint="eastAsia"/>
          <w:sz w:val="32"/>
          <w:szCs w:val="3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7"/>
        <w:gridCol w:w="1004"/>
        <w:gridCol w:w="1754"/>
        <w:gridCol w:w="815"/>
        <w:gridCol w:w="1754"/>
        <w:gridCol w:w="1756"/>
        <w:gridCol w:w="1002"/>
      </w:tblGrid>
      <w:tr>
        <w:trPr>
          <w:trHeight w:val="702"/>
        </w:trPr>
        <w:tc>
          <w:tcPr>
            <w:tcW w:w="8522"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2"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海关缉私办案费</w:t>
            </w:r>
          </w:p>
        </w:tc>
      </w:tr>
      <w:tr>
        <w:trPr>
          <w:trHeight w:val="439"/>
        </w:trPr>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2.00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1"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2.00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1"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1"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7"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目标1：持续保障乌拉特海关稽核查等工作正常开展，把好国门安全关；</w:t>
              <w:br/>
              <w:br/>
              <w:t xml:space="preserve">目标2：保障稽查重大专项行动，提升稽查查发技术、队伍能力； </w:t>
            </w:r>
          </w:p>
        </w:tc>
      </w:tr>
      <w:tr>
        <w:trPr>
          <w:trHeight w:val="600"/>
        </w:trPr>
        <w:tc>
          <w:tcPr>
            <w:tcW w:w="43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稽核查作业查发数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12</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挂牌案件办结率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12</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稽查工作按期完成率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对执法执勤工作有效保障</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有效打击普通货物、固体废物、走私等效果</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海关资产及专用设备运行维护费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92.17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92.17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 xml:space="preserve">目标1：通过各类装备、设备的运维，提高海关监管工作效率，提升海关监管科技含量，提升海关装备设备现代化、科技化水平，优化海关缉监管与服务；目标2：对海关各类实验室设施运行进行维护，保障符合《生物安全法》等法律法规要求，提高检测精准度；目标3：对海关技术业务用房进行必要维护，保障业务正常开展。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成本指标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经济成本指标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年仪器设备购置成本</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≤15万元</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运维监管场所个数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7</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运维实验室个数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7</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运维100万以上设备数量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≥7台/套</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6</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运维100万以下设备数量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≥500台/套</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6</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设备正常使用率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7</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大型设备维修及时率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≥≥60%%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7</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海关基础保障能力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稳定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30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进出口食品及化妆品安全专项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3.00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组织实施对进出口食品化妆品的检验检疫监督管理。目标2.对境外发生的食品化妆品安全事件可能对我国境内造成影响，或者在接到执行管理部门通报进口食品化妆品中发现严重安全问题的，组织实施安全风险分析和紧急预防措施工作。目标3.按照总署食安局部署，开展国内外食品化妆品技术法规收集与分析，开展进出口食品化妆品安全风险信息收集、汇总工作。                                                            目标4.组织制定年度进出口食品化妆品监督抽检和风险监测计划。</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完成年度进口食品安全监督抽检计划的次数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完成年度食品安全信息监测任务</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≥7条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组织进出口食品安全监管岗位培训（次）</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对执行管理部门通报的重大食品安全事件处置率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开展食品安全宣传周活动，推动进出口食品安全工作多元共治，加强进出口食品安全风险防范</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缉私警察业务费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53.41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53.41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目标1：保障海关缉私警察日常办案需要，优先保障大要案办案需要，确保海关缉私工作正常开展；</w:t>
              <w:br/>
              <w:t>目标2：通过开展情报调研、搜集与分析等工作，为打击走私提供线索支撑，提高精准查私能力；</w:t>
              <w:br/>
              <w:t xml:space="preserve">目标3：做好禁毒及缉毒工作，保护人民群众生命财产安全；                                                                                                                                                                                                 </w:t>
              <w:br/>
              <w:t>目标4：大力加强辖区打私工作，提升辖区整体打私效能；</w:t>
              <w:br/>
              <w:t>目标5：规范行业经济秩序，维护好国门安全。</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保障缉私警察人数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≥10人</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保障缉私机构数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刑事案件立案数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≥3件</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保障执法执勤用车数量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≥2辆</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重要情报处置率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保障海关缉私工作正常开展，提高打私能力，保护人民群众财产安全。</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口岸公共卫生安全专项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6.90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6.90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目标1．开展传染病跨境传播风险专题评估、快速评估、季度评估等。</w:t>
              <w:br/>
              <w:t>目标2. 依法依规履行卫生检疫职责，提高出入境检疫查验、传染病监测、国际旅行健康宣教和健康促进卫生监督以及卫生处理技术水平。</w:t>
              <w:br/>
              <w:t>目标3．持续巩固和提升已达标口岸的公共卫生核心能力水平，做好《国际卫生条例（2005）》要求的口岸公共卫生核心能力保持和提高等各项工作。</w:t>
              <w:br/>
              <w:t>目标4．口岸有效防止传染病跨境传播，有效开展症状监测，及时发现有症状者，开展有症状者检测和转交指定医院，实验室或临床确诊传染病。</w:t>
              <w:br/>
              <w:t>目标5．提高专业人员素质和能力，保证卫生检疫工作质量。</w:t>
              <w:br/>
              <w:t xml:space="preserve">目标6．科学有效实施特殊物品卫生检疫和风险防控，强化生物安全管理。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口岸传染病疫情风险评估次数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12</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传染病防控宣传次数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12</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高风险特殊物品风险评估比率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《全国口岸食品安全抽检计划》年度完成率（%）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国际重大烈性传染病防控</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有效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进出口商品质量安全检验监管专项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5.00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5.00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 xml:space="preserve">目标1：危化品等重点敏感商品检验监管能力持续加强，维护国门安全水平有效提升。目标2：获取进出口商品质量安全风险信息数量增加，风险评估及预警处置工作有序开展。目标3：基于风险评估结果深化商检业务改革，促进跨境贸易便利化水平有效提升，有力增强人民群众获得感。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进出口法检商品检验批次数量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≥1500批</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风险监测获取的有效信息数量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≥3条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完成课题研究报告数量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≥1份</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开展商检业务培训次数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≥1次数</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根据关区进出口商品质量安全风险状况通过二级风控实施布控的规则数量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保障人民生命健康安全有力有效</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国门生物安全专项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3.00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开展国门生物安全培训或宣传次数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≥2次/年</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12</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外来有害生物监测计划完成率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进出境动物疫病监测计划完成率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12</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进出口食用农产品和饲料安全风险监控计划完成率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13</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重大突发检验检疫问题处理率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业务人员满意度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海关业务保障及能力提升专项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74.68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74.68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目标1：通过开展相关业务培训，提高海关执法人员的业务能力与工作水平。</w:t>
              <w:br/>
              <w:t>目标2：提高海关现代化的业务水平，保障国门安全防线严密牢固，监管执法有力，风险防控无重大疏漏，打击走私行为严厉有效，科技技术水平明显提升，综合保障能力健全，基础建设更加完善 。</w:t>
              <w:br/>
              <w:t>目标3：立足乌拉特海关工作实际，针对不同车辆现状进行更新配备，保障执法执勤工作正常开展。</w:t>
              <w:br/>
              <w:t>目标4：满足海关业务现场开展工作的各项需要，包括海关业务现场根据需要购买专用耗材、为现场工作购买劳务等。</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保障业务现场数量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≥3个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保障执法执勤用车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≥5辆</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开展业务培训</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≥4期次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监管业务现场保障覆盖率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行政执法年度工作计划完成率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经济效益指标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提升关区执法能力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缉私部门计算机网络运行维护</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6.40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6.40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目标1：保证各关区缉私部门相关网络正常运行；目标2：保障缉私相关系统平稳运行。目标3：提升业务保障能力。目标4：更新部分国产化设备。</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成本指标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经济成本指标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计算机设备购置成本</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≤2.88万元</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软、硬件配置完成率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网络、流量接入完成率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系统故障率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计算机设备验收完成率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年度发生重大公安网络安全事件</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提升缉私民警办案水平</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30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地方拨入专项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1,962.34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1,962.34 </w:t>
            </w:r>
          </w:p>
        </w:tc>
        <w:tc>
          <w:tcPr>
            <w:tcW w:w="1002" w:type="dxa"/>
            <w:vMerge/>
            <w:tcBorders>
              <w:top w:val="nil"/>
              <w:left w:val="single" w:sz="4" w:space="0" w:color="auto"/>
              <w:bottom w:val="single" w:sz="4" w:space="0" w:color="000000"/>
              <w:right w:val="single" w:sz="4" w:space="0" w:color="auto"/>
            </w:tcBorders>
            <w:vAlign w:val="center"/>
          </w:tcPr>
          <w:p/>
        </w:tc>
      </w:tr>
      <w:tr>
        <w:trPr>
          <w:trHeight w:val="4414"/>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spacing w:after="240"/>
              <w:rPr>
                <w:rFonts w:ascii="宋体" w:cs="宋体"/>
                <w:kern w:val="0"/>
                <w:sz w:val="22"/>
                <w:lang w:bidi="mn-Mong-CN"/>
              </w:rPr>
            </w:pPr>
            <w:r>
              <w:rPr>
                <w:rFonts w:ascii="宋体" w:cs="宋体" w:hint="eastAsia"/>
                <w:kern w:val="0"/>
                <w:szCs w:val="21"/>
                <w:lang w:bidi="mn-Mong-CN"/>
              </w:rPr>
              <w:t>目标1.持续优化口岸营商环境。扎实推进口岸提效降费，推进入境检验检疫证明电子化；推广应用“进口提前审结”通关模式，提高通关效率，推动中欧班建设相关事宜，</w:t>
              <w:br/>
              <w:t>目标2.坚持打击走私综合治理。全面贯彻落实党和国家关于打击走私的战略决策和工作部署，认真分析研判辖区经济形势和走私发展态势，对各类走私犯罪活动进行坚决打击。重点打击蒙古国疫情动物产品、固体废物走私、珍贵动物及其制品、毒品等走私犯罪活动。</w:t>
              <w:br/>
              <w:t>目标3.全力做好口岸地区疫情防控工作。针对蒙方疫情防控新形势，做好入出境人员卫生检疫工作，加强疫情监测和风险评估，及时调整防控策略；采取有效措施保障口岸公共卫生安全，严防疫情流行和跨境传播。</w:t>
              <w:br/>
              <w:t>目标4.延长口岸通关时间。响应地方口岸管理部门延长通关时间的需求，取消中午休息时间，实行早八点至晚八点12小时工作制</w:t>
              <w:br/>
              <w:t>目标5.支持地方保税物流中心（B型）建设。指导企业用足用好政策，增强出口企业国际竞争力，服务巴市外向型经济发展。</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运维业务用房或监管场所数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≥5个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运维实验室专用设备数量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≥10台/套</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保障协勤人员人数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≥59.00人</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仪器设备校准计划完成率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化矿实验室样品检测时效</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≤10.00天</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进出口商品检（监）测准确率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持续有效优化口岸营商环境</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监管查验技术装备设备购建及能力保障专项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37.69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37.69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目标1：为关区海关监管现场配备货运、旅检、快邮等渠道监管查验技术装备，进一步提升进出口（境）监管查验能力，提高通关便利化水平；</w:t>
              <w:br/>
              <w:t>目标2：保障关区海关监管装备运行维护经费，确保监管装备正常可用，有效支撑进出口（境）监管工作正常进行。</w:t>
              <w:br/>
              <w:t>目标3：组织开展海关口岸监管环节反恐模拟演练、技能培训、工作宣传、研究调研等工作，提升海关口岸监管环节反恐怖工作能力。</w:t>
              <w:br/>
              <w:t>目标4：根据工作需求，购买小型防护装备、测试材料等，提升海关口岸监管环节反恐人防、物防、技防水平。</w:t>
              <w:br/>
              <w:t xml:space="preserve">目标5：做好口岸监管工作用犬工作的正常运行与维护，保障监管工作用犬正常购置/租用、饲养、初训与复训、考核、使用等。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反恐专项宣传次数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运维H986、CT机等大型监管查验装备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≥2台/套</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组织开展口岸反恐模拟演练</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保障口岸监管工作用犬数量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≥1只</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装备设备验收完成及时率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H986、CT机等大型监管查验设备全年正常运行率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口岸监管环节反恐能力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海关仪器设备购置及能力保障专项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56.00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56.00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目标1：保障乌拉特海关关区行政执法、风险管理等各项业务日常经费需求,保障海关行政执法能力和执法水平；目标2：保障乌拉特海关关区行政执法技术支持的能力储备和其他支出需求；</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成本指标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经济成本指标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年仪器设备购置成本</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≤49万元</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购置海关实验室仪器设备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≥1台/套</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仪器设备采购计划完成率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仪器设备验收完成率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法检自检率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提升关区实验室技术能力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海关法检业务工作专项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37.60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37.60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1.通过开展动植物、卫生、食品和商品等法检工作，持续加强检验检疫监管能力，筑牢国门生物安全屏障，提升口岸疫病防控能力。</w:t>
              <w:br/>
              <w:br/>
              <w:t>2.通过对海关法检实验室进行运维，保障实验室的检验检疫业务正常开展，促进实验室持续高质量运转。</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法检批次数量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≥0.22万批次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试剂耗材购置数量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≥4批次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优化进出口商品检验模式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因海关商检职能管理原因导致的系统性、区域性进出口商品质量安全事故发生率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进出口商品检验模式改革为企业节约成本</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筑牢国家生物安全屏障，切实维护好国家生物安全</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 xml:space="preserve">是 </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企业对监测结果的满意度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cBorders>
            <w:shd w:val="clear" w:color="auto" w:fill="auto"/>
          </w:tcPr>
          <w:p>
            <w:pPr>
              <w:widowControl/>
              <w:jc w:val="center"/>
              <w:rPr>
                <w:rFonts w:ascii="宋体" w:cs="宋体"/>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艰苦地区边关综合保障专项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中华人民共和国乌拉特海关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112.56 </w:t>
            </w:r>
          </w:p>
        </w:tc>
        <w:tc>
          <w:tcPr>
            <w:tcW w:w="1002" w:type="dxa"/>
            <w:vMerge w:val="restart"/>
            <w:tcBorders>
              <w:top w:val="nil"/>
              <w:left w:val="single" w:sz="4" w:space="0" w:color="auto"/>
              <w:bottom w:val="single" w:sz="4" w:space="0" w:color="000000"/>
              <w:right w:val="single" w:sz="4" w:space="0" w:color="auto"/>
            </w:tcBorders>
            <w:shd w:val="clear" w:color="000000" w:fill="C7EDCC"/>
            <w:vAlign w:val="center"/>
          </w:tcPr>
          <w:p>
            <w:pPr>
              <w:widowControl/>
              <w:jc w:val="center"/>
              <w:rPr>
                <w:rFonts w:ascii="宋体" w:cs="宋体"/>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112.56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目标1：改善乌拉特海关艰苦地区边关工作、生活条件；</w:t>
              <w:br/>
              <w:br/>
              <w:t>目标2：更精准的保障乌拉特海关艰苦地区边关政策倾斜和资金，逐步缩小与同地区戍边部队、边检等单位基础设施和工作生活条件保障差距。</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个人防护用具、应急药品</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≥1000元/人</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保障关警员数量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≥100人</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运维保障暖心工程数量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≥2项</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保障艰苦地区边关数量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≥1各</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验收合格率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8</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体检覆盖率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效益指标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保障边关关警员生命健康安全</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 xml:space="preserve"> 提升艰苦边关保障质量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lang w:bidi="mn-Mong-CN"/>
              </w:rPr>
            </w:pPr>
            <w:r>
              <w:rPr>
                <w:rFonts w:ascii="宋体" w:cs="宋体" w:hint="eastAsia"/>
                <w:kern w:val="0"/>
                <w:sz w:val="22"/>
                <w:lang w:bidi="mn-Mong-CN"/>
              </w:rPr>
              <w:t>关警员满意度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lang w:bidi="mn-Mong-CN"/>
              </w:rPr>
            </w:pPr>
            <w:r>
              <w:rPr>
                <w:rFonts w:ascii="宋体" w:cs="宋体" w:hint="eastAsia"/>
                <w:kern w:val="0"/>
                <w:sz w:val="22"/>
                <w:lang w:bidi="mn-Mong-CN"/>
              </w:rPr>
              <w:t>10</w:t>
            </w:r>
          </w:p>
        </w:tc>
      </w:tr>
    </w:tbl>
    <w:p>
      <w:pPr>
        <w:jc w:val="left"/>
        <w:rPr>
          <w:rFonts w:ascii="Times New Roman" w:eastAsia="方正仿宋_GBK" w:hAnsi="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jc w:val="center"/>
    </w:pPr>
    <w:r>
      <w:t xml:space="preserve">- </w:t>
    </w:r>
    <w:r>
      <w:fldChar w:fldCharType="begin"/>
    </w:r>
    <w:r>
      <w:instrText>PAGE</w:instrText>
    </w:r>
    <w:r>
      <w:fldChar w:fldCharType="separate"/>
    </w:r>
    <w:r>
      <w:t>32</w:t>
    </w:r>
    <w:r>
      <w:fldChar w:fldCharType="end"/>
    </w:r>
    <w:r>
      <w:t xml:space="preserve"> -</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lang w:bidi="ar-SA"/>
    </w:rPr>
  </w:style>
  <w:style w:type="character" w:customStyle="1" w:styleId="23">
    <w:name w:val="font61"/>
    <w:basedOn w:val="10"/>
    <w:rPr>
      <w:rFonts w:ascii="宋体" w:eastAsia="宋体" w:cs="宋体"/>
      <w:color w:val="000000"/>
      <w:sz w:val="22"/>
      <w:szCs w:val="22"/>
      <w:u w:val="none"/>
      <w:lang w:bidi="ar-SA"/>
    </w:rPr>
  </w:style>
  <w:style w:type="character" w:customStyle="1" w:styleId="24">
    <w:name w:val="font71"/>
    <w:basedOn w:val="10"/>
    <w:rPr>
      <w:rFonts w:ascii="Times New Roman" w:cs="Times New Roman" w:hAnsi="Times New Roman"/>
      <w:color w:val="000000"/>
      <w:sz w:val="22"/>
      <w:szCs w:val="22"/>
      <w:u w:val="none"/>
      <w:lang w:bidi="ar-SA"/>
    </w:rPr>
  </w:style>
  <w:style w:type="character" w:customStyle="1" w:styleId="25">
    <w:name w:val="font51"/>
    <w:basedOn w:val="10"/>
    <w:rPr>
      <w:rFonts w:ascii="宋体" w:eastAsia="宋体" w:cs="宋体"/>
      <w:color w:val="000000"/>
      <w:sz w:val="22"/>
      <w:szCs w:val="22"/>
      <w:u w:val="none"/>
      <w:lang w:bidi="ar-SA"/>
    </w:rPr>
  </w:style>
  <w:style w:type="character" w:customStyle="1" w:styleId="26">
    <w:name w:val="font01"/>
    <w:basedOn w:val="10"/>
    <w:rPr>
      <w:rFonts w:ascii="宋体" w:eastAsia="宋体" w:cs="宋体"/>
      <w:color w:val="000000"/>
      <w:sz w:val="22"/>
      <w:szCs w:val="22"/>
      <w:u w:val="none"/>
      <w:lang w:bidi="ar-SA"/>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样式 10 磅"/>
    <w:pPr>
      <w:widowControl w:val="0"/>
      <w:jc w:val="both"/>
    </w:pPr>
    <w:rPr>
      <w:rFonts w:ascii="Times New Roman" w:eastAsia="宋体" w:cs="Times New Roman" w:hAnsi="Times New Roman"/>
      <w:kern w:val="2"/>
      <w:sz w:val="21"/>
      <w:szCs w:val="21"/>
      <w:lang w:val="en-US" w:eastAsia="zh-CN" w:bidi="ar-SA"/>
    </w:rPr>
  </w:style>
  <w:style w:type="paragraph" w:customStyle="1" w:styleId="31">
    <w:name w:val="样式 3 10 磅"/>
    <w:pPr>
      <w:widowControl w:val="0"/>
      <w:jc w:val="both"/>
    </w:pPr>
    <w:rPr>
      <w:rFonts w:ascii="Calibri" w:eastAsia="宋体" w:cs="Arial" w:hAnsi="Calibri"/>
      <w:kern w:val="2"/>
      <w:sz w:val="21"/>
      <w:szCs w:val="22"/>
      <w:lang w:val="en-US" w:eastAsia="zh-CN" w:bidi="ar-SA"/>
    </w:rPr>
  </w:style>
  <w:style w:type="paragraph" w:customStyle="1" w:styleId="32">
    <w:name w:val="样式 5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5.png"/><Relationship Id="rId5" Type="http://schemas.openxmlformats.org/officeDocument/2006/relationships/oleObject" Target="embeddings/oleObject1.bin"/><Relationship Id="rId6" Type="http://schemas.openxmlformats.org/officeDocument/2006/relationships/image" Target="media/7.png"/><Relationship Id="rId7" Type="http://schemas.openxmlformats.org/officeDocument/2006/relationships/oleObject" Target="embeddings/oleObject2.bin"/><Relationship Id="rId8" Type="http://schemas.openxmlformats.org/officeDocument/2006/relationships/image" Target="media/9.png"/><Relationship Id="rId9" Type="http://schemas.openxmlformats.org/officeDocument/2006/relationships/oleObject" Target="embeddings/oleObject3.bin"/><Relationship Id="rId10" Type="http://schemas.openxmlformats.org/officeDocument/2006/relationships/image" Target="media/11.png"/><Relationship Id="rId11" Type="http://schemas.openxmlformats.org/officeDocument/2006/relationships/oleObject" Target="embeddings/oleObject4.bin"/><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35</TotalTime>
  <Application>Yozo_Office</Application>
  <Pages>46</Pages>
  <Words>14207</Words>
  <Characters>17479</Characters>
  <Lines>2642</Lines>
  <Paragraphs>1697</Paragraphs>
  <CharactersWithSpaces>18443</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朱慧</cp:lastModifiedBy>
  <cp:revision>2</cp:revision>
  <dcterms:created xsi:type="dcterms:W3CDTF">2024-04-28T11:55:00Z</dcterms:created>
  <dcterms:modified xsi:type="dcterms:W3CDTF">2024-04-30T03:30:48Z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