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autoSpaceDN w:val="0"/>
        <w:jc w:val="center"/>
        <w:rPr>
          <w:rFonts w:ascii="Times New Roman" w:cs="Times New Roman" w:hAnsi="Times New Roman"/>
          <w:sz w:val="48"/>
          <w:szCs w:val="48"/>
        </w:rPr>
      </w:pPr>
      <w:r>
        <w:rPr>
          <w:rFonts w:ascii="Times New Roman" w:cs="Times New Roman" w:hAnsi="Times New Roman"/>
          <w:sz w:val="48"/>
          <w:szCs w:val="48"/>
        </w:rPr>
        <w:t xml:space="preserve">       </w:t>
      </w:r>
    </w:p>
    <w:p>
      <w:pPr>
        <w:autoSpaceDN w:val="0"/>
        <w:jc w:val="center"/>
        <w:rPr>
          <w:rFonts w:ascii="Times New Roman" w:cs="Times New Roman" w:hAnsi="Times New Roman"/>
          <w:sz w:val="48"/>
          <w:szCs w:val="48"/>
        </w:rPr>
      </w:pPr>
    </w:p>
    <w:p>
      <w:pPr>
        <w:autoSpaceDN w:val="0"/>
        <w:jc w:val="center"/>
        <w:rPr>
          <w:rFonts w:ascii="Times New Roman" w:cs="Times New Roman" w:hAnsi="Times New Roman"/>
          <w:sz w:val="48"/>
          <w:szCs w:val="48"/>
        </w:rPr>
      </w:pPr>
    </w:p>
    <w:p>
      <w:pPr>
        <w:autoSpaceDN w:val="0"/>
        <w:jc w:val="center"/>
        <w:rPr>
          <w:rFonts w:ascii="Times New Roman" w:cs="Times New Roman" w:hAnsi="Times New Roman"/>
          <w:sz w:val="48"/>
          <w:szCs w:val="48"/>
        </w:rPr>
      </w:pPr>
    </w:p>
    <w:p>
      <w:pPr>
        <w:autoSpaceDN w:val="0"/>
        <w:jc w:val="center"/>
        <w:rPr>
          <w:rFonts w:ascii="Times New Roman" w:cs="Times New Roman" w:hAnsi="Times New Roman"/>
          <w:sz w:val="48"/>
          <w:szCs w:val="48"/>
        </w:rPr>
      </w:pPr>
      <w:r>
        <w:rPr>
          <w:rFonts w:ascii="Times New Roman" w:cs="Times New Roman" w:hAnsi="Times New Roman"/>
          <w:sz w:val="48"/>
          <w:szCs w:val="48"/>
        </w:rPr>
        <w:t xml:space="preserve">                 </w:t>
      </w:r>
      <w:r>
        <w:drawing>
          <wp:inline distT="0" distB="0" distL="0" distR="0">
            <wp:extent cx="3067050" cy="3067050"/>
            <wp:effectExtent l="0" t="0" r="0" b="0"/>
            <wp:docPr id="1" name="图片 1" descr="C:\Users\lenovo\AppData\Local\Temp\ksohtml11336\wps1.jpg"/>
            <wp:cNvGraphicFramePr>
              <a:graphicFrameLocks noChangeAspect="1"/>
            </wp:cNvGraphicFramePr>
            <a:graphic>
              <a:graphicData uri="http://schemas.openxmlformats.org/drawingml/2006/picture">
                <pic:pic>
                  <pic:nvPicPr>
                    <pic:cNvPr id="3" name="图片 1 3"/>
                    <pic:cNvPicPr/>
                  </pic:nvPicPr>
                  <pic:blipFill>
                    <a:blip r:embed="rId2"/>
                    <a:stretch>
                      <a:fillRect/>
                    </a:stretch>
                  </pic:blipFill>
                  <pic:spPr>
                    <a:xfrm rot="0">
                      <a:off x="0" y="0"/>
                      <a:ext cx="3067050" cy="3067050"/>
                    </a:xfrm>
                    <a:prstGeom prst="rect"/>
                    <a:noFill/>
                    <a:ln w="9525" cmpd="sng" cap="flat">
                      <a:noFill/>
                      <a:prstDash val="solid"/>
                      <a:miter/>
                    </a:ln>
                  </pic:spPr>
                </pic:pic>
              </a:graphicData>
            </a:graphic>
          </wp:inline>
        </w:drawing>
      </w:r>
    </w:p>
    <w:p>
      <w:pPr>
        <w:autoSpaceDN w:val="0"/>
        <w:jc w:val="center"/>
        <w:rPr>
          <w:rFonts w:ascii="Times New Roman" w:cs="Times New Roman" w:hAnsi="Times New Roman"/>
          <w:sz w:val="48"/>
          <w:szCs w:val="48"/>
        </w:rPr>
      </w:pPr>
      <w:r>
        <w:rPr>
          <w:rFonts w:ascii="Times New Roman" w:cs="Times New Roman" w:hAnsi="Times New Roman"/>
          <w:sz w:val="48"/>
          <w:szCs w:val="48"/>
        </w:rPr>
        <w:t xml:space="preserve">                   </w:t>
      </w:r>
    </w:p>
    <w:p>
      <w:pPr>
        <w:autoSpaceDN w:val="0"/>
        <w:jc w:val="center"/>
        <w:rPr>
          <w:rFonts w:ascii="Times New Roman" w:cs="Times New Roman" w:hAnsi="Times New Roman"/>
          <w:sz w:val="84"/>
          <w:szCs w:val="84"/>
        </w:rPr>
      </w:pPr>
      <w:r>
        <w:rPr>
          <w:rFonts w:ascii="Times New Roman" w:hAnsi="Times New Roman" w:hint="eastAsia"/>
          <w:sz w:val="84"/>
          <w:szCs w:val="84"/>
        </w:rPr>
        <w:t>鄂尔多斯海关</w:t>
      </w:r>
    </w:p>
    <w:p>
      <w:pPr>
        <w:autoSpaceDN w:val="0"/>
        <w:jc w:val="center"/>
        <w:rPr>
          <w:rFonts w:ascii="Times New Roman" w:cs="Times New Roman" w:hAnsi="Times New Roman"/>
          <w:sz w:val="84"/>
          <w:szCs w:val="84"/>
        </w:rPr>
      </w:pPr>
      <w:r>
        <w:rPr>
          <w:rFonts w:ascii="Times New Roman" w:hAnsi="Times New Roman" w:hint="eastAsia"/>
          <w:sz w:val="84"/>
          <w:szCs w:val="84"/>
        </w:rPr>
        <w:t>部门预算</w:t>
      </w:r>
    </w:p>
    <w:p>
      <w:pPr>
        <w:autoSpaceDN w:val="0"/>
        <w:jc w:val="center"/>
        <w:rPr>
          <w:rFonts w:ascii="Times New Roman" w:cs="Times New Roman" w:hAnsi="Times New Roman"/>
          <w:sz w:val="44"/>
          <w:szCs w:val="44"/>
        </w:rPr>
      </w:pPr>
      <w:r>
        <w:rPr>
          <w:rFonts w:ascii="Times New Roman" w:cs="Times New Roman" w:hAnsi="Times New Roman"/>
          <w:sz w:val="44"/>
          <w:szCs w:val="44"/>
        </w:rPr>
        <w:t>2024</w:t>
      </w:r>
      <w:r>
        <w:rPr>
          <w:rFonts w:ascii="Times New Roman" w:hAnsi="Times New Roman" w:hint="eastAsia"/>
          <w:sz w:val="44"/>
          <w:szCs w:val="44"/>
        </w:rPr>
        <w:t>年</w:t>
      </w:r>
    </w:p>
    <w:p>
      <w:pPr>
        <w:autoSpaceDN w:val="0"/>
        <w:jc w:val="center"/>
        <w:rPr>
          <w:rFonts w:ascii="Times New Roman" w:cs="Times New Roman" w:hAnsi="Times New Roman"/>
          <w:sz w:val="44"/>
          <w:szCs w:val="44"/>
        </w:rPr>
      </w:pPr>
      <w:r>
        <w:rPr>
          <w:rFonts w:ascii="Times New Roman" w:cs="Times New Roman" w:hAnsi="Times New Roman"/>
          <w:sz w:val="44"/>
          <w:szCs w:val="44"/>
        </w:rPr>
        <w:t xml:space="preserve"> </w:t>
      </w:r>
    </w:p>
    <w:p>
      <w:pPr>
        <w:autoSpaceDN w:val="0"/>
        <w:jc w:val="center"/>
        <w:rPr>
          <w:rFonts w:ascii="Times New Roman" w:eastAsia="方正仿宋_GBK" w:cs="Times New Roman" w:hAnsi="Times New Roman"/>
          <w:sz w:val="84"/>
          <w:szCs w:val="84"/>
        </w:rPr>
      </w:pPr>
    </w:p>
    <w:p>
      <w:pPr>
        <w:widowControl/>
        <w:jc w:val="left"/>
        <w:rPr>
          <w:rFonts w:ascii="宋体" w:cs="宋体"/>
          <w:kern w:val="0"/>
          <w:sz w:val="24"/>
          <w:szCs w:val="24"/>
        </w:rPr>
        <w:sectPr>
          <w:pgSz w:w="11906" w:h="16838"/>
          <w:pgMar w:top="1440" w:right="1800" w:bottom="1440" w:left="1800" w:header="851" w:footer="992" w:gutter="0"/>
          <w:pgNumType w:start="0"/>
          <w:docGrid w:type="lines" w:linePitch="312" w:charSpace="0"/>
        </w:sectPr>
      </w:pPr>
    </w:p>
    <w:p>
      <w:pPr>
        <w:autoSpaceDN w:val="0"/>
        <w:jc w:val="center"/>
        <w:rPr>
          <w:rFonts w:ascii="Times New Roman" w:cs="Times New Roman" w:hAnsi="Times New Roman"/>
          <w:b/>
          <w:bCs/>
          <w:sz w:val="84"/>
          <w:szCs w:val="84"/>
          <w:lang w:bidi="ar-SA"/>
        </w:rPr>
      </w:pPr>
      <w:r>
        <w:rPr>
          <w:rFonts w:ascii="Times New Roman" w:eastAsia="方正仿宋_GBK" w:cs="Times New Roman" w:hAnsi="Times New Roman"/>
          <w:sz w:val="84"/>
          <w:szCs w:val="84"/>
        </w:rPr>
        <w:tab/>
      </w:r>
      <w:r>
        <w:rPr>
          <w:rFonts w:ascii="宋体" w:hint="eastAsia"/>
          <w:b/>
          <w:bCs/>
          <w:sz w:val="84"/>
          <w:szCs w:val="84"/>
        </w:rPr>
        <w:t>目</w:t>
      </w:r>
      <w:r>
        <w:rPr>
          <w:b/>
          <w:bCs/>
          <w:sz w:val="84"/>
          <w:szCs w:val="84"/>
        </w:rPr>
        <w:t xml:space="preserve">  </w:t>
      </w:r>
      <w:r>
        <w:rPr>
          <w:rFonts w:ascii="宋体" w:hint="eastAsia"/>
          <w:b/>
          <w:bCs/>
          <w:sz w:val="84"/>
          <w:szCs w:val="84"/>
        </w:rPr>
        <w:t>录</w:t>
      </w:r>
    </w:p>
    <w:p>
      <w:pPr>
        <w:autoSpaceDN w:val="0"/>
        <w:jc w:val="center"/>
        <w:rPr>
          <w:b/>
          <w:bCs/>
          <w:sz w:val="84"/>
          <w:szCs w:val="84"/>
        </w:rPr>
      </w:pPr>
      <w:r>
        <w:rPr>
          <w:b/>
          <w:bCs/>
          <w:sz w:val="84"/>
          <w:szCs w:val="84"/>
        </w:rPr>
        <w:t xml:space="preserve"> </w:t>
      </w:r>
    </w:p>
    <w:p>
      <w:pPr>
        <w:autoSpaceDN w:val="0"/>
        <w:rPr>
          <w:b/>
          <w:bCs/>
          <w:sz w:val="44"/>
          <w:szCs w:val="44"/>
        </w:rPr>
      </w:pPr>
      <w:r>
        <w:rPr>
          <w:rFonts w:ascii="宋体" w:hint="eastAsia"/>
          <w:b/>
          <w:bCs/>
          <w:sz w:val="44"/>
          <w:szCs w:val="44"/>
        </w:rPr>
        <w:t>第一部分</w:t>
      </w:r>
      <w:r>
        <w:rPr>
          <w:b/>
          <w:bCs/>
          <w:sz w:val="44"/>
          <w:szCs w:val="44"/>
        </w:rPr>
        <w:t xml:space="preserve">  </w:t>
      </w:r>
      <w:r>
        <w:rPr>
          <w:rFonts w:hint="eastAsia"/>
          <w:b/>
          <w:bCs/>
          <w:sz w:val="44"/>
          <w:szCs w:val="44"/>
        </w:rPr>
        <w:t>鄂尔多斯</w:t>
      </w:r>
      <w:r>
        <w:rPr>
          <w:rFonts w:ascii="宋体" w:hint="eastAsia"/>
          <w:b/>
          <w:bCs/>
          <w:sz w:val="44"/>
          <w:szCs w:val="44"/>
        </w:rPr>
        <w:t>海关单位概况</w:t>
      </w:r>
    </w:p>
    <w:p>
      <w:pPr>
        <w:autoSpaceDN w:val="0"/>
        <w:rPr>
          <w:sz w:val="36"/>
          <w:szCs w:val="36"/>
        </w:rPr>
      </w:pPr>
      <w:r>
        <w:rPr>
          <w:rFonts w:ascii="宋体" w:hint="eastAsia"/>
          <w:sz w:val="36"/>
          <w:szCs w:val="36"/>
        </w:rPr>
        <w:t>一、主要职能</w:t>
      </w:r>
    </w:p>
    <w:p>
      <w:pPr>
        <w:autoSpaceDN w:val="0"/>
        <w:rPr>
          <w:sz w:val="36"/>
          <w:szCs w:val="36"/>
        </w:rPr>
      </w:pPr>
      <w:r>
        <w:rPr>
          <w:rFonts w:ascii="宋体" w:hint="eastAsia"/>
          <w:sz w:val="36"/>
          <w:szCs w:val="36"/>
        </w:rPr>
        <w:t>二、鄂尔多斯海关单位构成情况</w:t>
      </w:r>
      <w:r>
        <w:rPr>
          <w:sz w:val="36"/>
          <w:szCs w:val="36"/>
        </w:rPr>
        <w:t xml:space="preserve"> </w:t>
      </w:r>
    </w:p>
    <w:p>
      <w:pPr>
        <w:autoSpaceDN w:val="0"/>
        <w:rPr>
          <w:b/>
          <w:bCs/>
          <w:sz w:val="44"/>
          <w:szCs w:val="44"/>
        </w:rPr>
      </w:pPr>
      <w:r>
        <w:rPr>
          <w:rFonts w:ascii="宋体" w:hint="eastAsia"/>
          <w:b/>
          <w:bCs/>
          <w:sz w:val="44"/>
          <w:szCs w:val="44"/>
        </w:rPr>
        <w:t>第二部分</w:t>
      </w:r>
      <w:r>
        <w:rPr>
          <w:b/>
          <w:bCs/>
          <w:sz w:val="44"/>
          <w:szCs w:val="44"/>
        </w:rPr>
        <w:t xml:space="preserve">  </w:t>
      </w:r>
      <w:r>
        <w:rPr>
          <w:rFonts w:hint="eastAsia"/>
          <w:b/>
          <w:bCs/>
          <w:sz w:val="44"/>
          <w:szCs w:val="44"/>
        </w:rPr>
        <w:t>鄂尔多斯</w:t>
      </w:r>
      <w:r>
        <w:rPr>
          <w:rFonts w:ascii="宋体" w:hint="eastAsia"/>
          <w:b/>
          <w:bCs/>
          <w:sz w:val="44"/>
          <w:szCs w:val="44"/>
        </w:rPr>
        <w:t>海关</w:t>
      </w:r>
      <w:r>
        <w:rPr>
          <w:b/>
          <w:bCs/>
          <w:sz w:val="44"/>
          <w:szCs w:val="44"/>
        </w:rPr>
        <w:t>2024</w:t>
      </w:r>
      <w:r>
        <w:rPr>
          <w:rFonts w:ascii="宋体" w:hint="eastAsia"/>
          <w:b/>
          <w:bCs/>
          <w:sz w:val="44"/>
          <w:szCs w:val="44"/>
        </w:rPr>
        <w:t>年部门预算表</w:t>
      </w:r>
    </w:p>
    <w:p>
      <w:pPr>
        <w:autoSpaceDN w:val="0"/>
        <w:rPr>
          <w:color w:val="3366FF"/>
          <w:sz w:val="36"/>
          <w:szCs w:val="36"/>
        </w:rPr>
      </w:pPr>
      <w:r>
        <w:rPr>
          <w:rFonts w:ascii="宋体" w:hint="eastAsia"/>
          <w:sz w:val="36"/>
          <w:szCs w:val="36"/>
        </w:rPr>
        <w:t>一、部门收支总表</w:t>
      </w:r>
    </w:p>
    <w:p>
      <w:pPr>
        <w:pStyle w:val="22"/>
        <w:autoSpaceDN w:val="0"/>
        <w:rPr>
          <w:sz w:val="36"/>
          <w:szCs w:val="36"/>
        </w:rPr>
      </w:pPr>
      <w:r>
        <w:rPr>
          <w:rFonts w:ascii="宋体" w:hint="eastAsia"/>
          <w:sz w:val="36"/>
          <w:szCs w:val="36"/>
        </w:rPr>
        <w:t>二、部门收入总表</w:t>
      </w:r>
    </w:p>
    <w:p>
      <w:pPr>
        <w:pStyle w:val="21"/>
        <w:autoSpaceDN w:val="0"/>
        <w:rPr>
          <w:sz w:val="36"/>
          <w:szCs w:val="36"/>
        </w:rPr>
      </w:pPr>
      <w:r>
        <w:rPr>
          <w:rFonts w:ascii="宋体" w:hint="eastAsia"/>
          <w:sz w:val="36"/>
          <w:szCs w:val="36"/>
        </w:rPr>
        <w:t>三、部门支出总表</w:t>
      </w:r>
    </w:p>
    <w:p>
      <w:pPr>
        <w:autoSpaceDN w:val="0"/>
        <w:rPr>
          <w:sz w:val="36"/>
          <w:szCs w:val="36"/>
        </w:rPr>
      </w:pPr>
      <w:r>
        <w:rPr>
          <w:rFonts w:ascii="宋体" w:hint="eastAsia"/>
          <w:sz w:val="36"/>
          <w:szCs w:val="36"/>
        </w:rPr>
        <w:t>四、财政拨款收支总表</w:t>
      </w:r>
    </w:p>
    <w:p>
      <w:pPr>
        <w:autoSpaceDN w:val="0"/>
        <w:rPr>
          <w:sz w:val="36"/>
          <w:szCs w:val="36"/>
        </w:rPr>
      </w:pPr>
      <w:r>
        <w:rPr>
          <w:rFonts w:ascii="宋体" w:hint="eastAsia"/>
          <w:sz w:val="36"/>
          <w:szCs w:val="36"/>
        </w:rPr>
        <w:t>五、一般公共预算支出表</w:t>
      </w:r>
    </w:p>
    <w:p>
      <w:pPr>
        <w:autoSpaceDN w:val="0"/>
        <w:rPr>
          <w:color w:val="339966"/>
          <w:sz w:val="36"/>
          <w:szCs w:val="36"/>
        </w:rPr>
      </w:pPr>
      <w:r>
        <w:rPr>
          <w:rFonts w:ascii="宋体" w:hint="eastAsia"/>
          <w:sz w:val="36"/>
          <w:szCs w:val="36"/>
        </w:rPr>
        <w:t>六、一般公共预算基本支出表</w:t>
      </w:r>
    </w:p>
    <w:p>
      <w:pPr>
        <w:autoSpaceDN w:val="0"/>
        <w:rPr>
          <w:sz w:val="36"/>
          <w:szCs w:val="36"/>
        </w:rPr>
      </w:pPr>
      <w:r>
        <w:rPr>
          <w:rFonts w:ascii="宋体" w:hint="eastAsia"/>
          <w:sz w:val="36"/>
          <w:szCs w:val="36"/>
        </w:rPr>
        <w:t>七、政府性基金预算支出表</w:t>
      </w:r>
    </w:p>
    <w:p>
      <w:pPr>
        <w:autoSpaceDN w:val="0"/>
        <w:rPr>
          <w:rFonts w:ascii="宋体"/>
          <w:sz w:val="36"/>
          <w:szCs w:val="36"/>
        </w:rPr>
      </w:pPr>
      <w:r>
        <w:rPr>
          <w:rFonts w:ascii="宋体" w:hint="eastAsia"/>
          <w:sz w:val="36"/>
          <w:szCs w:val="36"/>
        </w:rPr>
        <w:t>八、国有资本经营预算支出表</w:t>
      </w:r>
    </w:p>
    <w:p>
      <w:pPr>
        <w:autoSpaceDN w:val="0"/>
        <w:rPr>
          <w:sz w:val="36"/>
          <w:szCs w:val="36"/>
        </w:rPr>
      </w:pPr>
      <w:r>
        <w:rPr>
          <w:rFonts w:ascii="宋体" w:hint="eastAsia"/>
          <w:sz w:val="36"/>
          <w:szCs w:val="36"/>
        </w:rPr>
        <w:t>九、财政拨款预算“三公”经费支出表</w:t>
      </w:r>
    </w:p>
    <w:p>
      <w:pPr>
        <w:autoSpaceDN w:val="0"/>
        <w:ind w:left="2164" w:hangingChars="492" w:hanging="2164"/>
        <w:rPr>
          <w:b/>
          <w:bCs/>
          <w:sz w:val="44"/>
          <w:szCs w:val="44"/>
        </w:rPr>
      </w:pPr>
      <w:r>
        <w:rPr>
          <w:rFonts w:ascii="宋体" w:hint="eastAsia"/>
          <w:b/>
          <w:bCs/>
          <w:sz w:val="44"/>
          <w:szCs w:val="44"/>
        </w:rPr>
        <w:t>第三部分</w:t>
      </w:r>
      <w:r>
        <w:rPr>
          <w:b/>
          <w:bCs/>
          <w:sz w:val="44"/>
          <w:szCs w:val="44"/>
        </w:rPr>
        <w:t xml:space="preserve">  </w:t>
      </w:r>
      <w:r>
        <w:rPr>
          <w:rFonts w:hint="eastAsia"/>
          <w:b/>
          <w:bCs/>
          <w:sz w:val="44"/>
          <w:szCs w:val="44"/>
        </w:rPr>
        <w:t>鄂尔多斯</w:t>
      </w:r>
      <w:r>
        <w:rPr>
          <w:rFonts w:ascii="宋体" w:hint="eastAsia"/>
          <w:b/>
          <w:bCs/>
          <w:sz w:val="44"/>
          <w:szCs w:val="44"/>
        </w:rPr>
        <w:t>海关</w:t>
      </w:r>
      <w:r>
        <w:rPr>
          <w:b/>
          <w:bCs/>
          <w:sz w:val="44"/>
          <w:szCs w:val="44"/>
        </w:rPr>
        <w:t>2024</w:t>
      </w:r>
      <w:r>
        <w:rPr>
          <w:rFonts w:ascii="宋体" w:hint="eastAsia"/>
          <w:b/>
          <w:bCs/>
          <w:sz w:val="44"/>
          <w:szCs w:val="44"/>
        </w:rPr>
        <w:t>年部门预算情况说明</w:t>
      </w:r>
    </w:p>
    <w:p>
      <w:pPr>
        <w:autoSpaceDN w:val="0"/>
        <w:rPr>
          <w:b/>
          <w:bCs/>
          <w:sz w:val="44"/>
          <w:szCs w:val="44"/>
        </w:rPr>
      </w:pPr>
      <w:r>
        <w:rPr>
          <w:rFonts w:ascii="宋体" w:hint="eastAsia"/>
          <w:b/>
          <w:bCs/>
          <w:sz w:val="44"/>
          <w:szCs w:val="44"/>
        </w:rPr>
        <w:t>第四部分</w:t>
      </w:r>
      <w:r>
        <w:rPr>
          <w:b/>
          <w:bCs/>
          <w:sz w:val="44"/>
          <w:szCs w:val="44"/>
        </w:rPr>
        <w:t xml:space="preserve">  </w:t>
      </w:r>
      <w:r>
        <w:rPr>
          <w:rFonts w:ascii="宋体" w:hint="eastAsia"/>
          <w:b/>
          <w:bCs/>
          <w:sz w:val="44"/>
          <w:szCs w:val="44"/>
        </w:rPr>
        <w:t>名词解释</w:t>
      </w:r>
    </w:p>
    <w:p>
      <w:pPr>
        <w:autoSpaceDN w:val="0"/>
        <w:rPr>
          <w:rFonts w:ascii="宋体"/>
          <w:b/>
          <w:bCs/>
          <w:sz w:val="44"/>
          <w:szCs w:val="44"/>
        </w:rPr>
      </w:pPr>
      <w:r>
        <w:rPr>
          <w:rFonts w:ascii="宋体" w:hint="eastAsia"/>
          <w:b/>
          <w:bCs/>
          <w:sz w:val="44"/>
          <w:szCs w:val="44"/>
        </w:rPr>
        <w:t>第五部分</w:t>
      </w:r>
      <w:r>
        <w:rPr>
          <w:b/>
          <w:bCs/>
          <w:sz w:val="44"/>
          <w:szCs w:val="44"/>
        </w:rPr>
        <w:t xml:space="preserve">  </w:t>
      </w:r>
      <w:r>
        <w:rPr>
          <w:rFonts w:ascii="宋体" w:hint="eastAsia"/>
          <w:b/>
          <w:bCs/>
          <w:sz w:val="44"/>
          <w:szCs w:val="44"/>
        </w:rPr>
        <w:t>附件</w:t>
      </w:r>
      <w:r>
        <w:rPr>
          <w:szCs w:val="21"/>
        </w:rPr>
        <w:tab/>
      </w:r>
    </w:p>
    <w:p>
      <w:pPr>
        <w:widowControl/>
        <w:jc w:val="left"/>
        <w:rPr>
          <w:rFonts w:ascii="宋体" w:cs="宋体"/>
          <w:kern w:val="0"/>
          <w:sz w:val="24"/>
          <w:szCs w:val="24"/>
        </w:rPr>
        <w:sectPr>
          <w:pgSz w:w="11906" w:h="16838"/>
          <w:pgMar w:top="1440" w:right="1800" w:bottom="1440" w:left="1800" w:header="851" w:footer="992" w:gutter="0"/>
          <w:pgNumType w:start="1"/>
          <w:docGrid w:type="lines" w:linePitch="312" w:charSpace="0"/>
        </w:sectPr>
      </w:pPr>
    </w:p>
    <w:p>
      <w:pPr>
        <w:autoSpaceDN w:val="0"/>
        <w:jc w:val="center"/>
        <w:rPr>
          <w:rFonts w:ascii="Times New Roman" w:eastAsia="方正仿宋_GBK" w:cs="Times New Roman" w:hAnsi="Times New Roman"/>
          <w:sz w:val="84"/>
          <w:szCs w:val="84"/>
        </w:rPr>
      </w:pPr>
    </w:p>
    <w:p>
      <w:pPr>
        <w:autoSpaceDN w:val="0"/>
        <w:jc w:val="center"/>
        <w:rPr>
          <w:rFonts w:ascii="Times New Roman" w:eastAsia="方正仿宋_GBK" w:cs="Times New Roman" w:hAnsi="Times New Roman"/>
          <w:sz w:val="84"/>
          <w:szCs w:val="84"/>
        </w:rPr>
      </w:pPr>
    </w:p>
    <w:p>
      <w:pPr>
        <w:autoSpaceDN w:val="0"/>
        <w:jc w:val="center"/>
        <w:rPr>
          <w:rFonts w:ascii="Times New Roman" w:eastAsia="方正仿宋_GBK" w:cs="Times New Roman" w:hAnsi="Times New Roman"/>
          <w:sz w:val="84"/>
          <w:szCs w:val="84"/>
        </w:rPr>
      </w:pPr>
    </w:p>
    <w:p>
      <w:pPr>
        <w:autoSpaceDN w:val="0"/>
        <w:jc w:val="center"/>
        <w:rPr>
          <w:rFonts w:ascii="Times New Roman" w:eastAsia="方正仿宋_GBK" w:cs="Times New Roman" w:hAnsi="Times New Roman"/>
          <w:sz w:val="84"/>
          <w:szCs w:val="84"/>
        </w:rPr>
      </w:pPr>
    </w:p>
    <w:p>
      <w:pPr>
        <w:autoSpaceDN w:val="0"/>
        <w:jc w:val="center"/>
        <w:rPr>
          <w:rFonts w:ascii="Times New Roman" w:cs="Times New Roman" w:hAnsi="Times New Roman"/>
          <w:b/>
          <w:bCs/>
          <w:sz w:val="84"/>
          <w:szCs w:val="84"/>
        </w:rPr>
      </w:pPr>
      <w:r>
        <w:rPr>
          <w:rFonts w:ascii="Times New Roman" w:hAnsi="Times New Roman" w:hint="eastAsia"/>
          <w:b/>
          <w:bCs/>
          <w:sz w:val="84"/>
          <w:szCs w:val="84"/>
        </w:rPr>
        <w:t>第一部分</w:t>
      </w:r>
    </w:p>
    <w:p>
      <w:pPr>
        <w:autoSpaceDN w:val="0"/>
        <w:jc w:val="center"/>
        <w:rPr>
          <w:rFonts w:ascii="Times New Roman" w:cs="Times New Roman" w:hAnsi="Times New Roman"/>
          <w:b/>
          <w:bCs/>
          <w:sz w:val="84"/>
          <w:szCs w:val="84"/>
        </w:rPr>
      </w:pPr>
      <w:r>
        <w:rPr>
          <w:rFonts w:ascii="Times New Roman" w:hAnsi="Times New Roman" w:hint="eastAsia"/>
          <w:b/>
          <w:bCs/>
          <w:sz w:val="84"/>
          <w:szCs w:val="84"/>
        </w:rPr>
        <w:t>鄂尔多斯海关</w:t>
      </w:r>
    </w:p>
    <w:p>
      <w:pPr>
        <w:autoSpaceDN w:val="0"/>
        <w:jc w:val="center"/>
        <w:rPr>
          <w:rFonts w:ascii="Times New Roman" w:cs="Times New Roman" w:hAnsi="Times New Roman"/>
          <w:b/>
          <w:bCs/>
          <w:sz w:val="84"/>
          <w:szCs w:val="84"/>
        </w:rPr>
      </w:pPr>
      <w:r>
        <w:rPr>
          <w:rFonts w:ascii="Times New Roman" w:hAnsi="Times New Roman" w:hint="eastAsia"/>
          <w:b/>
          <w:bCs/>
          <w:sz w:val="84"/>
          <w:szCs w:val="84"/>
        </w:rPr>
        <w:t>单位概况</w:t>
      </w:r>
    </w:p>
    <w:p>
      <w:pPr>
        <w:autoSpaceDN w:val="0"/>
        <w:jc w:val="center"/>
        <w:rPr>
          <w:rFonts w:ascii="Times New Roman" w:eastAsia="方正仿宋_GBK" w:cs="Times New Roman" w:hAnsi="Times New Roman"/>
          <w:sz w:val="84"/>
          <w:szCs w:val="84"/>
        </w:rPr>
      </w:pPr>
    </w:p>
    <w:p>
      <w:pPr>
        <w:autoSpaceDN w:val="0"/>
        <w:jc w:val="center"/>
        <w:rPr>
          <w:rFonts w:ascii="Times New Roman" w:eastAsia="方正仿宋_GBK" w:cs="Times New Roman" w:hAnsi="Times New Roman"/>
          <w:sz w:val="84"/>
          <w:szCs w:val="84"/>
        </w:rPr>
      </w:pPr>
    </w:p>
    <w:p>
      <w:pPr>
        <w:autoSpaceDN w:val="0"/>
        <w:jc w:val="center"/>
        <w:rPr>
          <w:rFonts w:ascii="Times New Roman" w:eastAsia="方正仿宋_GBK" w:cs="Times New Roman" w:hAnsi="Times New Roman"/>
          <w:sz w:val="84"/>
          <w:szCs w:val="84"/>
        </w:rPr>
      </w:pPr>
    </w:p>
    <w:p>
      <w:pPr>
        <w:autoSpaceDN w:val="0"/>
        <w:jc w:val="center"/>
        <w:rPr>
          <w:rFonts w:ascii="Times New Roman" w:eastAsia="方正仿宋_GBK" w:cs="Times New Roman" w:hAnsi="Times New Roman"/>
          <w:sz w:val="84"/>
          <w:szCs w:val="84"/>
        </w:rPr>
      </w:pPr>
    </w:p>
    <w:p>
      <w:pPr>
        <w:spacing w:line="559" w:lineRule="auto"/>
        <w:ind w:firstLine="640"/>
        <w:rPr>
          <w:sz w:val="32"/>
          <w:szCs w:val="32"/>
        </w:rPr>
      </w:pPr>
      <w:r>
        <w:rPr>
          <w:rFonts w:ascii="方正黑体_GBK" w:eastAsia="方正黑体_GBK" w:hint="eastAsia"/>
          <w:sz w:val="32"/>
          <w:szCs w:val="32"/>
        </w:rPr>
        <w:t>一、主要职能</w:t>
      </w:r>
    </w:p>
    <w:p>
      <w:pPr>
        <w:spacing w:line="360" w:lineRule="auto"/>
        <w:ind w:firstLine="640"/>
        <w:rPr>
          <w:rFonts w:ascii="方正仿宋_GBK" w:eastAsia="方正仿宋_GBK"/>
          <w:sz w:val="32"/>
          <w:szCs w:val="32"/>
        </w:rPr>
      </w:pPr>
      <w:r>
        <w:rPr>
          <w:rFonts w:ascii="方正仿宋_GBK" w:eastAsia="方正仿宋_GBK" w:hint="eastAsia"/>
          <w:sz w:val="32"/>
          <w:szCs w:val="32"/>
        </w:rPr>
        <w:t>鄂尔多斯海关负责鄂尔多斯市行政区域内海关业务。</w:t>
      </w:r>
    </w:p>
    <w:p>
      <w:pPr>
        <w:spacing w:line="559" w:lineRule="auto"/>
        <w:ind w:firstLine="640"/>
        <w:rPr>
          <w:rFonts w:ascii="方正黑体_GBK" w:eastAsia="方正黑体_GBK"/>
          <w:sz w:val="32"/>
          <w:szCs w:val="32"/>
        </w:rPr>
      </w:pPr>
      <w:r>
        <w:rPr>
          <w:rFonts w:ascii="方正黑体_GBK" w:eastAsia="方正黑体_GBK" w:hint="eastAsia"/>
          <w:sz w:val="32"/>
          <w:szCs w:val="32"/>
        </w:rPr>
        <w:t>二、鄂尔多斯海关单位构成情况</w:t>
      </w:r>
    </w:p>
    <w:p>
      <w:pPr>
        <w:spacing w:line="360" w:lineRule="auto"/>
        <w:ind w:firstLine="640"/>
        <w:rPr>
          <w:rFonts w:ascii="方正仿宋_GBK" w:eastAsia="方正仿宋_GBK"/>
          <w:sz w:val="32"/>
          <w:szCs w:val="32"/>
        </w:rPr>
      </w:pPr>
      <w:r>
        <w:rPr>
          <w:rFonts w:ascii="方正仿宋_GBK" w:eastAsia="方正仿宋_GBK" w:hint="eastAsia"/>
          <w:sz w:val="32"/>
          <w:szCs w:val="32"/>
        </w:rPr>
        <w:t>办公室：</w:t>
      </w:r>
    </w:p>
    <w:p>
      <w:pPr>
        <w:spacing w:line="360" w:lineRule="auto"/>
        <w:ind w:firstLine="640"/>
        <w:rPr>
          <w:rFonts w:ascii="方正仿宋_GBK" w:eastAsia="方正仿宋_GBK"/>
          <w:sz w:val="32"/>
          <w:szCs w:val="32"/>
        </w:rPr>
      </w:pPr>
      <w:r>
        <w:rPr>
          <w:rFonts w:ascii="方正仿宋_GBK" w:eastAsia="方正仿宋_GBK" w:hint="eastAsia"/>
          <w:sz w:val="32"/>
          <w:szCs w:val="32"/>
        </w:rPr>
        <w:t>负责政务综合、信息外宣、机要保密、党建群团（政工）、督察内审、档案管理、财务管理、纪检督审等日常业务以及上级部门委派的其他工作。</w:t>
      </w:r>
    </w:p>
    <w:p>
      <w:pPr>
        <w:spacing w:line="360" w:lineRule="auto"/>
        <w:ind w:firstLine="640"/>
        <w:rPr>
          <w:rFonts w:ascii="方正仿宋_GBK" w:eastAsia="方正仿宋_GBK"/>
          <w:sz w:val="32"/>
          <w:szCs w:val="32"/>
        </w:rPr>
      </w:pPr>
      <w:r>
        <w:rPr>
          <w:rFonts w:ascii="方正仿宋_GBK" w:eastAsia="方正仿宋_GBK" w:hint="eastAsia"/>
          <w:sz w:val="32"/>
          <w:szCs w:val="32"/>
        </w:rPr>
        <w:t>综合业务科：</w:t>
      </w:r>
    </w:p>
    <w:p>
      <w:pPr>
        <w:spacing w:line="360" w:lineRule="auto"/>
        <w:ind w:firstLine="640"/>
        <w:rPr>
          <w:rFonts w:ascii="方正仿宋_GBK" w:eastAsia="方正仿宋_GBK"/>
          <w:sz w:val="32"/>
          <w:szCs w:val="32"/>
        </w:rPr>
      </w:pPr>
      <w:r>
        <w:rPr>
          <w:rFonts w:ascii="方正仿宋_GBK" w:eastAsia="方正仿宋_GBK" w:hint="eastAsia"/>
          <w:sz w:val="32"/>
          <w:szCs w:val="32"/>
        </w:rPr>
        <w:t>负责</w:t>
      </w:r>
      <w:r>
        <w:rPr>
          <w:rFonts w:ascii="方正仿宋_GBK" w:eastAsia="方正仿宋_GBK"/>
          <w:sz w:val="32"/>
          <w:szCs w:val="32"/>
        </w:rPr>
        <w:t>0713</w:t>
      </w:r>
      <w:r>
        <w:rPr>
          <w:rFonts w:ascii="方正仿宋_GBK" w:eastAsia="方正仿宋_GBK" w:hint="eastAsia"/>
          <w:sz w:val="32"/>
          <w:szCs w:val="32"/>
        </w:rPr>
        <w:t>、</w:t>
      </w:r>
      <w:r>
        <w:rPr>
          <w:rFonts w:ascii="方正仿宋_GBK" w:eastAsia="方正仿宋_GBK"/>
          <w:sz w:val="32"/>
          <w:szCs w:val="32"/>
        </w:rPr>
        <w:t>0716</w:t>
      </w:r>
      <w:r>
        <w:rPr>
          <w:rFonts w:ascii="方正仿宋_GBK" w:eastAsia="方正仿宋_GBK" w:hint="eastAsia"/>
          <w:sz w:val="32"/>
          <w:szCs w:val="32"/>
        </w:rPr>
        <w:t>现场报关单证审核及处置、验估、报关单（清单）修撤、出入境检验检疫签证、进出口货物原产地证书及其他检疫证书的审核、签发、税收征管、统计、企业管理、核批作业、知识产权保护、留学回国人员购买免税汽车业务、风险防控、监管场所（场地）等行政审批受理及初审工作等日常业务以及上级部门委派的其他工作。</w:t>
      </w:r>
    </w:p>
    <w:p>
      <w:pPr>
        <w:spacing w:line="360" w:lineRule="auto"/>
        <w:ind w:firstLine="640"/>
        <w:rPr>
          <w:rFonts w:ascii="方正仿宋_GBK" w:eastAsia="方正仿宋_GBK"/>
          <w:sz w:val="32"/>
          <w:szCs w:val="32"/>
        </w:rPr>
      </w:pPr>
      <w:r>
        <w:rPr>
          <w:rFonts w:ascii="方正仿宋_GBK" w:eastAsia="方正仿宋_GBK" w:hint="eastAsia"/>
          <w:sz w:val="32"/>
          <w:szCs w:val="32"/>
        </w:rPr>
        <w:t>监管一科：</w:t>
      </w:r>
    </w:p>
    <w:p>
      <w:pPr>
        <w:spacing w:line="360" w:lineRule="auto"/>
        <w:ind w:firstLine="640"/>
        <w:rPr>
          <w:rFonts w:ascii="方正仿宋_GBK" w:eastAsia="方正仿宋_GBK"/>
          <w:sz w:val="32"/>
          <w:szCs w:val="32"/>
        </w:rPr>
      </w:pPr>
      <w:r>
        <w:rPr>
          <w:rFonts w:ascii="方正仿宋_GBK" w:eastAsia="方正仿宋_GBK" w:hint="eastAsia"/>
          <w:sz w:val="32"/>
          <w:szCs w:val="32"/>
        </w:rPr>
        <w:t>负责鄂尔多斯机场口岸监管工作。旅检、机场、空港监管场所管理、口岸卫生检疫、口岸病媒生物监测、现场验估、卫生监督、检疫处理、核生化和动植物检疫、违禁品库和检疫截留物库房管理、免税店监管、两简案件。</w:t>
      </w:r>
    </w:p>
    <w:p>
      <w:pPr>
        <w:spacing w:line="360" w:lineRule="auto"/>
        <w:ind w:firstLine="640"/>
        <w:rPr>
          <w:rFonts w:ascii="方正仿宋_GBK" w:eastAsia="方正仿宋_GBK"/>
          <w:sz w:val="32"/>
          <w:szCs w:val="32"/>
        </w:rPr>
      </w:pPr>
      <w:r>
        <w:rPr>
          <w:rFonts w:ascii="方正仿宋_GBK" w:eastAsia="方正仿宋_GBK" w:hint="eastAsia"/>
          <w:sz w:val="32"/>
          <w:szCs w:val="32"/>
        </w:rPr>
        <w:t>监管二科：</w:t>
      </w:r>
    </w:p>
    <w:p>
      <w:pPr>
        <w:spacing w:line="360" w:lineRule="auto"/>
        <w:ind w:firstLine="640"/>
        <w:rPr>
          <w:rFonts w:ascii="方正仿宋_GBK" w:eastAsia="方正仿宋_GBK"/>
          <w:sz w:val="32"/>
          <w:szCs w:val="32"/>
        </w:rPr>
      </w:pPr>
      <w:r>
        <w:rPr>
          <w:rFonts w:ascii="方正仿宋_GBK" w:eastAsia="方正仿宋_GBK" w:hint="eastAsia"/>
          <w:sz w:val="32"/>
          <w:szCs w:val="32"/>
        </w:rPr>
        <w:t>负责综合保税区内监管业务。综保区监管业务及日常管理，现场验估，两简案件。</w:t>
      </w:r>
    </w:p>
    <w:p>
      <w:pPr>
        <w:spacing w:line="360" w:lineRule="auto"/>
        <w:ind w:firstLine="640"/>
        <w:rPr>
          <w:rFonts w:ascii="方正仿宋_GBK" w:eastAsia="方正仿宋_GBK"/>
          <w:sz w:val="32"/>
          <w:szCs w:val="32"/>
        </w:rPr>
      </w:pPr>
      <w:r>
        <w:rPr>
          <w:rFonts w:ascii="方正仿宋_GBK" w:eastAsia="方正仿宋_GBK" w:hint="eastAsia"/>
          <w:sz w:val="32"/>
          <w:szCs w:val="32"/>
        </w:rPr>
        <w:t>监管三科：</w:t>
      </w:r>
    </w:p>
    <w:p>
      <w:pPr>
        <w:spacing w:line="360" w:lineRule="auto"/>
        <w:ind w:firstLine="640"/>
        <w:rPr>
          <w:rFonts w:ascii="方正仿宋_GBK" w:eastAsia="方正仿宋_GBK"/>
          <w:sz w:val="32"/>
          <w:szCs w:val="32"/>
        </w:rPr>
      </w:pPr>
      <w:r>
        <w:rPr>
          <w:rFonts w:ascii="方正仿宋_GBK" w:eastAsia="方正仿宋_GBK" w:hint="eastAsia"/>
          <w:sz w:val="32"/>
          <w:szCs w:val="32"/>
        </w:rPr>
        <w:t>除机场监管场所和综保区以外的其他监管业务。（除综保区和机场监管场所外辖区）进出口商品、动植物及其产品、食品、化妆品监管，进出境动植物及其产品、食品、化妆品企业注册登记及备案，稽核查和放行、查验（神华保税库）、现场验估、两简案件。</w:t>
      </w:r>
    </w:p>
    <w:p>
      <w:pPr>
        <w:spacing w:line="360" w:lineRule="auto"/>
        <w:ind w:firstLine="640"/>
        <w:rPr>
          <w:rFonts w:ascii="方正仿宋_GBK" w:eastAsia="方正仿宋_GBK"/>
          <w:sz w:val="32"/>
          <w:szCs w:val="32"/>
        </w:rPr>
      </w:pPr>
      <w:r>
        <w:rPr>
          <w:rFonts w:ascii="方正仿宋_GBK" w:eastAsia="方正仿宋_GBK" w:hint="eastAsia"/>
          <w:sz w:val="32"/>
          <w:szCs w:val="32"/>
        </w:rPr>
        <w:t>监管四科：</w:t>
      </w:r>
    </w:p>
    <w:p>
      <w:pPr>
        <w:spacing w:line="360" w:lineRule="auto"/>
        <w:ind w:firstLine="640"/>
        <w:rPr>
          <w:rFonts w:ascii="方正仿宋_GBK" w:eastAsia="方正仿宋_GBK"/>
          <w:sz w:val="32"/>
          <w:szCs w:val="32"/>
        </w:rPr>
      </w:pPr>
      <w:r>
        <w:rPr>
          <w:rFonts w:ascii="方正仿宋_GBK" w:eastAsia="方正仿宋_GBK" w:hint="eastAsia"/>
          <w:sz w:val="32"/>
          <w:szCs w:val="32"/>
        </w:rPr>
        <w:t>负责鄂尔多斯综保区、中欧班列相关政策研究、政策解读和宣传咨询，负责科技、打私、法治、人事和后勤关保职能。</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纳入鄂尔多斯海关2024 年部门预算编制范围的单位如下：</w:t>
      </w:r>
    </w:p>
    <w:tbl>
      <w:tblPr>
        <w:jc w:val="center"/>
        <w:tblW w:w="8926"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704"/>
        <w:gridCol w:w="2977"/>
        <w:gridCol w:w="709"/>
        <w:gridCol w:w="4536"/>
      </w:tblGrid>
      <w:tr>
        <w:trPr>
          <w:trHeight w:val="624"/>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eastAsia="方正黑体_GBK" w:cs="宋体" w:hAnsi="Times New Roman"/>
                <w:kern w:val="0"/>
                <w:sz w:val="20"/>
                <w:szCs w:val="20"/>
              </w:rPr>
            </w:pPr>
            <w:r>
              <w:rPr>
                <w:rFonts w:ascii="Times New Roman" w:eastAsia="方正黑体_GBK" w:cs="宋体" w:hAnsi="Times New Roman" w:hint="eastAsia"/>
                <w:kern w:val="0"/>
                <w:sz w:val="20"/>
                <w:szCs w:val="20"/>
              </w:rPr>
              <w:t>序号</w:t>
            </w:r>
          </w:p>
        </w:tc>
        <w:tc>
          <w:tcPr>
            <w:tcW w:w="2977" w:type="dxa"/>
            <w:tcBorders>
              <w:top w:val="single" w:sz="4" w:space="0" w:color="auto"/>
              <w:left w:val="nil"/>
              <w:bottom w:val="single" w:sz="4" w:space="0" w:color="auto"/>
              <w:right w:val="single" w:sz="4" w:space="0" w:color="auto"/>
            </w:tcBorders>
            <w:shd w:val="clear" w:color="auto" w:fill="auto"/>
            <w:noWrap/>
            <w:vAlign w:val="center"/>
          </w:tcPr>
          <w:p>
            <w:pPr>
              <w:widowControl/>
              <w:jc w:val="center"/>
              <w:rPr>
                <w:rFonts w:ascii="Times New Roman" w:eastAsia="方正黑体_GBK" w:cs="宋体" w:hAnsi="Times New Roman"/>
                <w:kern w:val="0"/>
                <w:sz w:val="20"/>
                <w:szCs w:val="20"/>
              </w:rPr>
            </w:pPr>
            <w:r>
              <w:rPr>
                <w:rFonts w:ascii="Times New Roman" w:eastAsia="方正黑体_GBK" w:cs="宋体" w:hAnsi="Times New Roman" w:hint="eastAsia"/>
                <w:kern w:val="0"/>
                <w:sz w:val="20"/>
                <w:szCs w:val="20"/>
              </w:rPr>
              <w:t>单位名称</w:t>
            </w:r>
          </w:p>
        </w:tc>
        <w:tc>
          <w:tcPr>
            <w:tcW w:w="709" w:type="dxa"/>
            <w:tcBorders>
              <w:top w:val="single" w:sz="4" w:space="0" w:color="auto"/>
              <w:left w:val="nil"/>
              <w:bottom w:val="single" w:sz="4" w:space="0" w:color="auto"/>
              <w:right w:val="single" w:sz="4" w:space="0" w:color="auto"/>
            </w:tcBorders>
            <w:shd w:val="clear" w:color="auto" w:fill="auto"/>
            <w:noWrap/>
            <w:vAlign w:val="center"/>
          </w:tcPr>
          <w:p>
            <w:pPr>
              <w:widowControl/>
              <w:jc w:val="center"/>
              <w:rPr>
                <w:rFonts w:ascii="Times New Roman" w:eastAsia="方正黑体_GBK" w:cs="宋体" w:hAnsi="Times New Roman"/>
                <w:kern w:val="0"/>
                <w:sz w:val="20"/>
                <w:szCs w:val="20"/>
              </w:rPr>
            </w:pPr>
            <w:r>
              <w:rPr>
                <w:rFonts w:ascii="Times New Roman" w:eastAsia="方正黑体_GBK" w:cs="宋体" w:hAnsi="Times New Roman" w:hint="eastAsia"/>
                <w:kern w:val="0"/>
                <w:sz w:val="20"/>
                <w:szCs w:val="20"/>
              </w:rPr>
              <w:t>序号</w:t>
            </w:r>
          </w:p>
        </w:tc>
        <w:tc>
          <w:tcPr>
            <w:tcW w:w="4536" w:type="dxa"/>
            <w:tcBorders>
              <w:top w:val="single" w:sz="4" w:space="0" w:color="auto"/>
              <w:left w:val="nil"/>
              <w:bottom w:val="single" w:sz="4" w:space="0" w:color="auto"/>
              <w:right w:val="single" w:sz="4" w:space="0" w:color="auto"/>
            </w:tcBorders>
            <w:shd w:val="clear" w:color="auto" w:fill="auto"/>
            <w:noWrap/>
            <w:vAlign w:val="center"/>
          </w:tcPr>
          <w:p>
            <w:pPr>
              <w:widowControl/>
              <w:jc w:val="center"/>
              <w:rPr>
                <w:rFonts w:ascii="Times New Roman" w:eastAsia="方正黑体_GBK" w:cs="宋体" w:hAnsi="Times New Roman"/>
                <w:kern w:val="0"/>
                <w:sz w:val="20"/>
                <w:szCs w:val="20"/>
              </w:rPr>
            </w:pPr>
            <w:r>
              <w:rPr>
                <w:rFonts w:ascii="Times New Roman" w:eastAsia="方正黑体_GBK" w:cs="宋体" w:hAnsi="Times New Roman" w:hint="eastAsia"/>
                <w:kern w:val="0"/>
                <w:sz w:val="20"/>
                <w:szCs w:val="20"/>
              </w:rPr>
              <w:t>单位名称</w:t>
            </w:r>
          </w:p>
        </w:tc>
      </w:tr>
      <w:tr>
        <w:trPr>
          <w:trHeight w:val="624"/>
        </w:trPr>
        <w:tc>
          <w:tcPr>
            <w:tcW w:w="704"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kern w:val="0"/>
                <w:sz w:val="20"/>
                <w:szCs w:val="20"/>
              </w:rPr>
            </w:pPr>
            <w:r>
              <w:rPr>
                <w:rFonts w:ascii="Times New Roman" w:cs="Times New Roman" w:hAnsi="Times New Roman"/>
                <w:kern w:val="0"/>
                <w:sz w:val="20"/>
                <w:szCs w:val="20"/>
              </w:rPr>
              <w:t>1</w:t>
            </w:r>
          </w:p>
        </w:tc>
        <w:tc>
          <w:tcPr>
            <w:tcW w:w="2977"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方正仿宋_GBK" w:cs="宋体" w:hAnsi="Times New Roman"/>
                <w:kern w:val="0"/>
                <w:sz w:val="20"/>
                <w:szCs w:val="20"/>
              </w:rPr>
            </w:pPr>
            <w:r>
              <w:rPr>
                <w:rFonts w:ascii="Times New Roman" w:eastAsia="方正仿宋_GBK" w:cs="宋体" w:hAnsi="Times New Roman" w:hint="eastAsia"/>
                <w:kern w:val="0"/>
                <w:sz w:val="20"/>
                <w:szCs w:val="20"/>
              </w:rPr>
              <w:t>中华人民共和国鄂尔多斯海关</w:t>
            </w:r>
          </w:p>
        </w:tc>
        <w:tc>
          <w:tcPr>
            <w:tcW w:w="709"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kern w:val="0"/>
                <w:sz w:val="20"/>
                <w:szCs w:val="20"/>
              </w:rPr>
            </w:pPr>
          </w:p>
        </w:tc>
        <w:tc>
          <w:tcPr>
            <w:tcW w:w="4536"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eastAsia="方正仿宋_GBK" w:cs="宋体" w:hAnsi="Times New Roman"/>
                <w:kern w:val="0"/>
                <w:sz w:val="20"/>
                <w:szCs w:val="20"/>
              </w:rPr>
            </w:pPr>
          </w:p>
        </w:tc>
      </w:tr>
    </w:tbl>
    <w:p>
      <w:pPr>
        <w:spacing w:line="360" w:lineRule="auto"/>
        <w:ind w:firstLine="640"/>
        <w:rPr>
          <w:rFonts w:ascii="方正仿宋_GBK" w:eastAsia="方正仿宋_GBK"/>
          <w:sz w:val="32"/>
          <w:szCs w:val="32"/>
        </w:rPr>
      </w:pPr>
    </w:p>
    <w:p>
      <w:pPr>
        <w:autoSpaceDN w:val="0"/>
        <w:jc w:val="center"/>
        <w:rPr>
          <w:rFonts w:ascii="Times New Roman" w:eastAsia="方正仿宋_GBK" w:cs="Times New Roman" w:hAnsi="Times New Roman"/>
          <w:sz w:val="84"/>
          <w:szCs w:val="84"/>
        </w:rPr>
      </w:pPr>
    </w:p>
    <w:p>
      <w:pPr>
        <w:autoSpaceDN w:val="0"/>
        <w:jc w:val="center"/>
        <w:rPr>
          <w:rFonts w:ascii="Times New Roman" w:eastAsia="方正仿宋_GBK" w:cs="Times New Roman" w:hAnsi="Times New Roman"/>
          <w:sz w:val="84"/>
          <w:szCs w:val="84"/>
        </w:rPr>
      </w:pPr>
    </w:p>
    <w:p>
      <w:pPr>
        <w:autoSpaceDN w:val="0"/>
        <w:jc w:val="center"/>
        <w:rPr>
          <w:rFonts w:ascii="Times New Roman" w:eastAsia="方正仿宋_GBK" w:cs="Times New Roman" w:hAnsi="Times New Roman"/>
          <w:sz w:val="84"/>
          <w:szCs w:val="84"/>
        </w:rPr>
      </w:pPr>
    </w:p>
    <w:p>
      <w:pPr>
        <w:autoSpaceDN w:val="0"/>
        <w:jc w:val="center"/>
        <w:rPr>
          <w:rFonts w:ascii="Times New Roman" w:eastAsia="方正仿宋_GBK" w:cs="Times New Roman" w:hAnsi="Times New Roman"/>
          <w:sz w:val="84"/>
          <w:szCs w:val="84"/>
        </w:rPr>
      </w:pPr>
    </w:p>
    <w:p>
      <w:pPr>
        <w:autoSpaceDN w:val="0"/>
        <w:jc w:val="center"/>
        <w:rPr>
          <w:rFonts w:ascii="Times New Roman" w:cs="Times New Roman" w:hAnsi="Times New Roman"/>
          <w:b/>
          <w:bCs/>
          <w:sz w:val="72"/>
          <w:szCs w:val="72"/>
        </w:rPr>
      </w:pPr>
      <w:r>
        <w:rPr>
          <w:rFonts w:ascii="Times New Roman" w:hAnsi="Times New Roman" w:hint="eastAsia"/>
          <w:b/>
          <w:bCs/>
          <w:sz w:val="72"/>
          <w:szCs w:val="72"/>
        </w:rPr>
        <w:t>第二部分</w:t>
      </w:r>
      <w:r>
        <w:rPr>
          <w:rFonts w:ascii="Times New Roman" w:cs="Times New Roman" w:hAnsi="Times New Roman"/>
          <w:b/>
          <w:bCs/>
          <w:sz w:val="72"/>
          <w:szCs w:val="72"/>
        </w:rPr>
        <w:t xml:space="preserve">  </w:t>
      </w:r>
    </w:p>
    <w:p>
      <w:pPr>
        <w:autoSpaceDN w:val="0"/>
        <w:jc w:val="center"/>
        <w:rPr>
          <w:rFonts w:ascii="Times New Roman" w:cs="Times New Roman" w:hAnsi="Times New Roman"/>
          <w:b/>
          <w:bCs/>
          <w:sz w:val="72"/>
          <w:szCs w:val="72"/>
        </w:rPr>
      </w:pPr>
      <w:r>
        <w:rPr>
          <w:rFonts w:ascii="Times New Roman" w:hAnsi="Times New Roman" w:hint="eastAsia"/>
          <w:b/>
          <w:bCs/>
          <w:sz w:val="72"/>
          <w:szCs w:val="72"/>
        </w:rPr>
        <w:t>鄂尔多斯海关</w:t>
      </w:r>
      <w:r>
        <w:rPr>
          <w:rFonts w:ascii="Times New Roman" w:cs="Times New Roman" w:hAnsi="Times New Roman"/>
          <w:b/>
          <w:bCs/>
          <w:sz w:val="72"/>
          <w:szCs w:val="72"/>
        </w:rPr>
        <w:t>2024</w:t>
      </w:r>
      <w:r>
        <w:rPr>
          <w:rFonts w:ascii="Times New Roman" w:hAnsi="Times New Roman" w:hint="eastAsia"/>
          <w:b/>
          <w:bCs/>
          <w:sz w:val="72"/>
          <w:szCs w:val="72"/>
        </w:rPr>
        <w:t>年</w:t>
      </w:r>
    </w:p>
    <w:p>
      <w:pPr>
        <w:autoSpaceDN w:val="0"/>
        <w:jc w:val="center"/>
        <w:rPr>
          <w:rFonts w:ascii="Times New Roman" w:cs="Times New Roman" w:hAnsi="Times New Roman"/>
          <w:szCs w:val="21"/>
        </w:rPr>
      </w:pPr>
      <w:r>
        <w:rPr>
          <w:rFonts w:ascii="Times New Roman" w:hAnsi="Times New Roman" w:hint="eastAsia"/>
          <w:b/>
          <w:bCs/>
          <w:sz w:val="72"/>
          <w:szCs w:val="72"/>
        </w:rPr>
        <w:t>部门预算表</w:t>
      </w:r>
    </w:p>
    <w:p>
      <w:pPr>
        <w:autoSpaceDN w:val="0"/>
        <w:jc w:val="center"/>
        <w:rPr>
          <w:rFonts w:ascii="Times New Roman" w:eastAsia="方正仿宋_GBK" w:cs="Times New Roman" w:hAnsi="Times New Roman"/>
          <w:sz w:val="84"/>
          <w:szCs w:val="84"/>
        </w:rPr>
      </w:pPr>
    </w:p>
    <w:p>
      <w:pPr>
        <w:autoSpaceDN w:val="0"/>
        <w:jc w:val="center"/>
        <w:rPr>
          <w:rFonts w:ascii="Times New Roman" w:eastAsia="方正仿宋_GBK" w:cs="Times New Roman" w:hAnsi="Times New Roman"/>
          <w:sz w:val="84"/>
          <w:szCs w:val="84"/>
        </w:rPr>
      </w:pPr>
    </w:p>
    <w:p>
      <w:pPr>
        <w:widowControl/>
        <w:jc w:val="left"/>
        <w:rPr>
          <w:rFonts w:ascii="宋体" w:cs="宋体"/>
          <w:kern w:val="0"/>
          <w:sz w:val="24"/>
          <w:szCs w:val="24"/>
        </w:rPr>
        <w:sectPr>
          <w:pgSz w:w="11906" w:h="16838"/>
          <w:pgMar w:top="1440" w:right="1800" w:bottom="1440" w:left="1800" w:header="851" w:footer="992" w:gutter="0"/>
          <w:docGrid w:type="lines" w:linePitch="312" w:charSpace="0"/>
        </w:sectPr>
      </w:pPr>
    </w:p>
    <w:tbl>
      <w:tblPr>
        <w:jc w:val="center"/>
        <w:tblW w:w="15852"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687"/>
        <w:gridCol w:w="3260"/>
        <w:gridCol w:w="3827"/>
        <w:gridCol w:w="5078"/>
      </w:tblGrid>
      <w:tr>
        <w:trPr>
          <w:trHeight w:val="319"/>
        </w:trPr>
        <w:tc>
          <w:tcPr>
            <w:tcW w:w="10774" w:type="dxa"/>
            <w:gridSpan w:val="3"/>
            <w:tcBorders>
              <w:top w:val="nil"/>
              <w:left w:val="nil"/>
              <w:bottom w:val="nil"/>
              <w:right w:val="nil"/>
            </w:tcBorders>
            <w:shd w:val="clear" w:color="auto" w:fill="auto"/>
            <w:noWrap/>
            <w:vAlign w:val="center"/>
          </w:tcPr>
          <w:p>
            <w:pPr>
              <w:widowControl/>
              <w:autoSpaceDN w:val="0"/>
              <w:jc w:val="left"/>
              <w:rPr>
                <w:rFonts w:ascii="Times New Roman" w:cs="宋体" w:hAnsi="Times New Roman"/>
                <w:kern w:val="0"/>
                <w:sz w:val="24"/>
                <w:szCs w:val="24"/>
                <w:lang w:bidi="ar-SA"/>
              </w:rPr>
            </w:pPr>
          </w:p>
        </w:tc>
        <w:tc>
          <w:tcPr>
            <w:tcW w:w="5078" w:type="dxa"/>
            <w:tcBorders>
              <w:top w:val="nil"/>
              <w:left w:val="nil"/>
              <w:bottom w:val="nil"/>
              <w:right w:val="nil"/>
            </w:tcBorders>
            <w:shd w:val="clear" w:color="auto" w:fill="auto"/>
            <w:noWrap/>
            <w:vAlign w:val="center"/>
          </w:tcPr>
          <w:p>
            <w:pPr>
              <w:widowControl/>
              <w:autoSpaceDN w:val="0"/>
              <w:jc w:val="right"/>
              <w:rPr>
                <w:rFonts w:ascii="Times New Roman" w:eastAsia="黑体" w:cs="宋体" w:hAnsi="Times New Roman"/>
                <w:color w:val="000000"/>
                <w:kern w:val="0"/>
                <w:sz w:val="20"/>
                <w:szCs w:val="20"/>
                <w:lang w:bidi="ar-SA"/>
              </w:rPr>
            </w:pPr>
            <w:r>
              <w:rPr>
                <w:rFonts w:ascii="Times New Roman" w:eastAsia="黑体" w:cs="宋体" w:hAnsi="Times New Roman" w:hint="eastAsia"/>
                <w:color w:val="000000"/>
                <w:kern w:val="0"/>
                <w:sz w:val="20"/>
                <w:szCs w:val="20"/>
                <w:lang w:bidi="ar-SA"/>
              </w:rPr>
              <w:t>部门公开表</w:t>
            </w:r>
            <w:r>
              <w:rPr>
                <w:rFonts w:ascii="Times New Roman" w:eastAsia="黑体" w:cs="宋体" w:hAnsi="Times New Roman"/>
                <w:color w:val="000000"/>
                <w:kern w:val="0"/>
                <w:sz w:val="20"/>
                <w:szCs w:val="20"/>
                <w:lang w:bidi="ar-SA"/>
              </w:rPr>
              <w:t>1</w:t>
            </w:r>
          </w:p>
        </w:tc>
      </w:tr>
      <w:tr>
        <w:trPr>
          <w:trHeight w:val="540"/>
        </w:trPr>
        <w:tc>
          <w:tcPr>
            <w:tcW w:w="15852" w:type="dxa"/>
            <w:gridSpan w:val="4"/>
            <w:tcBorders>
              <w:top w:val="nil"/>
              <w:left w:val="nil"/>
              <w:bottom w:val="nil"/>
              <w:right w:val="nil"/>
            </w:tcBorders>
            <w:shd w:val="clear" w:color="auto" w:fill="auto"/>
            <w:noWrap/>
            <w:vAlign w:val="center"/>
          </w:tcPr>
          <w:p>
            <w:pPr>
              <w:widowControl/>
              <w:autoSpaceDN w:val="0"/>
              <w:jc w:val="center"/>
              <w:rPr>
                <w:rFonts w:ascii="Times New Roman" w:cs="宋体" w:hAnsi="Times New Roman"/>
                <w:color w:val="000000"/>
                <w:kern w:val="0"/>
                <w:sz w:val="36"/>
                <w:szCs w:val="36"/>
                <w:lang w:bidi="ar-SA"/>
              </w:rPr>
            </w:pPr>
            <w:r>
              <w:rPr>
                <w:rFonts w:ascii="Times New Roman" w:cs="宋体" w:hAnsi="Times New Roman" w:hint="eastAsia"/>
                <w:color w:val="000000"/>
                <w:kern w:val="0"/>
                <w:sz w:val="36"/>
                <w:szCs w:val="36"/>
                <w:lang w:bidi="ar-SA"/>
              </w:rPr>
              <w:t>部门收支总表</w:t>
            </w:r>
          </w:p>
        </w:tc>
      </w:tr>
      <w:tr>
        <w:trPr>
          <w:trHeight w:val="360"/>
        </w:trPr>
        <w:tc>
          <w:tcPr>
            <w:tcW w:w="3687" w:type="dxa"/>
            <w:tcBorders>
              <w:top w:val="nil"/>
              <w:left w:val="nil"/>
              <w:bottom w:val="single" w:sz="4" w:space="0" w:color="auto"/>
              <w:right w:val="nil"/>
            </w:tcBorders>
            <w:shd w:val="clear" w:color="auto" w:fill="auto"/>
            <w:noWrap/>
            <w:vAlign w:val="center"/>
          </w:tcPr>
          <w:p>
            <w:pPr>
              <w:widowControl/>
              <w:autoSpaceDN w:val="0"/>
              <w:jc w:val="left"/>
              <w:rPr>
                <w:rFonts w:ascii="Times New Roman" w:cs="宋体" w:hAnsi="Times New Roman"/>
                <w:color w:val="000000"/>
                <w:kern w:val="0"/>
                <w:sz w:val="18"/>
                <w:szCs w:val="18"/>
                <w:lang w:bidi="ar-SA"/>
              </w:rPr>
            </w:pPr>
            <w:r>
              <w:rPr>
                <w:rFonts w:ascii="Times New Roman" w:cs="宋体" w:hAnsi="Times New Roman" w:hint="eastAsia"/>
                <w:color w:val="000000"/>
                <w:kern w:val="0"/>
                <w:sz w:val="18"/>
                <w:szCs w:val="18"/>
                <w:lang w:bidi="ar-SA"/>
              </w:rPr>
              <w:t>　单位名称：中华人民共和国鄂尔多斯海关</w:t>
            </w:r>
          </w:p>
        </w:tc>
        <w:tc>
          <w:tcPr>
            <w:tcW w:w="3260" w:type="dxa"/>
            <w:tcBorders>
              <w:top w:val="nil"/>
              <w:left w:val="nil"/>
              <w:bottom w:val="single" w:sz="4" w:space="0" w:color="auto"/>
              <w:right w:val="nil"/>
            </w:tcBorders>
            <w:shd w:val="clear" w:color="auto" w:fill="auto"/>
            <w:noWrap/>
            <w:vAlign w:val="center"/>
          </w:tcPr>
          <w:p>
            <w:pPr>
              <w:widowControl/>
              <w:autoSpaceDN w:val="0"/>
              <w:jc w:val="left"/>
              <w:rPr>
                <w:rFonts w:ascii="Times New Roman" w:cs="宋体" w:hAnsi="Times New Roman"/>
                <w:color w:val="000000"/>
                <w:kern w:val="0"/>
                <w:sz w:val="22"/>
                <w:lang w:bidi="ar-SA"/>
              </w:rPr>
            </w:pPr>
            <w:r>
              <w:rPr>
                <w:rFonts w:ascii="Times New Roman" w:cs="宋体" w:hAnsi="Times New Roman" w:hint="eastAsia"/>
                <w:color w:val="000000"/>
                <w:kern w:val="0"/>
                <w:sz w:val="22"/>
                <w:lang w:bidi="ar-SA"/>
              </w:rPr>
              <w:t>　</w:t>
            </w:r>
          </w:p>
        </w:tc>
        <w:tc>
          <w:tcPr>
            <w:tcW w:w="3827" w:type="dxa"/>
            <w:tcBorders>
              <w:top w:val="nil"/>
              <w:left w:val="nil"/>
              <w:bottom w:val="single" w:sz="4" w:space="0" w:color="auto"/>
              <w:right w:val="nil"/>
            </w:tcBorders>
            <w:shd w:val="clear" w:color="auto" w:fill="auto"/>
            <w:noWrap/>
            <w:vAlign w:val="center"/>
          </w:tcPr>
          <w:p>
            <w:pPr>
              <w:widowControl/>
              <w:autoSpaceDN w:val="0"/>
              <w:jc w:val="left"/>
              <w:rPr>
                <w:rFonts w:ascii="Times New Roman" w:cs="宋体" w:hAnsi="Times New Roman"/>
                <w:color w:val="000000"/>
                <w:kern w:val="0"/>
                <w:sz w:val="22"/>
                <w:lang w:bidi="ar-SA"/>
              </w:rPr>
            </w:pPr>
            <w:r>
              <w:rPr>
                <w:rFonts w:ascii="Times New Roman" w:cs="宋体" w:hAnsi="Times New Roman" w:hint="eastAsia"/>
                <w:color w:val="000000"/>
                <w:kern w:val="0"/>
                <w:sz w:val="22"/>
                <w:lang w:bidi="ar-SA"/>
              </w:rPr>
              <w:t>　</w:t>
            </w:r>
          </w:p>
        </w:tc>
        <w:tc>
          <w:tcPr>
            <w:tcW w:w="5078" w:type="dxa"/>
            <w:tcBorders>
              <w:top w:val="nil"/>
              <w:left w:val="nil"/>
              <w:bottom w:val="nil"/>
              <w:right w:val="nil"/>
            </w:tcBorders>
            <w:shd w:val="clear" w:color="auto" w:fill="auto"/>
            <w:noWrap/>
            <w:vAlign w:val="center"/>
          </w:tcPr>
          <w:p>
            <w:pPr>
              <w:widowControl/>
              <w:autoSpaceDN w:val="0"/>
              <w:jc w:val="right"/>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单位：万元</w:t>
            </w:r>
          </w:p>
        </w:tc>
      </w:tr>
      <w:tr>
        <w:trPr>
          <w:trHeight w:val="360"/>
        </w:trPr>
        <w:tc>
          <w:tcPr>
            <w:tcW w:w="69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center"/>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收</w:t>
            </w:r>
            <w:r>
              <w:rPr>
                <w:rFonts w:ascii="Times New Roman" w:cs="宋体" w:hAnsi="Times New Roman"/>
                <w:color w:val="000000"/>
                <w:kern w:val="0"/>
                <w:sz w:val="20"/>
                <w:szCs w:val="20"/>
                <w:lang w:bidi="ar-SA"/>
              </w:rPr>
              <w:t xml:space="preserve">      </w:t>
            </w:r>
            <w:r>
              <w:rPr>
                <w:rFonts w:ascii="Times New Roman" w:cs="宋体" w:hAnsi="Times New Roman" w:hint="eastAsia"/>
                <w:color w:val="000000"/>
                <w:kern w:val="0"/>
                <w:sz w:val="20"/>
                <w:szCs w:val="20"/>
                <w:lang w:bidi="ar-SA"/>
              </w:rPr>
              <w:t>入</w:t>
            </w:r>
          </w:p>
        </w:tc>
        <w:tc>
          <w:tcPr>
            <w:tcW w:w="8905" w:type="dxa"/>
            <w:gridSpan w:val="2"/>
            <w:tcBorders>
              <w:top w:val="single" w:sz="4" w:space="0" w:color="auto"/>
              <w:left w:val="nil"/>
              <w:bottom w:val="single" w:sz="4" w:space="0" w:color="auto"/>
              <w:right w:val="single" w:sz="4" w:space="0" w:color="auto"/>
            </w:tcBorders>
            <w:shd w:val="clear" w:color="auto" w:fill="auto"/>
            <w:vAlign w:val="center"/>
          </w:tcPr>
          <w:p>
            <w:pPr>
              <w:widowControl/>
              <w:autoSpaceDN w:val="0"/>
              <w:jc w:val="center"/>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支</w:t>
            </w:r>
            <w:r>
              <w:rPr>
                <w:rFonts w:ascii="Times New Roman" w:cs="宋体" w:hAnsi="Times New Roman"/>
                <w:color w:val="000000"/>
                <w:kern w:val="0"/>
                <w:sz w:val="20"/>
                <w:szCs w:val="20"/>
                <w:lang w:bidi="ar-SA"/>
              </w:rPr>
              <w:t xml:space="preserve">      </w:t>
            </w:r>
            <w:r>
              <w:rPr>
                <w:rFonts w:ascii="Times New Roman" w:cs="宋体" w:hAnsi="Times New Roman" w:hint="eastAsia"/>
                <w:color w:val="000000"/>
                <w:kern w:val="0"/>
                <w:sz w:val="20"/>
                <w:szCs w:val="20"/>
                <w:lang w:bidi="ar-SA"/>
              </w:rPr>
              <w:t>出</w:t>
            </w:r>
          </w:p>
        </w:tc>
      </w:tr>
      <w:tr>
        <w:trPr>
          <w:trHeight w:val="360"/>
        </w:trPr>
        <w:tc>
          <w:tcPr>
            <w:tcW w:w="3687"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项</w:t>
            </w:r>
            <w:r>
              <w:rPr>
                <w:rFonts w:ascii="Times New Roman" w:cs="宋体" w:hAnsi="Times New Roman"/>
                <w:color w:val="000000"/>
                <w:kern w:val="0"/>
                <w:sz w:val="20"/>
                <w:szCs w:val="20"/>
                <w:lang w:bidi="ar-SA"/>
              </w:rPr>
              <w:t xml:space="preserve">    </w:t>
            </w:r>
            <w:r>
              <w:rPr>
                <w:rFonts w:ascii="Times New Roman" w:cs="宋体" w:hAnsi="Times New Roman" w:hint="eastAsia"/>
                <w:color w:val="000000"/>
                <w:kern w:val="0"/>
                <w:sz w:val="20"/>
                <w:szCs w:val="20"/>
                <w:lang w:bidi="ar-SA"/>
              </w:rPr>
              <w:t>目</w:t>
            </w:r>
          </w:p>
        </w:tc>
        <w:tc>
          <w:tcPr>
            <w:tcW w:w="3260"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预算数</w:t>
            </w:r>
          </w:p>
        </w:tc>
        <w:tc>
          <w:tcPr>
            <w:tcW w:w="3827"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项</w:t>
            </w:r>
            <w:r>
              <w:rPr>
                <w:rFonts w:ascii="Times New Roman" w:cs="宋体" w:hAnsi="Times New Roman"/>
                <w:color w:val="000000"/>
                <w:kern w:val="0"/>
                <w:sz w:val="20"/>
                <w:szCs w:val="20"/>
                <w:lang w:bidi="ar-SA"/>
              </w:rPr>
              <w:t xml:space="preserve">    </w:t>
            </w:r>
            <w:r>
              <w:rPr>
                <w:rFonts w:ascii="Times New Roman" w:cs="宋体" w:hAnsi="Times New Roman" w:hint="eastAsia"/>
                <w:color w:val="000000"/>
                <w:kern w:val="0"/>
                <w:sz w:val="20"/>
                <w:szCs w:val="20"/>
                <w:lang w:bidi="ar-SA"/>
              </w:rPr>
              <w:t>目</w:t>
            </w:r>
          </w:p>
        </w:tc>
        <w:tc>
          <w:tcPr>
            <w:tcW w:w="5078"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预算数</w:t>
            </w:r>
          </w:p>
        </w:tc>
      </w:tr>
      <w:tr>
        <w:trPr>
          <w:trHeight w:val="360"/>
        </w:trPr>
        <w:tc>
          <w:tcPr>
            <w:tcW w:w="3687"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一、一般公共预算拨款收入</w:t>
            </w:r>
          </w:p>
        </w:tc>
        <w:tc>
          <w:tcPr>
            <w:tcW w:w="3260"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r>
              <w:rPr>
                <w:rFonts w:ascii="Times New Roman" w:cs="Times New Roman" w:hAnsi="Times New Roman"/>
                <w:color w:val="000000"/>
                <w:kern w:val="0"/>
                <w:sz w:val="20"/>
                <w:szCs w:val="20"/>
                <w:lang w:bidi="ar-SA"/>
              </w:rPr>
              <w:t xml:space="preserve">           </w:t>
            </w:r>
            <w:r>
              <w:rPr>
                <w:rFonts w:ascii="Times New Roman" w:cs="Times New Roman" w:hAnsi="Times New Roman" w:hint="eastAsia"/>
                <w:color w:val="000000"/>
                <w:kern w:val="0"/>
                <w:sz w:val="20"/>
                <w:szCs w:val="20"/>
                <w:lang w:bidi="ar-SA"/>
              </w:rPr>
              <w:t>837.65</w:t>
            </w:r>
            <w:r>
              <w:rPr>
                <w:rFonts w:ascii="Times New Roman" w:cs="Times New Roman" w:hAnsi="Times New Roman"/>
                <w:color w:val="000000"/>
                <w:kern w:val="0"/>
                <w:sz w:val="20"/>
                <w:szCs w:val="20"/>
                <w:lang w:bidi="ar-SA"/>
              </w:rPr>
              <w:t xml:space="preserve"> </w:t>
            </w:r>
          </w:p>
        </w:tc>
        <w:tc>
          <w:tcPr>
            <w:tcW w:w="3827" w:type="dxa"/>
            <w:tcBorders>
              <w:top w:val="nil"/>
              <w:left w:val="nil"/>
              <w:bottom w:val="single" w:sz="4" w:space="0" w:color="auto"/>
              <w:right w:val="single" w:sz="4" w:space="0" w:color="auto"/>
            </w:tcBorders>
            <w:shd w:val="clear" w:color="auto" w:fill="auto"/>
            <w:noWrap/>
            <w:vAlign w:val="center"/>
          </w:tcPr>
          <w:p>
            <w:pPr>
              <w:widowControl/>
              <w:autoSpaceDN w:val="0"/>
              <w:jc w:val="left"/>
              <w:rPr>
                <w:rFonts w:ascii="Times New Roman" w:cs="Times New Roman" w:hAnsi="Times New Roman"/>
                <w:color w:val="000000"/>
                <w:kern w:val="0"/>
                <w:sz w:val="20"/>
                <w:szCs w:val="20"/>
                <w:lang w:bidi="ar-SA"/>
              </w:rPr>
            </w:pPr>
            <w:r>
              <w:rPr>
                <w:rFonts w:ascii="Times New Roman" w:cs="Times New Roman" w:hAnsi="Times New Roman" w:hint="eastAsia"/>
                <w:color w:val="000000"/>
                <w:kern w:val="0"/>
                <w:sz w:val="20"/>
                <w:szCs w:val="20"/>
                <w:lang w:bidi="ar-SA"/>
              </w:rPr>
              <w:t>一、一般公共服务支出</w:t>
            </w:r>
          </w:p>
        </w:tc>
        <w:tc>
          <w:tcPr>
            <w:tcW w:w="5078"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r>
              <w:rPr>
                <w:rFonts w:ascii="Times New Roman" w:cs="Times New Roman" w:hAnsi="Times New Roman"/>
                <w:color w:val="000000"/>
                <w:kern w:val="0"/>
                <w:sz w:val="20"/>
                <w:szCs w:val="20"/>
                <w:lang w:bidi="ar-SA"/>
              </w:rPr>
              <w:t xml:space="preserve">                </w:t>
            </w:r>
            <w:r>
              <w:rPr>
                <w:rFonts w:ascii="Times New Roman" w:cs="Times New Roman" w:hAnsi="Times New Roman" w:hint="eastAsia"/>
                <w:color w:val="000000"/>
                <w:kern w:val="0"/>
                <w:sz w:val="20"/>
                <w:szCs w:val="20"/>
                <w:lang w:bidi="ar-SA"/>
              </w:rPr>
              <w:t>823.75</w:t>
            </w:r>
            <w:r>
              <w:rPr>
                <w:rFonts w:ascii="Times New Roman" w:cs="Times New Roman" w:hAnsi="Times New Roman"/>
                <w:color w:val="000000"/>
                <w:kern w:val="0"/>
                <w:sz w:val="20"/>
                <w:szCs w:val="20"/>
                <w:lang w:bidi="ar-SA"/>
              </w:rPr>
              <w:t xml:space="preserve"> </w:t>
            </w:r>
          </w:p>
        </w:tc>
      </w:tr>
      <w:tr>
        <w:trPr>
          <w:trHeight w:val="360"/>
        </w:trPr>
        <w:tc>
          <w:tcPr>
            <w:tcW w:w="3687"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二、政府性基金预算拨款收入</w:t>
            </w:r>
          </w:p>
        </w:tc>
        <w:tc>
          <w:tcPr>
            <w:tcW w:w="3260"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r>
              <w:rPr>
                <w:rFonts w:ascii="Times New Roman" w:cs="Times New Roman" w:hAnsi="Times New Roman" w:hint="eastAsia"/>
                <w:color w:val="000000"/>
                <w:kern w:val="0"/>
                <w:sz w:val="20"/>
                <w:szCs w:val="20"/>
                <w:lang w:bidi="ar-SA"/>
              </w:rPr>
              <w:t>　</w:t>
            </w:r>
          </w:p>
        </w:tc>
        <w:tc>
          <w:tcPr>
            <w:tcW w:w="3827" w:type="dxa"/>
            <w:tcBorders>
              <w:top w:val="nil"/>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二、社会保障和就业支出</w:t>
            </w:r>
          </w:p>
        </w:tc>
        <w:tc>
          <w:tcPr>
            <w:tcW w:w="5078"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r>
              <w:rPr>
                <w:rFonts w:ascii="Times New Roman" w:cs="Times New Roman" w:hAnsi="Times New Roman"/>
                <w:color w:val="000000"/>
                <w:kern w:val="0"/>
                <w:sz w:val="20"/>
                <w:szCs w:val="20"/>
                <w:lang w:bidi="ar-SA"/>
              </w:rPr>
              <w:t xml:space="preserve">                   </w:t>
            </w:r>
            <w:r>
              <w:rPr>
                <w:rFonts w:ascii="Times New Roman" w:cs="Times New Roman" w:hAnsi="Times New Roman" w:hint="eastAsia"/>
                <w:color w:val="000000"/>
                <w:kern w:val="0"/>
                <w:sz w:val="20"/>
                <w:szCs w:val="20"/>
                <w:lang w:bidi="ar-SA"/>
              </w:rPr>
              <w:t>66.84</w:t>
            </w:r>
            <w:r>
              <w:rPr>
                <w:rFonts w:ascii="Times New Roman" w:cs="Times New Roman" w:hAnsi="Times New Roman"/>
                <w:color w:val="000000"/>
                <w:kern w:val="0"/>
                <w:sz w:val="20"/>
                <w:szCs w:val="20"/>
                <w:lang w:bidi="ar-SA"/>
              </w:rPr>
              <w:t xml:space="preserve"> </w:t>
            </w:r>
          </w:p>
        </w:tc>
      </w:tr>
      <w:tr>
        <w:trPr>
          <w:trHeight w:val="360"/>
        </w:trPr>
        <w:tc>
          <w:tcPr>
            <w:tcW w:w="3687"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三、国有资本经营预算拨款收入</w:t>
            </w:r>
          </w:p>
        </w:tc>
        <w:tc>
          <w:tcPr>
            <w:tcW w:w="3260"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r>
              <w:rPr>
                <w:rFonts w:ascii="Times New Roman" w:cs="Times New Roman" w:hAnsi="Times New Roman" w:hint="eastAsia"/>
                <w:color w:val="000000"/>
                <w:kern w:val="0"/>
                <w:sz w:val="20"/>
                <w:szCs w:val="20"/>
                <w:lang w:bidi="ar-SA"/>
              </w:rPr>
              <w:t>　</w:t>
            </w:r>
          </w:p>
        </w:tc>
        <w:tc>
          <w:tcPr>
            <w:tcW w:w="3827" w:type="dxa"/>
            <w:tcBorders>
              <w:top w:val="nil"/>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三、卫生健康支出</w:t>
            </w:r>
          </w:p>
        </w:tc>
        <w:tc>
          <w:tcPr>
            <w:tcW w:w="5078"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r>
              <w:rPr>
                <w:rFonts w:ascii="Times New Roman" w:cs="Times New Roman" w:hAnsi="Times New Roman"/>
                <w:color w:val="000000"/>
                <w:kern w:val="0"/>
                <w:sz w:val="20"/>
                <w:szCs w:val="20"/>
                <w:lang w:bidi="ar-SA"/>
              </w:rPr>
              <w:t xml:space="preserve">                  </w:t>
            </w:r>
            <w:r>
              <w:rPr>
                <w:rFonts w:ascii="Times New Roman" w:cs="Times New Roman" w:hAnsi="Times New Roman" w:hint="eastAsia"/>
                <w:color w:val="000000"/>
                <w:kern w:val="0"/>
                <w:sz w:val="20"/>
                <w:szCs w:val="20"/>
                <w:lang w:bidi="ar-SA"/>
              </w:rPr>
              <w:t>24.05</w:t>
            </w:r>
          </w:p>
        </w:tc>
      </w:tr>
      <w:tr>
        <w:trPr>
          <w:trHeight w:val="360"/>
        </w:trPr>
        <w:tc>
          <w:tcPr>
            <w:tcW w:w="3687"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四、事业收入</w:t>
            </w:r>
          </w:p>
        </w:tc>
        <w:tc>
          <w:tcPr>
            <w:tcW w:w="3260"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r>
              <w:rPr>
                <w:rFonts w:ascii="Times New Roman" w:cs="Times New Roman" w:hAnsi="Times New Roman"/>
                <w:color w:val="000000"/>
                <w:kern w:val="0"/>
                <w:sz w:val="20"/>
                <w:szCs w:val="20"/>
                <w:lang w:bidi="ar-SA"/>
              </w:rPr>
              <w:t xml:space="preserve">               </w:t>
            </w:r>
          </w:p>
        </w:tc>
        <w:tc>
          <w:tcPr>
            <w:tcW w:w="3827" w:type="dxa"/>
            <w:tcBorders>
              <w:top w:val="nil"/>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四、住房保障支出</w:t>
            </w:r>
          </w:p>
        </w:tc>
        <w:tc>
          <w:tcPr>
            <w:tcW w:w="5078"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r>
              <w:rPr>
                <w:rFonts w:ascii="Times New Roman" w:cs="Times New Roman" w:hAnsi="Times New Roman"/>
                <w:color w:val="000000"/>
                <w:kern w:val="0"/>
                <w:sz w:val="20"/>
                <w:szCs w:val="20"/>
                <w:lang w:bidi="ar-SA"/>
              </w:rPr>
              <w:t xml:space="preserve">                    </w:t>
            </w:r>
            <w:r>
              <w:rPr>
                <w:rFonts w:ascii="Times New Roman" w:cs="Times New Roman" w:hAnsi="Times New Roman" w:hint="eastAsia"/>
                <w:color w:val="000000"/>
                <w:kern w:val="0"/>
                <w:sz w:val="20"/>
                <w:szCs w:val="20"/>
                <w:lang w:bidi="ar-SA"/>
              </w:rPr>
              <w:t>68.31</w:t>
            </w:r>
            <w:r>
              <w:rPr>
                <w:rFonts w:ascii="Times New Roman" w:cs="Times New Roman" w:hAnsi="Times New Roman"/>
                <w:color w:val="000000"/>
                <w:kern w:val="0"/>
                <w:sz w:val="20"/>
                <w:szCs w:val="20"/>
                <w:lang w:bidi="ar-SA"/>
              </w:rPr>
              <w:t xml:space="preserve"> </w:t>
            </w:r>
          </w:p>
        </w:tc>
      </w:tr>
      <w:tr>
        <w:trPr>
          <w:trHeight w:val="360"/>
        </w:trPr>
        <w:tc>
          <w:tcPr>
            <w:tcW w:w="3687"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五、事业单位经营收入</w:t>
            </w:r>
          </w:p>
        </w:tc>
        <w:tc>
          <w:tcPr>
            <w:tcW w:w="3260"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r>
              <w:rPr>
                <w:rFonts w:ascii="Times New Roman" w:cs="Times New Roman" w:hAnsi="Times New Roman"/>
                <w:color w:val="000000"/>
                <w:kern w:val="0"/>
                <w:sz w:val="20"/>
                <w:szCs w:val="20"/>
                <w:lang w:bidi="ar-SA"/>
              </w:rPr>
              <w:t xml:space="preserve">                 </w:t>
            </w:r>
          </w:p>
        </w:tc>
        <w:tc>
          <w:tcPr>
            <w:tcW w:w="3827" w:type="dxa"/>
            <w:tcBorders>
              <w:top w:val="nil"/>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20"/>
                <w:szCs w:val="20"/>
                <w:lang w:bidi="ar-SA"/>
              </w:rPr>
            </w:pPr>
          </w:p>
        </w:tc>
        <w:tc>
          <w:tcPr>
            <w:tcW w:w="5078"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p>
        </w:tc>
      </w:tr>
      <w:tr>
        <w:trPr>
          <w:trHeight w:val="360"/>
        </w:trPr>
        <w:tc>
          <w:tcPr>
            <w:tcW w:w="3687"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六、其他收入</w:t>
            </w:r>
          </w:p>
        </w:tc>
        <w:tc>
          <w:tcPr>
            <w:tcW w:w="3260"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r>
              <w:rPr>
                <w:rFonts w:ascii="Times New Roman" w:cs="Times New Roman" w:hAnsi="Times New Roman"/>
                <w:color w:val="000000"/>
                <w:kern w:val="0"/>
                <w:sz w:val="20"/>
                <w:szCs w:val="20"/>
                <w:lang w:bidi="ar-SA"/>
              </w:rPr>
              <w:t xml:space="preserve">           </w:t>
            </w:r>
            <w:r>
              <w:rPr>
                <w:rFonts w:ascii="Times New Roman" w:cs="Times New Roman" w:hAnsi="Times New Roman" w:hint="eastAsia"/>
                <w:color w:val="000000"/>
                <w:kern w:val="0"/>
                <w:sz w:val="20"/>
                <w:szCs w:val="20"/>
                <w:lang w:bidi="ar-SA"/>
              </w:rPr>
              <w:t>45.50</w:t>
            </w:r>
          </w:p>
        </w:tc>
        <w:tc>
          <w:tcPr>
            <w:tcW w:w="3827" w:type="dxa"/>
            <w:tcBorders>
              <w:top w:val="nil"/>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20"/>
                <w:szCs w:val="20"/>
                <w:lang w:bidi="ar-SA"/>
              </w:rPr>
            </w:pPr>
          </w:p>
        </w:tc>
        <w:tc>
          <w:tcPr>
            <w:tcW w:w="5078"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p>
        </w:tc>
      </w:tr>
      <w:tr>
        <w:trPr>
          <w:trHeight w:val="360"/>
        </w:trPr>
        <w:tc>
          <w:tcPr>
            <w:tcW w:w="3687"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　</w:t>
            </w:r>
          </w:p>
        </w:tc>
        <w:tc>
          <w:tcPr>
            <w:tcW w:w="3260"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r>
              <w:rPr>
                <w:rFonts w:ascii="Times New Roman" w:cs="Times New Roman" w:hAnsi="Times New Roman" w:hint="eastAsia"/>
                <w:color w:val="000000"/>
                <w:kern w:val="0"/>
                <w:sz w:val="20"/>
                <w:szCs w:val="20"/>
                <w:lang w:bidi="ar-SA"/>
              </w:rPr>
              <w:t>　</w:t>
            </w:r>
          </w:p>
        </w:tc>
        <w:tc>
          <w:tcPr>
            <w:tcW w:w="3827" w:type="dxa"/>
            <w:tcBorders>
              <w:top w:val="nil"/>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20"/>
                <w:szCs w:val="20"/>
                <w:lang w:bidi="ar-SA"/>
              </w:rPr>
            </w:pPr>
          </w:p>
        </w:tc>
        <w:tc>
          <w:tcPr>
            <w:tcW w:w="5078"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p>
        </w:tc>
      </w:tr>
      <w:tr>
        <w:trPr>
          <w:trHeight w:val="360"/>
        </w:trPr>
        <w:tc>
          <w:tcPr>
            <w:tcW w:w="3687"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　</w:t>
            </w:r>
          </w:p>
        </w:tc>
        <w:tc>
          <w:tcPr>
            <w:tcW w:w="3260"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r>
              <w:rPr>
                <w:rFonts w:ascii="Times New Roman" w:cs="Times New Roman" w:hAnsi="Times New Roman" w:hint="eastAsia"/>
                <w:color w:val="000000"/>
                <w:kern w:val="0"/>
                <w:sz w:val="20"/>
                <w:szCs w:val="20"/>
                <w:lang w:bidi="ar-SA"/>
              </w:rPr>
              <w:t>　</w:t>
            </w:r>
          </w:p>
        </w:tc>
        <w:tc>
          <w:tcPr>
            <w:tcW w:w="3827" w:type="dxa"/>
            <w:tcBorders>
              <w:top w:val="nil"/>
              <w:left w:val="nil"/>
              <w:bottom w:val="single" w:sz="4" w:space="0" w:color="auto"/>
              <w:right w:val="single" w:sz="4" w:space="0" w:color="auto"/>
            </w:tcBorders>
            <w:shd w:val="clear" w:color="auto" w:fill="auto"/>
            <w:noWrap/>
            <w:vAlign w:val="center"/>
          </w:tcPr>
          <w:p>
            <w:pPr>
              <w:widowControl/>
              <w:autoSpaceDN w:val="0"/>
              <w:jc w:val="left"/>
              <w:rPr>
                <w:rFonts w:ascii="Times New Roman" w:cs="Times New Roman" w:hAnsi="Times New Roman"/>
                <w:color w:val="000000"/>
                <w:kern w:val="0"/>
                <w:sz w:val="20"/>
                <w:szCs w:val="20"/>
                <w:lang w:bidi="ar-SA"/>
              </w:rPr>
            </w:pPr>
            <w:r>
              <w:rPr>
                <w:rFonts w:ascii="Times New Roman" w:cs="Times New Roman" w:hAnsi="Times New Roman" w:hint="eastAsia"/>
                <w:color w:val="000000"/>
                <w:kern w:val="0"/>
                <w:sz w:val="20"/>
                <w:szCs w:val="20"/>
                <w:lang w:bidi="ar-SA"/>
              </w:rPr>
              <w:t>　</w:t>
            </w:r>
          </w:p>
        </w:tc>
        <w:tc>
          <w:tcPr>
            <w:tcW w:w="5078"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r>
              <w:rPr>
                <w:rFonts w:ascii="Times New Roman" w:cs="Times New Roman" w:hAnsi="Times New Roman" w:hint="eastAsia"/>
                <w:color w:val="000000"/>
                <w:kern w:val="0"/>
                <w:sz w:val="20"/>
                <w:szCs w:val="20"/>
                <w:lang w:bidi="ar-SA"/>
              </w:rPr>
              <w:t>　</w:t>
            </w:r>
          </w:p>
        </w:tc>
      </w:tr>
      <w:tr>
        <w:trPr>
          <w:trHeight w:val="360"/>
        </w:trPr>
        <w:tc>
          <w:tcPr>
            <w:tcW w:w="3687"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center"/>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本年收入合计</w:t>
            </w:r>
          </w:p>
        </w:tc>
        <w:tc>
          <w:tcPr>
            <w:tcW w:w="3260"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r>
              <w:rPr>
                <w:rFonts w:ascii="Times New Roman" w:cs="Times New Roman" w:hAnsi="Times New Roman"/>
                <w:color w:val="000000"/>
                <w:kern w:val="0"/>
                <w:sz w:val="20"/>
                <w:szCs w:val="20"/>
                <w:lang w:bidi="ar-SA"/>
              </w:rPr>
              <w:t xml:space="preserve">            </w:t>
            </w:r>
            <w:r>
              <w:rPr>
                <w:rFonts w:ascii="Times New Roman" w:cs="Times New Roman" w:hAnsi="Times New Roman" w:hint="eastAsia"/>
                <w:color w:val="000000"/>
                <w:kern w:val="0"/>
                <w:sz w:val="20"/>
                <w:szCs w:val="20"/>
                <w:lang w:bidi="ar-SA"/>
              </w:rPr>
              <w:t>883.15</w:t>
            </w:r>
            <w:r>
              <w:rPr>
                <w:rFonts w:ascii="Times New Roman" w:cs="Times New Roman" w:hAnsi="Times New Roman"/>
                <w:color w:val="000000"/>
                <w:kern w:val="0"/>
                <w:sz w:val="20"/>
                <w:szCs w:val="20"/>
                <w:lang w:bidi="ar-SA"/>
              </w:rPr>
              <w:t xml:space="preserve"> </w:t>
            </w:r>
          </w:p>
        </w:tc>
        <w:tc>
          <w:tcPr>
            <w:tcW w:w="3827"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color w:val="000000"/>
                <w:kern w:val="0"/>
                <w:sz w:val="20"/>
                <w:szCs w:val="20"/>
                <w:lang w:bidi="ar-SA"/>
              </w:rPr>
            </w:pPr>
            <w:r>
              <w:rPr>
                <w:rFonts w:ascii="Times New Roman" w:cs="Times New Roman" w:hAnsi="Times New Roman" w:hint="eastAsia"/>
                <w:color w:val="000000"/>
                <w:kern w:val="0"/>
                <w:sz w:val="20"/>
                <w:szCs w:val="20"/>
                <w:lang w:bidi="ar-SA"/>
              </w:rPr>
              <w:t>本年支出合计</w:t>
            </w:r>
          </w:p>
        </w:tc>
        <w:tc>
          <w:tcPr>
            <w:tcW w:w="5078"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r>
              <w:rPr>
                <w:rFonts w:ascii="Times New Roman" w:cs="Times New Roman" w:hAnsi="Times New Roman"/>
                <w:color w:val="000000"/>
                <w:kern w:val="0"/>
                <w:sz w:val="20"/>
                <w:szCs w:val="20"/>
                <w:lang w:bidi="ar-SA"/>
              </w:rPr>
              <w:t xml:space="preserve">                </w:t>
            </w:r>
            <w:r>
              <w:rPr>
                <w:rFonts w:ascii="Times New Roman" w:cs="Times New Roman" w:hAnsi="Times New Roman" w:hint="eastAsia"/>
                <w:color w:val="000000"/>
                <w:kern w:val="0"/>
                <w:sz w:val="20"/>
                <w:szCs w:val="20"/>
                <w:lang w:bidi="ar-SA"/>
              </w:rPr>
              <w:t>982.95</w:t>
            </w:r>
            <w:r>
              <w:rPr>
                <w:rFonts w:ascii="Times New Roman" w:cs="Times New Roman" w:hAnsi="Times New Roman"/>
                <w:color w:val="000000"/>
                <w:kern w:val="0"/>
                <w:sz w:val="20"/>
                <w:szCs w:val="20"/>
                <w:lang w:bidi="ar-SA"/>
              </w:rPr>
              <w:t xml:space="preserve"> </w:t>
            </w:r>
          </w:p>
        </w:tc>
      </w:tr>
      <w:tr>
        <w:trPr>
          <w:trHeight w:val="360"/>
        </w:trPr>
        <w:tc>
          <w:tcPr>
            <w:tcW w:w="3687"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使用非财政拨款结余</w:t>
            </w:r>
          </w:p>
        </w:tc>
        <w:tc>
          <w:tcPr>
            <w:tcW w:w="3260"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r>
              <w:rPr>
                <w:rFonts w:ascii="Times New Roman" w:cs="Times New Roman" w:hAnsi="Times New Roman"/>
                <w:color w:val="000000"/>
                <w:kern w:val="0"/>
                <w:sz w:val="20"/>
                <w:szCs w:val="20"/>
                <w:lang w:bidi="ar-SA"/>
              </w:rPr>
              <w:t xml:space="preserve">             </w:t>
            </w:r>
          </w:p>
        </w:tc>
        <w:tc>
          <w:tcPr>
            <w:tcW w:w="3827" w:type="dxa"/>
            <w:tcBorders>
              <w:top w:val="nil"/>
              <w:left w:val="nil"/>
              <w:bottom w:val="single" w:sz="4" w:space="0" w:color="auto"/>
              <w:right w:val="single" w:sz="4" w:space="0" w:color="auto"/>
            </w:tcBorders>
            <w:shd w:val="clear" w:color="auto" w:fill="auto"/>
            <w:noWrap/>
            <w:vAlign w:val="center"/>
          </w:tcPr>
          <w:p>
            <w:pPr>
              <w:widowControl/>
              <w:autoSpaceDN w:val="0"/>
              <w:jc w:val="left"/>
              <w:rPr>
                <w:rFonts w:ascii="Times New Roman" w:cs="Times New Roman" w:hAnsi="Times New Roman"/>
                <w:color w:val="000000"/>
                <w:kern w:val="0"/>
                <w:sz w:val="20"/>
                <w:szCs w:val="20"/>
                <w:lang w:bidi="ar-SA"/>
              </w:rPr>
            </w:pPr>
            <w:r>
              <w:rPr>
                <w:rFonts w:ascii="Times New Roman" w:cs="Times New Roman" w:hAnsi="Times New Roman" w:hint="eastAsia"/>
                <w:color w:val="000000"/>
                <w:kern w:val="0"/>
                <w:sz w:val="20"/>
                <w:szCs w:val="20"/>
                <w:lang w:bidi="ar-SA"/>
              </w:rPr>
              <w:t>结转下年（非财政拨款）</w:t>
            </w:r>
          </w:p>
        </w:tc>
        <w:tc>
          <w:tcPr>
            <w:tcW w:w="5078"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r>
              <w:rPr>
                <w:rFonts w:ascii="Times New Roman" w:cs="Times New Roman" w:hAnsi="Times New Roman"/>
                <w:color w:val="000000"/>
                <w:kern w:val="0"/>
                <w:sz w:val="20"/>
                <w:szCs w:val="20"/>
                <w:lang w:bidi="ar-SA"/>
              </w:rPr>
              <w:t xml:space="preserve">                     </w:t>
            </w:r>
          </w:p>
        </w:tc>
      </w:tr>
      <w:tr>
        <w:trPr>
          <w:trHeight w:val="360"/>
        </w:trPr>
        <w:tc>
          <w:tcPr>
            <w:tcW w:w="3687"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上年结转</w:t>
            </w:r>
          </w:p>
        </w:tc>
        <w:tc>
          <w:tcPr>
            <w:tcW w:w="3260"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r>
              <w:rPr>
                <w:rFonts w:ascii="Times New Roman" w:cs="Times New Roman" w:hAnsi="Times New Roman"/>
                <w:color w:val="000000"/>
                <w:kern w:val="0"/>
                <w:sz w:val="20"/>
                <w:szCs w:val="20"/>
                <w:lang w:bidi="ar-SA"/>
              </w:rPr>
              <w:t xml:space="preserve">               </w:t>
            </w:r>
            <w:r>
              <w:rPr>
                <w:rFonts w:ascii="Times New Roman" w:cs="Times New Roman" w:hAnsi="Times New Roman" w:hint="eastAsia"/>
                <w:color w:val="000000"/>
                <w:kern w:val="0"/>
                <w:sz w:val="20"/>
                <w:szCs w:val="20"/>
                <w:lang w:bidi="ar-SA"/>
              </w:rPr>
              <w:t>99.80</w:t>
            </w:r>
            <w:r>
              <w:rPr>
                <w:rFonts w:ascii="Times New Roman" w:cs="Times New Roman" w:hAnsi="Times New Roman"/>
                <w:color w:val="000000"/>
                <w:kern w:val="0"/>
                <w:sz w:val="20"/>
                <w:szCs w:val="20"/>
                <w:lang w:bidi="ar-SA"/>
              </w:rPr>
              <w:t xml:space="preserve"> </w:t>
            </w:r>
          </w:p>
        </w:tc>
        <w:tc>
          <w:tcPr>
            <w:tcW w:w="3827" w:type="dxa"/>
            <w:tcBorders>
              <w:top w:val="nil"/>
              <w:left w:val="nil"/>
              <w:bottom w:val="single" w:sz="4" w:space="0" w:color="auto"/>
              <w:right w:val="single" w:sz="4" w:space="0" w:color="auto"/>
            </w:tcBorders>
            <w:shd w:val="clear" w:color="auto" w:fill="auto"/>
            <w:noWrap/>
            <w:vAlign w:val="center"/>
          </w:tcPr>
          <w:p>
            <w:pPr>
              <w:widowControl/>
              <w:autoSpaceDN w:val="0"/>
              <w:jc w:val="left"/>
              <w:rPr>
                <w:rFonts w:ascii="Times New Roman" w:cs="Times New Roman" w:hAnsi="Times New Roman"/>
                <w:color w:val="000000"/>
                <w:kern w:val="0"/>
                <w:sz w:val="20"/>
                <w:szCs w:val="20"/>
                <w:lang w:bidi="ar-SA"/>
              </w:rPr>
            </w:pPr>
            <w:r>
              <w:rPr>
                <w:rFonts w:ascii="Times New Roman" w:cs="Times New Roman" w:hAnsi="Times New Roman" w:hint="eastAsia"/>
                <w:color w:val="000000"/>
                <w:kern w:val="0"/>
                <w:sz w:val="20"/>
                <w:szCs w:val="20"/>
                <w:lang w:bidi="ar-SA"/>
              </w:rPr>
              <w:t>　</w:t>
            </w:r>
          </w:p>
        </w:tc>
        <w:tc>
          <w:tcPr>
            <w:tcW w:w="5078"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r>
              <w:rPr>
                <w:rFonts w:ascii="Times New Roman" w:cs="Times New Roman" w:hAnsi="Times New Roman" w:hint="eastAsia"/>
                <w:color w:val="000000"/>
                <w:kern w:val="0"/>
                <w:sz w:val="20"/>
                <w:szCs w:val="20"/>
                <w:lang w:bidi="ar-SA"/>
              </w:rPr>
              <w:t>　</w:t>
            </w:r>
          </w:p>
        </w:tc>
      </w:tr>
      <w:tr>
        <w:trPr>
          <w:trHeight w:val="360"/>
        </w:trPr>
        <w:tc>
          <w:tcPr>
            <w:tcW w:w="3687"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20"/>
                <w:szCs w:val="20"/>
                <w:lang w:bidi="ar-SA"/>
              </w:rPr>
            </w:pPr>
            <w:r>
              <w:rPr>
                <w:rFonts w:ascii="Times New Roman" w:cs="宋体" w:hAnsi="Times New Roman"/>
                <w:color w:val="000000"/>
                <w:kern w:val="0"/>
                <w:sz w:val="20"/>
                <w:szCs w:val="20"/>
                <w:lang w:bidi="ar-SA"/>
              </w:rPr>
              <w:t xml:space="preserve">            </w:t>
            </w:r>
            <w:r>
              <w:rPr>
                <w:rFonts w:ascii="Times New Roman" w:cs="宋体" w:hAnsi="Times New Roman" w:hint="eastAsia"/>
                <w:color w:val="000000"/>
                <w:kern w:val="0"/>
                <w:sz w:val="20"/>
                <w:szCs w:val="20"/>
                <w:lang w:bidi="ar-SA"/>
              </w:rPr>
              <w:t>收</w:t>
            </w:r>
            <w:r>
              <w:rPr>
                <w:rFonts w:ascii="Times New Roman" w:cs="宋体" w:hAnsi="Times New Roman"/>
                <w:color w:val="000000"/>
                <w:kern w:val="0"/>
                <w:sz w:val="20"/>
                <w:szCs w:val="20"/>
                <w:lang w:bidi="ar-SA"/>
              </w:rPr>
              <w:t xml:space="preserve">    </w:t>
            </w:r>
            <w:r>
              <w:rPr>
                <w:rFonts w:ascii="Times New Roman" w:cs="宋体" w:hAnsi="Times New Roman" w:hint="eastAsia"/>
                <w:color w:val="000000"/>
                <w:kern w:val="0"/>
                <w:sz w:val="20"/>
                <w:szCs w:val="20"/>
                <w:lang w:bidi="ar-SA"/>
              </w:rPr>
              <w:t>入</w:t>
            </w:r>
            <w:r>
              <w:rPr>
                <w:rFonts w:ascii="Times New Roman" w:cs="宋体" w:hAnsi="Times New Roman"/>
                <w:color w:val="000000"/>
                <w:kern w:val="0"/>
                <w:sz w:val="20"/>
                <w:szCs w:val="20"/>
                <w:lang w:bidi="ar-SA"/>
              </w:rPr>
              <w:t xml:space="preserve">    </w:t>
            </w:r>
            <w:r>
              <w:rPr>
                <w:rFonts w:ascii="Times New Roman" w:cs="宋体" w:hAnsi="Times New Roman" w:hint="eastAsia"/>
                <w:color w:val="000000"/>
                <w:kern w:val="0"/>
                <w:sz w:val="20"/>
                <w:szCs w:val="20"/>
                <w:lang w:bidi="ar-SA"/>
              </w:rPr>
              <w:t>总</w:t>
            </w:r>
            <w:r>
              <w:rPr>
                <w:rFonts w:ascii="Times New Roman" w:cs="宋体" w:hAnsi="Times New Roman"/>
                <w:color w:val="000000"/>
                <w:kern w:val="0"/>
                <w:sz w:val="20"/>
                <w:szCs w:val="20"/>
                <w:lang w:bidi="ar-SA"/>
              </w:rPr>
              <w:t xml:space="preserve">    </w:t>
            </w:r>
            <w:r>
              <w:rPr>
                <w:rFonts w:ascii="Times New Roman" w:cs="宋体" w:hAnsi="Times New Roman" w:hint="eastAsia"/>
                <w:color w:val="000000"/>
                <w:kern w:val="0"/>
                <w:sz w:val="20"/>
                <w:szCs w:val="20"/>
                <w:lang w:bidi="ar-SA"/>
              </w:rPr>
              <w:t>计</w:t>
            </w:r>
          </w:p>
        </w:tc>
        <w:tc>
          <w:tcPr>
            <w:tcW w:w="3260"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r>
              <w:rPr>
                <w:rFonts w:ascii="Times New Roman" w:cs="Times New Roman" w:hAnsi="Times New Roman"/>
                <w:color w:val="000000"/>
                <w:kern w:val="0"/>
                <w:sz w:val="20"/>
                <w:szCs w:val="20"/>
                <w:lang w:bidi="ar-SA"/>
              </w:rPr>
              <w:t xml:space="preserve">            </w:t>
            </w:r>
            <w:r>
              <w:rPr>
                <w:rFonts w:ascii="Times New Roman" w:cs="Times New Roman" w:hAnsi="Times New Roman" w:hint="eastAsia"/>
                <w:color w:val="000000"/>
                <w:kern w:val="0"/>
                <w:sz w:val="20"/>
                <w:szCs w:val="20"/>
                <w:lang w:bidi="ar-SA"/>
              </w:rPr>
              <w:t>982.95</w:t>
            </w:r>
            <w:r>
              <w:rPr>
                <w:rFonts w:ascii="Times New Roman" w:cs="Times New Roman" w:hAnsi="Times New Roman"/>
                <w:color w:val="000000"/>
                <w:kern w:val="0"/>
                <w:sz w:val="20"/>
                <w:szCs w:val="20"/>
                <w:lang w:bidi="ar-SA"/>
              </w:rPr>
              <w:t xml:space="preserve"> </w:t>
            </w:r>
          </w:p>
        </w:tc>
        <w:tc>
          <w:tcPr>
            <w:tcW w:w="3827" w:type="dxa"/>
            <w:tcBorders>
              <w:top w:val="nil"/>
              <w:left w:val="nil"/>
              <w:bottom w:val="single" w:sz="4" w:space="0" w:color="auto"/>
              <w:right w:val="single" w:sz="4" w:space="0" w:color="auto"/>
            </w:tcBorders>
            <w:shd w:val="clear" w:color="auto" w:fill="auto"/>
            <w:noWrap/>
            <w:vAlign w:val="center"/>
          </w:tcPr>
          <w:p>
            <w:pPr>
              <w:widowControl/>
              <w:autoSpaceDN w:val="0"/>
              <w:jc w:val="left"/>
              <w:rPr>
                <w:rFonts w:ascii="Times New Roman" w:cs="Times New Roman" w:hAnsi="Times New Roman"/>
                <w:color w:val="000000"/>
                <w:kern w:val="0"/>
                <w:sz w:val="20"/>
                <w:szCs w:val="20"/>
                <w:lang w:bidi="ar-SA"/>
              </w:rPr>
            </w:pPr>
            <w:r>
              <w:rPr>
                <w:rFonts w:ascii="Times New Roman" w:cs="Times New Roman" w:hAnsi="Times New Roman"/>
                <w:color w:val="000000"/>
                <w:kern w:val="0"/>
                <w:sz w:val="20"/>
                <w:szCs w:val="20"/>
                <w:lang w:bidi="ar-SA"/>
              </w:rPr>
              <w:t xml:space="preserve">            </w:t>
            </w:r>
            <w:r>
              <w:rPr>
                <w:rFonts w:ascii="Times New Roman" w:cs="Times New Roman" w:hAnsi="Times New Roman" w:hint="eastAsia"/>
                <w:color w:val="000000"/>
                <w:kern w:val="0"/>
                <w:sz w:val="20"/>
                <w:szCs w:val="20"/>
                <w:lang w:bidi="ar-SA"/>
              </w:rPr>
              <w:t>支</w:t>
            </w:r>
            <w:r>
              <w:rPr>
                <w:rFonts w:ascii="Times New Roman" w:cs="Times New Roman" w:hAnsi="Times New Roman"/>
                <w:color w:val="000000"/>
                <w:kern w:val="0"/>
                <w:sz w:val="20"/>
                <w:szCs w:val="20"/>
                <w:lang w:bidi="ar-SA"/>
              </w:rPr>
              <w:t xml:space="preserve">    </w:t>
            </w:r>
            <w:r>
              <w:rPr>
                <w:rFonts w:ascii="Times New Roman" w:cs="Times New Roman" w:hAnsi="Times New Roman" w:hint="eastAsia"/>
                <w:color w:val="000000"/>
                <w:kern w:val="0"/>
                <w:sz w:val="20"/>
                <w:szCs w:val="20"/>
                <w:lang w:bidi="ar-SA"/>
              </w:rPr>
              <w:t>出</w:t>
            </w:r>
            <w:r>
              <w:rPr>
                <w:rFonts w:ascii="Times New Roman" w:cs="Times New Roman" w:hAnsi="Times New Roman"/>
                <w:color w:val="000000"/>
                <w:kern w:val="0"/>
                <w:sz w:val="20"/>
                <w:szCs w:val="20"/>
                <w:lang w:bidi="ar-SA"/>
              </w:rPr>
              <w:t xml:space="preserve">    </w:t>
            </w:r>
            <w:r>
              <w:rPr>
                <w:rFonts w:ascii="Times New Roman" w:cs="Times New Roman" w:hAnsi="Times New Roman" w:hint="eastAsia"/>
                <w:color w:val="000000"/>
                <w:kern w:val="0"/>
                <w:sz w:val="20"/>
                <w:szCs w:val="20"/>
                <w:lang w:bidi="ar-SA"/>
              </w:rPr>
              <w:t>总</w:t>
            </w:r>
            <w:r>
              <w:rPr>
                <w:rFonts w:ascii="Times New Roman" w:cs="Times New Roman" w:hAnsi="Times New Roman"/>
                <w:color w:val="000000"/>
                <w:kern w:val="0"/>
                <w:sz w:val="20"/>
                <w:szCs w:val="20"/>
                <w:lang w:bidi="ar-SA"/>
              </w:rPr>
              <w:t xml:space="preserve">    </w:t>
            </w:r>
            <w:r>
              <w:rPr>
                <w:rFonts w:ascii="Times New Roman" w:cs="Times New Roman" w:hAnsi="Times New Roman" w:hint="eastAsia"/>
                <w:color w:val="000000"/>
                <w:kern w:val="0"/>
                <w:sz w:val="20"/>
                <w:szCs w:val="20"/>
                <w:lang w:bidi="ar-SA"/>
              </w:rPr>
              <w:t>计</w:t>
            </w:r>
          </w:p>
        </w:tc>
        <w:tc>
          <w:tcPr>
            <w:tcW w:w="5078"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r>
              <w:rPr>
                <w:rFonts w:ascii="Times New Roman" w:cs="Times New Roman" w:hAnsi="Times New Roman"/>
                <w:color w:val="000000"/>
                <w:kern w:val="0"/>
                <w:sz w:val="20"/>
                <w:szCs w:val="20"/>
                <w:lang w:bidi="ar-SA"/>
              </w:rPr>
              <w:t xml:space="preserve">                 </w:t>
            </w:r>
            <w:r>
              <w:rPr>
                <w:rFonts w:ascii="Times New Roman" w:cs="Times New Roman" w:hAnsi="Times New Roman" w:hint="eastAsia"/>
                <w:color w:val="000000"/>
                <w:kern w:val="0"/>
                <w:sz w:val="20"/>
                <w:szCs w:val="20"/>
                <w:lang w:bidi="ar-SA"/>
              </w:rPr>
              <w:t>982.95</w:t>
            </w:r>
            <w:r>
              <w:rPr>
                <w:rFonts w:ascii="Times New Roman" w:cs="Times New Roman" w:hAnsi="Times New Roman"/>
                <w:color w:val="000000"/>
                <w:kern w:val="0"/>
                <w:sz w:val="20"/>
                <w:szCs w:val="20"/>
                <w:lang w:bidi="ar-SA"/>
              </w:rPr>
              <w:t xml:space="preserve"> </w:t>
            </w:r>
          </w:p>
        </w:tc>
      </w:tr>
    </w:tbl>
    <w:p>
      <w:pPr>
        <w:autoSpaceDN w:val="0"/>
        <w:jc w:val="left"/>
        <w:rPr>
          <w:rFonts w:ascii="Times New Roman" w:eastAsia="方正仿宋_GBK" w:cs="Times New Roman" w:hAnsi="Times New Roman"/>
          <w:sz w:val="32"/>
          <w:szCs w:val="32"/>
        </w:rPr>
      </w:pPr>
    </w:p>
    <w:p>
      <w:pPr>
        <w:autoSpaceDN w:val="0"/>
        <w:jc w:val="left"/>
        <w:rPr>
          <w:rFonts w:ascii="Times New Roman" w:eastAsia="方正仿宋_GBK" w:cs="Times New Roman" w:hAnsi="Times New Roman"/>
          <w:sz w:val="32"/>
          <w:szCs w:val="32"/>
        </w:rPr>
      </w:pPr>
    </w:p>
    <w:p>
      <w:pPr>
        <w:autoSpaceDN w:val="0"/>
        <w:jc w:val="left"/>
        <w:rPr>
          <w:rFonts w:ascii="Times New Roman" w:eastAsia="方正仿宋_GBK" w:cs="Times New Roman" w:hAnsi="Times New Roman"/>
          <w:sz w:val="32"/>
          <w:szCs w:val="32"/>
        </w:rPr>
      </w:pPr>
    </w:p>
    <w:tbl>
      <w:tblPr>
        <w:jc w:val="center"/>
        <w:tblW w:w="13804"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266"/>
        <w:gridCol w:w="1360"/>
        <w:gridCol w:w="1266"/>
        <w:gridCol w:w="880"/>
        <w:gridCol w:w="880"/>
        <w:gridCol w:w="1116"/>
        <w:gridCol w:w="1120"/>
        <w:gridCol w:w="1139"/>
        <w:gridCol w:w="1134"/>
        <w:gridCol w:w="1087"/>
        <w:gridCol w:w="1266"/>
        <w:gridCol w:w="1290"/>
      </w:tblGrid>
      <w:tr>
        <w:trPr>
          <w:trHeight w:val="270"/>
        </w:trPr>
        <w:tc>
          <w:tcPr>
            <w:tcW w:w="1266" w:type="dxa"/>
            <w:tcBorders>
              <w:top w:val="nil"/>
              <w:left w:val="nil"/>
              <w:bottom w:val="nil"/>
              <w:right w:val="nil"/>
            </w:tcBorders>
            <w:shd w:val="clear" w:color="auto" w:fill="auto"/>
            <w:noWrap/>
            <w:vAlign w:val="center"/>
          </w:tcPr>
          <w:p>
            <w:pPr>
              <w:widowControl/>
              <w:autoSpaceDN w:val="0"/>
              <w:jc w:val="left"/>
              <w:rPr>
                <w:rFonts w:ascii="Times New Roman" w:cs="宋体" w:hAnsi="Times New Roman"/>
                <w:kern w:val="0"/>
                <w:sz w:val="24"/>
                <w:szCs w:val="24"/>
                <w:lang w:bidi="ar-SA"/>
              </w:rPr>
            </w:pPr>
          </w:p>
        </w:tc>
        <w:tc>
          <w:tcPr>
            <w:tcW w:w="1360" w:type="dxa"/>
            <w:tcBorders>
              <w:top w:val="nil"/>
              <w:left w:val="nil"/>
              <w:bottom w:val="nil"/>
              <w:right w:val="nil"/>
            </w:tcBorders>
            <w:shd w:val="clear" w:color="auto" w:fill="auto"/>
            <w:noWrap/>
            <w:vAlign w:val="center"/>
          </w:tcPr>
          <w:p>
            <w:pPr>
              <w:widowControl/>
              <w:autoSpaceDN w:val="0"/>
              <w:jc w:val="left"/>
              <w:rPr>
                <w:rFonts w:ascii="Times New Roman" w:eastAsia="Times New Roman" w:cs="Times New Roman" w:hAnsi="Times New Roman"/>
                <w:kern w:val="0"/>
                <w:sz w:val="20"/>
                <w:szCs w:val="20"/>
                <w:lang w:bidi="ar-SA"/>
              </w:rPr>
            </w:pPr>
          </w:p>
        </w:tc>
        <w:tc>
          <w:tcPr>
            <w:tcW w:w="1266" w:type="dxa"/>
            <w:tcBorders>
              <w:top w:val="nil"/>
              <w:left w:val="nil"/>
              <w:bottom w:val="nil"/>
              <w:right w:val="nil"/>
            </w:tcBorders>
            <w:shd w:val="clear" w:color="auto" w:fill="auto"/>
            <w:noWrap/>
            <w:vAlign w:val="center"/>
          </w:tcPr>
          <w:p>
            <w:pPr>
              <w:widowControl/>
              <w:autoSpaceDN w:val="0"/>
              <w:jc w:val="left"/>
              <w:rPr>
                <w:rFonts w:ascii="Times New Roman" w:eastAsia="Times New Roman" w:cs="Times New Roman" w:hAnsi="Times New Roman"/>
                <w:kern w:val="0"/>
                <w:sz w:val="20"/>
                <w:szCs w:val="20"/>
                <w:lang w:bidi="ar-SA"/>
              </w:rPr>
            </w:pPr>
          </w:p>
        </w:tc>
        <w:tc>
          <w:tcPr>
            <w:tcW w:w="880" w:type="dxa"/>
            <w:tcBorders>
              <w:top w:val="nil"/>
              <w:left w:val="nil"/>
              <w:bottom w:val="nil"/>
              <w:right w:val="nil"/>
            </w:tcBorders>
            <w:shd w:val="clear" w:color="auto" w:fill="auto"/>
            <w:noWrap/>
            <w:vAlign w:val="center"/>
          </w:tcPr>
          <w:p>
            <w:pPr>
              <w:widowControl/>
              <w:autoSpaceDN w:val="0"/>
              <w:jc w:val="left"/>
              <w:rPr>
                <w:rFonts w:ascii="Times New Roman" w:eastAsia="Times New Roman" w:cs="Times New Roman" w:hAnsi="Times New Roman"/>
                <w:kern w:val="0"/>
                <w:sz w:val="20"/>
                <w:szCs w:val="20"/>
                <w:lang w:bidi="ar-SA"/>
              </w:rPr>
            </w:pPr>
          </w:p>
        </w:tc>
        <w:tc>
          <w:tcPr>
            <w:tcW w:w="880" w:type="dxa"/>
            <w:tcBorders>
              <w:top w:val="nil"/>
              <w:left w:val="nil"/>
              <w:bottom w:val="nil"/>
              <w:right w:val="nil"/>
            </w:tcBorders>
            <w:shd w:val="clear" w:color="auto" w:fill="auto"/>
            <w:noWrap/>
            <w:vAlign w:val="center"/>
          </w:tcPr>
          <w:p>
            <w:pPr>
              <w:widowControl/>
              <w:autoSpaceDN w:val="0"/>
              <w:jc w:val="left"/>
              <w:rPr>
                <w:rFonts w:ascii="Times New Roman" w:eastAsia="Times New Roman" w:cs="Times New Roman" w:hAnsi="Times New Roman"/>
                <w:kern w:val="0"/>
                <w:sz w:val="20"/>
                <w:szCs w:val="20"/>
                <w:lang w:bidi="ar-SA"/>
              </w:rPr>
            </w:pPr>
          </w:p>
        </w:tc>
        <w:tc>
          <w:tcPr>
            <w:tcW w:w="1116" w:type="dxa"/>
            <w:tcBorders>
              <w:top w:val="nil"/>
              <w:left w:val="nil"/>
              <w:bottom w:val="nil"/>
              <w:right w:val="nil"/>
            </w:tcBorders>
            <w:shd w:val="clear" w:color="auto" w:fill="auto"/>
            <w:noWrap/>
            <w:vAlign w:val="center"/>
          </w:tcPr>
          <w:p>
            <w:pPr>
              <w:widowControl/>
              <w:autoSpaceDN w:val="0"/>
              <w:jc w:val="left"/>
              <w:rPr>
                <w:rFonts w:ascii="Times New Roman" w:eastAsia="Times New Roman" w:cs="Times New Roman" w:hAnsi="Times New Roman"/>
                <w:kern w:val="0"/>
                <w:sz w:val="20"/>
                <w:szCs w:val="20"/>
                <w:lang w:bidi="ar-SA"/>
              </w:rPr>
            </w:pPr>
          </w:p>
        </w:tc>
        <w:tc>
          <w:tcPr>
            <w:tcW w:w="1120" w:type="dxa"/>
            <w:tcBorders>
              <w:top w:val="nil"/>
              <w:left w:val="nil"/>
              <w:bottom w:val="nil"/>
              <w:right w:val="nil"/>
            </w:tcBorders>
            <w:shd w:val="clear" w:color="auto" w:fill="auto"/>
            <w:noWrap/>
            <w:vAlign w:val="center"/>
          </w:tcPr>
          <w:p>
            <w:pPr>
              <w:widowControl/>
              <w:autoSpaceDN w:val="0"/>
              <w:jc w:val="left"/>
              <w:rPr>
                <w:rFonts w:ascii="Times New Roman" w:eastAsia="Times New Roman" w:cs="Times New Roman" w:hAnsi="Times New Roman"/>
                <w:kern w:val="0"/>
                <w:sz w:val="20"/>
                <w:szCs w:val="20"/>
                <w:lang w:bidi="ar-SA"/>
              </w:rPr>
            </w:pPr>
          </w:p>
        </w:tc>
        <w:tc>
          <w:tcPr>
            <w:tcW w:w="1139" w:type="dxa"/>
            <w:tcBorders>
              <w:top w:val="nil"/>
              <w:left w:val="nil"/>
              <w:bottom w:val="nil"/>
              <w:right w:val="nil"/>
            </w:tcBorders>
            <w:shd w:val="clear" w:color="auto" w:fill="auto"/>
            <w:noWrap/>
            <w:vAlign w:val="center"/>
          </w:tcPr>
          <w:p>
            <w:pPr>
              <w:widowControl/>
              <w:autoSpaceDN w:val="0"/>
              <w:jc w:val="left"/>
              <w:rPr>
                <w:rFonts w:ascii="Times New Roman" w:eastAsia="Times New Roman" w:cs="Times New Roman" w:hAnsi="Times New Roman"/>
                <w:kern w:val="0"/>
                <w:sz w:val="20"/>
                <w:szCs w:val="20"/>
                <w:lang w:bidi="ar-SA"/>
              </w:rPr>
            </w:pPr>
          </w:p>
        </w:tc>
        <w:tc>
          <w:tcPr>
            <w:tcW w:w="1134" w:type="dxa"/>
            <w:tcBorders>
              <w:top w:val="nil"/>
              <w:left w:val="nil"/>
              <w:bottom w:val="nil"/>
              <w:right w:val="nil"/>
            </w:tcBorders>
            <w:shd w:val="clear" w:color="auto" w:fill="auto"/>
            <w:noWrap/>
            <w:vAlign w:val="center"/>
          </w:tcPr>
          <w:p>
            <w:pPr>
              <w:widowControl/>
              <w:autoSpaceDN w:val="0"/>
              <w:jc w:val="left"/>
              <w:rPr>
                <w:rFonts w:ascii="Times New Roman" w:eastAsia="Times New Roman" w:cs="Times New Roman" w:hAnsi="Times New Roman"/>
                <w:kern w:val="0"/>
                <w:sz w:val="20"/>
                <w:szCs w:val="20"/>
                <w:lang w:bidi="ar-SA"/>
              </w:rPr>
            </w:pPr>
          </w:p>
        </w:tc>
        <w:tc>
          <w:tcPr>
            <w:tcW w:w="1087" w:type="dxa"/>
            <w:tcBorders>
              <w:top w:val="nil"/>
              <w:left w:val="nil"/>
              <w:bottom w:val="nil"/>
              <w:right w:val="nil"/>
            </w:tcBorders>
            <w:shd w:val="clear" w:color="auto" w:fill="auto"/>
            <w:noWrap/>
            <w:vAlign w:val="center"/>
          </w:tcPr>
          <w:p>
            <w:pPr>
              <w:widowControl/>
              <w:autoSpaceDN w:val="0"/>
              <w:jc w:val="left"/>
              <w:rPr>
                <w:rFonts w:ascii="Times New Roman" w:eastAsia="Times New Roman" w:cs="Times New Roman" w:hAnsi="Times New Roman"/>
                <w:kern w:val="0"/>
                <w:sz w:val="20"/>
                <w:szCs w:val="20"/>
                <w:lang w:bidi="ar-SA"/>
              </w:rPr>
            </w:pPr>
          </w:p>
        </w:tc>
        <w:tc>
          <w:tcPr>
            <w:tcW w:w="2556" w:type="dxa"/>
            <w:gridSpan w:val="2"/>
            <w:tcBorders>
              <w:top w:val="nil"/>
              <w:left w:val="nil"/>
              <w:bottom w:val="nil"/>
              <w:right w:val="nil"/>
            </w:tcBorders>
            <w:shd w:val="clear" w:color="auto" w:fill="auto"/>
            <w:noWrap/>
            <w:vAlign w:val="center"/>
          </w:tcPr>
          <w:p>
            <w:pPr>
              <w:widowControl/>
              <w:autoSpaceDN w:val="0"/>
              <w:jc w:val="right"/>
              <w:rPr>
                <w:rFonts w:ascii="Times New Roman" w:eastAsia="黑体" w:cs="宋体" w:hAnsi="Times New Roman"/>
                <w:kern w:val="0"/>
                <w:sz w:val="20"/>
                <w:szCs w:val="20"/>
                <w:lang w:bidi="ar-SA"/>
              </w:rPr>
            </w:pPr>
            <w:r>
              <w:rPr>
                <w:rFonts w:ascii="Times New Roman" w:eastAsia="黑体" w:cs="宋体" w:hAnsi="Times New Roman" w:hint="eastAsia"/>
                <w:kern w:val="0"/>
                <w:sz w:val="20"/>
                <w:szCs w:val="20"/>
                <w:lang w:bidi="ar-SA"/>
              </w:rPr>
              <w:t>部门公开表</w:t>
            </w:r>
            <w:r>
              <w:rPr>
                <w:rFonts w:ascii="Times New Roman" w:eastAsia="黑体" w:cs="宋体" w:hAnsi="Times New Roman"/>
                <w:kern w:val="0"/>
                <w:sz w:val="20"/>
                <w:szCs w:val="20"/>
                <w:lang w:bidi="ar-SA"/>
              </w:rPr>
              <w:t>2</w:t>
            </w:r>
          </w:p>
        </w:tc>
      </w:tr>
      <w:tr>
        <w:trPr>
          <w:trHeight w:val="405"/>
        </w:trPr>
        <w:tc>
          <w:tcPr>
            <w:tcW w:w="13804" w:type="dxa"/>
            <w:gridSpan w:val="12"/>
            <w:tcBorders>
              <w:top w:val="nil"/>
              <w:left w:val="nil"/>
              <w:bottom w:val="nil"/>
              <w:right w:val="nil"/>
            </w:tcBorders>
            <w:shd w:val="clear" w:color="auto" w:fill="auto"/>
            <w:noWrap/>
            <w:vAlign w:val="center"/>
          </w:tcPr>
          <w:p>
            <w:pPr>
              <w:widowControl/>
              <w:autoSpaceDN w:val="0"/>
              <w:jc w:val="center"/>
              <w:rPr>
                <w:rFonts w:ascii="Times New Roman" w:cs="宋体" w:hAnsi="Times New Roman"/>
                <w:kern w:val="0"/>
                <w:sz w:val="36"/>
                <w:szCs w:val="36"/>
                <w:lang w:bidi="ar-SA"/>
              </w:rPr>
            </w:pPr>
            <w:r>
              <w:rPr>
                <w:rFonts w:ascii="Times New Roman" w:cs="宋体" w:hAnsi="Times New Roman" w:hint="eastAsia"/>
                <w:kern w:val="0"/>
                <w:sz w:val="36"/>
                <w:szCs w:val="36"/>
                <w:lang w:bidi="ar-SA"/>
              </w:rPr>
              <w:t>部门收入总表</w:t>
            </w:r>
          </w:p>
        </w:tc>
      </w:tr>
      <w:tr>
        <w:trPr>
          <w:trHeight w:val="270"/>
        </w:trPr>
        <w:tc>
          <w:tcPr>
            <w:tcW w:w="5652" w:type="dxa"/>
            <w:gridSpan w:val="5"/>
            <w:tcBorders>
              <w:top w:val="nil"/>
              <w:left w:val="nil"/>
              <w:bottom w:val="single" w:sz="4" w:space="0" w:color="auto"/>
              <w:right w:val="nil"/>
            </w:tcBorders>
            <w:shd w:val="clear" w:color="auto" w:fill="auto"/>
            <w:noWrap/>
            <w:vAlign w:val="center"/>
          </w:tcPr>
          <w:p>
            <w:pPr>
              <w:widowControl/>
              <w:autoSpaceDN w:val="0"/>
              <w:jc w:val="left"/>
              <w:rPr>
                <w:rFonts w:ascii="Times New Roman" w:cs="宋体" w:hAnsi="Times New Roman"/>
                <w:kern w:val="0"/>
                <w:sz w:val="18"/>
                <w:szCs w:val="18"/>
                <w:lang w:bidi="ar-SA"/>
              </w:rPr>
            </w:pPr>
            <w:r>
              <w:rPr>
                <w:rFonts w:ascii="Times New Roman" w:cs="宋体" w:hAnsi="Times New Roman" w:hint="eastAsia"/>
                <w:kern w:val="0"/>
                <w:sz w:val="18"/>
                <w:szCs w:val="18"/>
                <w:lang w:bidi="ar-SA"/>
              </w:rPr>
              <w:t>　</w:t>
            </w:r>
            <w:r>
              <w:rPr>
                <w:rFonts w:ascii="Times New Roman" w:cs="宋体" w:hAnsi="Times New Roman" w:hint="eastAsia"/>
                <w:color w:val="000000"/>
                <w:kern w:val="0"/>
                <w:sz w:val="18"/>
                <w:szCs w:val="18"/>
                <w:lang w:bidi="ar-SA"/>
              </w:rPr>
              <w:t>单位名称：中华人民共和国鄂尔多斯海关</w:t>
            </w:r>
          </w:p>
        </w:tc>
        <w:tc>
          <w:tcPr>
            <w:tcW w:w="1116" w:type="dxa"/>
            <w:tcBorders>
              <w:top w:val="nil"/>
              <w:left w:val="nil"/>
              <w:bottom w:val="single" w:sz="4" w:space="0" w:color="auto"/>
              <w:right w:val="nil"/>
            </w:tcBorders>
            <w:shd w:val="clear" w:color="auto" w:fill="auto"/>
            <w:noWrap/>
            <w:vAlign w:val="center"/>
          </w:tcPr>
          <w:p>
            <w:pPr>
              <w:widowControl/>
              <w:autoSpaceDN w:val="0"/>
              <w:jc w:val="left"/>
              <w:rPr>
                <w:rFonts w:ascii="Times New Roman" w:cs="宋体" w:hAnsi="Times New Roman"/>
                <w:kern w:val="0"/>
                <w:sz w:val="18"/>
                <w:szCs w:val="18"/>
                <w:lang w:bidi="ar-SA"/>
              </w:rPr>
            </w:pPr>
            <w:r>
              <w:rPr>
                <w:rFonts w:ascii="Times New Roman" w:cs="宋体" w:hAnsi="Times New Roman" w:hint="eastAsia"/>
                <w:kern w:val="0"/>
                <w:sz w:val="18"/>
                <w:szCs w:val="18"/>
                <w:lang w:bidi="ar-SA"/>
              </w:rPr>
              <w:t>　</w:t>
            </w:r>
          </w:p>
        </w:tc>
        <w:tc>
          <w:tcPr>
            <w:tcW w:w="1120" w:type="dxa"/>
            <w:tcBorders>
              <w:top w:val="nil"/>
              <w:left w:val="nil"/>
              <w:bottom w:val="single" w:sz="4" w:space="0" w:color="auto"/>
              <w:right w:val="nil"/>
            </w:tcBorders>
            <w:shd w:val="clear" w:color="auto" w:fill="auto"/>
            <w:noWrap/>
            <w:vAlign w:val="center"/>
          </w:tcPr>
          <w:p>
            <w:pPr>
              <w:widowControl/>
              <w:autoSpaceDN w:val="0"/>
              <w:jc w:val="left"/>
              <w:rPr>
                <w:rFonts w:ascii="Times New Roman" w:cs="宋体" w:hAnsi="Times New Roman"/>
                <w:kern w:val="0"/>
                <w:sz w:val="18"/>
                <w:szCs w:val="18"/>
                <w:lang w:bidi="ar-SA"/>
              </w:rPr>
            </w:pPr>
            <w:r>
              <w:rPr>
                <w:rFonts w:ascii="Times New Roman" w:cs="宋体" w:hAnsi="Times New Roman" w:hint="eastAsia"/>
                <w:kern w:val="0"/>
                <w:sz w:val="18"/>
                <w:szCs w:val="18"/>
                <w:lang w:bidi="ar-SA"/>
              </w:rPr>
              <w:t>　</w:t>
            </w:r>
          </w:p>
        </w:tc>
        <w:tc>
          <w:tcPr>
            <w:tcW w:w="1139" w:type="dxa"/>
            <w:tcBorders>
              <w:top w:val="nil"/>
              <w:left w:val="nil"/>
              <w:bottom w:val="single" w:sz="4" w:space="0" w:color="auto"/>
              <w:right w:val="nil"/>
            </w:tcBorders>
            <w:shd w:val="clear" w:color="auto" w:fill="auto"/>
            <w:noWrap/>
            <w:vAlign w:val="center"/>
          </w:tcPr>
          <w:p>
            <w:pPr>
              <w:widowControl/>
              <w:autoSpaceDN w:val="0"/>
              <w:jc w:val="left"/>
              <w:rPr>
                <w:rFonts w:ascii="Times New Roman" w:cs="宋体" w:hAnsi="Times New Roman"/>
                <w:kern w:val="0"/>
                <w:sz w:val="18"/>
                <w:szCs w:val="18"/>
                <w:lang w:bidi="ar-SA"/>
              </w:rPr>
            </w:pPr>
            <w:r>
              <w:rPr>
                <w:rFonts w:ascii="Times New Roman" w:cs="宋体" w:hAnsi="Times New Roman" w:hint="eastAsia"/>
                <w:kern w:val="0"/>
                <w:sz w:val="18"/>
                <w:szCs w:val="18"/>
                <w:lang w:bidi="ar-SA"/>
              </w:rPr>
              <w:t>　</w:t>
            </w:r>
          </w:p>
        </w:tc>
        <w:tc>
          <w:tcPr>
            <w:tcW w:w="1134" w:type="dxa"/>
            <w:tcBorders>
              <w:top w:val="nil"/>
              <w:left w:val="nil"/>
              <w:bottom w:val="single" w:sz="4" w:space="0" w:color="auto"/>
              <w:right w:val="nil"/>
            </w:tcBorders>
            <w:shd w:val="clear" w:color="auto" w:fill="auto"/>
            <w:noWrap/>
            <w:vAlign w:val="center"/>
          </w:tcPr>
          <w:p>
            <w:pPr>
              <w:widowControl/>
              <w:autoSpaceDN w:val="0"/>
              <w:jc w:val="left"/>
              <w:rPr>
                <w:rFonts w:ascii="Times New Roman" w:cs="宋体" w:hAnsi="Times New Roman"/>
                <w:kern w:val="0"/>
                <w:sz w:val="18"/>
                <w:szCs w:val="18"/>
                <w:lang w:bidi="ar-SA"/>
              </w:rPr>
            </w:pPr>
            <w:r>
              <w:rPr>
                <w:rFonts w:ascii="Times New Roman" w:cs="宋体" w:hAnsi="Times New Roman" w:hint="eastAsia"/>
                <w:kern w:val="0"/>
                <w:sz w:val="18"/>
                <w:szCs w:val="18"/>
                <w:lang w:bidi="ar-SA"/>
              </w:rPr>
              <w:t>　</w:t>
            </w:r>
          </w:p>
        </w:tc>
        <w:tc>
          <w:tcPr>
            <w:tcW w:w="1087" w:type="dxa"/>
            <w:tcBorders>
              <w:top w:val="nil"/>
              <w:left w:val="nil"/>
              <w:bottom w:val="single" w:sz="4" w:space="0" w:color="auto"/>
              <w:right w:val="nil"/>
            </w:tcBorders>
            <w:shd w:val="clear" w:color="auto" w:fill="auto"/>
            <w:noWrap/>
            <w:vAlign w:val="center"/>
          </w:tcPr>
          <w:p>
            <w:pPr>
              <w:widowControl/>
              <w:autoSpaceDN w:val="0"/>
              <w:jc w:val="left"/>
              <w:rPr>
                <w:rFonts w:ascii="Times New Roman" w:cs="宋体" w:hAnsi="Times New Roman"/>
                <w:kern w:val="0"/>
                <w:sz w:val="18"/>
                <w:szCs w:val="18"/>
                <w:lang w:bidi="ar-SA"/>
              </w:rPr>
            </w:pPr>
            <w:r>
              <w:rPr>
                <w:rFonts w:ascii="Times New Roman" w:cs="宋体" w:hAnsi="Times New Roman" w:hint="eastAsia"/>
                <w:kern w:val="0"/>
                <w:sz w:val="18"/>
                <w:szCs w:val="18"/>
                <w:lang w:bidi="ar-SA"/>
              </w:rPr>
              <w:t>　</w:t>
            </w:r>
          </w:p>
        </w:tc>
        <w:tc>
          <w:tcPr>
            <w:tcW w:w="1266" w:type="dxa"/>
            <w:tcBorders>
              <w:top w:val="nil"/>
              <w:left w:val="nil"/>
              <w:bottom w:val="single" w:sz="4" w:space="0" w:color="auto"/>
              <w:right w:val="nil"/>
            </w:tcBorders>
            <w:shd w:val="clear" w:color="auto" w:fill="auto"/>
            <w:noWrap/>
            <w:vAlign w:val="center"/>
          </w:tcPr>
          <w:p>
            <w:pPr>
              <w:widowControl/>
              <w:autoSpaceDN w:val="0"/>
              <w:jc w:val="left"/>
              <w:rPr>
                <w:rFonts w:ascii="Times New Roman" w:cs="宋体" w:hAnsi="Times New Roman"/>
                <w:kern w:val="0"/>
                <w:sz w:val="18"/>
                <w:szCs w:val="18"/>
                <w:lang w:bidi="ar-SA"/>
              </w:rPr>
            </w:pPr>
            <w:r>
              <w:rPr>
                <w:rFonts w:ascii="Times New Roman" w:cs="宋体" w:hAnsi="Times New Roman" w:hint="eastAsia"/>
                <w:kern w:val="0"/>
                <w:sz w:val="18"/>
                <w:szCs w:val="18"/>
                <w:lang w:bidi="ar-SA"/>
              </w:rPr>
              <w:t>　</w:t>
            </w:r>
          </w:p>
        </w:tc>
        <w:tc>
          <w:tcPr>
            <w:tcW w:w="1290" w:type="dxa"/>
            <w:tcBorders>
              <w:top w:val="nil"/>
              <w:left w:val="nil"/>
              <w:bottom w:val="single" w:sz="4" w:space="0" w:color="auto"/>
              <w:right w:val="nil"/>
            </w:tcBorders>
            <w:shd w:val="clear" w:color="auto" w:fill="auto"/>
            <w:noWrap/>
            <w:vAlign w:val="center"/>
          </w:tcPr>
          <w:p>
            <w:pPr>
              <w:widowControl/>
              <w:autoSpaceDN w:val="0"/>
              <w:jc w:val="left"/>
              <w:rPr>
                <w:rFonts w:ascii="Times New Roman" w:cs="宋体" w:hAnsi="Times New Roman"/>
                <w:kern w:val="0"/>
                <w:sz w:val="18"/>
                <w:szCs w:val="18"/>
                <w:lang w:bidi="ar-SA"/>
              </w:rPr>
            </w:pPr>
            <w:r>
              <w:rPr>
                <w:rFonts w:ascii="Times New Roman" w:cs="宋体" w:hAnsi="Times New Roman" w:hint="eastAsia"/>
                <w:kern w:val="0"/>
                <w:sz w:val="18"/>
                <w:szCs w:val="18"/>
                <w:lang w:bidi="ar-SA"/>
              </w:rPr>
              <w:t>单位：万元</w:t>
            </w:r>
          </w:p>
        </w:tc>
      </w:tr>
      <w:tr>
        <w:trPr>
          <w:trHeight w:val="270"/>
        </w:trPr>
        <w:tc>
          <w:tcPr>
            <w:tcW w:w="1266" w:type="dxa"/>
            <w:vMerge w:val="restart"/>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Times New Roman" w:cs="宋体" w:hAnsi="Times New Roman"/>
                <w:kern w:val="0"/>
                <w:sz w:val="20"/>
                <w:szCs w:val="20"/>
                <w:lang w:bidi="ar-SA"/>
              </w:rPr>
            </w:pPr>
            <w:r>
              <w:rPr>
                <w:rFonts w:ascii="Times New Roman" w:cs="宋体" w:hAnsi="Times New Roman" w:hint="eastAsia"/>
                <w:kern w:val="0"/>
                <w:sz w:val="20"/>
                <w:szCs w:val="20"/>
                <w:lang w:bidi="ar-SA"/>
              </w:rPr>
              <w:t>合计</w:t>
            </w:r>
          </w:p>
        </w:tc>
        <w:tc>
          <w:tcPr>
            <w:tcW w:w="1360" w:type="dxa"/>
            <w:vMerge w:val="restart"/>
            <w:tcBorders>
              <w:top w:val="nil"/>
              <w:left w:val="single" w:sz="4" w:space="0" w:color="auto"/>
              <w:bottom w:val="nil"/>
              <w:right w:val="single" w:sz="4" w:space="0" w:color="auto"/>
            </w:tcBorders>
            <w:shd w:val="clear" w:color="auto" w:fill="auto"/>
            <w:vAlign w:val="center"/>
          </w:tcPr>
          <w:p>
            <w:pPr>
              <w:widowControl/>
              <w:autoSpaceDN w:val="0"/>
              <w:jc w:val="center"/>
              <w:rPr>
                <w:rFonts w:ascii="Times New Roman" w:cs="宋体" w:hAnsi="Times New Roman"/>
                <w:kern w:val="0"/>
                <w:sz w:val="20"/>
                <w:szCs w:val="20"/>
                <w:lang w:bidi="ar-SA"/>
              </w:rPr>
            </w:pPr>
            <w:r>
              <w:rPr>
                <w:rFonts w:ascii="Times New Roman" w:cs="宋体" w:hAnsi="Times New Roman" w:hint="eastAsia"/>
                <w:kern w:val="0"/>
                <w:sz w:val="20"/>
                <w:szCs w:val="20"/>
                <w:lang w:bidi="ar-SA"/>
              </w:rPr>
              <w:t>上年结转</w:t>
            </w:r>
          </w:p>
        </w:tc>
        <w:tc>
          <w:tcPr>
            <w:tcW w:w="1266" w:type="dxa"/>
            <w:vMerge w:val="restart"/>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Times New Roman" w:cs="宋体" w:hAnsi="Times New Roman"/>
                <w:kern w:val="0"/>
                <w:sz w:val="20"/>
                <w:szCs w:val="20"/>
                <w:lang w:bidi="ar-SA"/>
              </w:rPr>
            </w:pPr>
            <w:r>
              <w:rPr>
                <w:rFonts w:ascii="Times New Roman" w:cs="宋体" w:hAnsi="Times New Roman" w:hint="eastAsia"/>
                <w:kern w:val="0"/>
                <w:sz w:val="20"/>
                <w:szCs w:val="20"/>
                <w:lang w:bidi="ar-SA"/>
              </w:rPr>
              <w:t>一般公共预算拨款收入</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Times New Roman" w:cs="宋体" w:hAnsi="Times New Roman"/>
                <w:kern w:val="0"/>
                <w:sz w:val="20"/>
                <w:szCs w:val="20"/>
                <w:lang w:bidi="ar-SA"/>
              </w:rPr>
            </w:pPr>
            <w:r>
              <w:rPr>
                <w:rFonts w:ascii="Times New Roman" w:cs="宋体" w:hAnsi="Times New Roman" w:hint="eastAsia"/>
                <w:kern w:val="0"/>
                <w:sz w:val="20"/>
                <w:szCs w:val="20"/>
                <w:lang w:bidi="ar-SA"/>
              </w:rPr>
              <w:t>政府性基金预算拨款收入</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Times New Roman" w:cs="宋体" w:hAnsi="Times New Roman"/>
                <w:kern w:val="0"/>
                <w:sz w:val="20"/>
                <w:szCs w:val="20"/>
                <w:lang w:bidi="ar-SA"/>
              </w:rPr>
            </w:pPr>
            <w:r>
              <w:rPr>
                <w:rFonts w:ascii="Times New Roman" w:cs="宋体" w:hAnsi="Times New Roman" w:hint="eastAsia"/>
                <w:kern w:val="0"/>
                <w:sz w:val="20"/>
                <w:szCs w:val="20"/>
                <w:lang w:bidi="ar-SA"/>
              </w:rPr>
              <w:t>国有资本经营预算拨款收入</w:t>
            </w:r>
          </w:p>
        </w:tc>
        <w:tc>
          <w:tcPr>
            <w:tcW w:w="2236"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pPr>
              <w:widowControl/>
              <w:autoSpaceDN w:val="0"/>
              <w:jc w:val="center"/>
              <w:rPr>
                <w:rFonts w:ascii="Times New Roman" w:cs="宋体" w:hAnsi="Times New Roman"/>
                <w:kern w:val="0"/>
                <w:sz w:val="20"/>
                <w:szCs w:val="20"/>
                <w:lang w:bidi="ar-SA"/>
              </w:rPr>
            </w:pPr>
            <w:r>
              <w:rPr>
                <w:rFonts w:ascii="Times New Roman" w:cs="宋体" w:hAnsi="Times New Roman" w:hint="eastAsia"/>
                <w:kern w:val="0"/>
                <w:sz w:val="20"/>
                <w:szCs w:val="20"/>
                <w:lang w:bidi="ar-SA"/>
              </w:rPr>
              <w:t>事业收入</w:t>
            </w:r>
          </w:p>
        </w:tc>
        <w:tc>
          <w:tcPr>
            <w:tcW w:w="1139" w:type="dxa"/>
            <w:vMerge w:val="restart"/>
            <w:tcBorders>
              <w:top w:val="single" w:sz="4" w:space="0" w:color="auto"/>
              <w:left w:val="single" w:sz="4" w:space="0" w:color="auto"/>
              <w:bottom w:val="nil"/>
              <w:right w:val="nil"/>
            </w:tcBorders>
            <w:shd w:val="clear" w:color="auto" w:fill="auto"/>
            <w:vAlign w:val="center"/>
          </w:tcPr>
          <w:p>
            <w:pPr>
              <w:widowControl/>
              <w:autoSpaceDN w:val="0"/>
              <w:jc w:val="center"/>
              <w:rPr>
                <w:rFonts w:ascii="Times New Roman" w:cs="宋体" w:hAnsi="Times New Roman"/>
                <w:kern w:val="0"/>
                <w:sz w:val="20"/>
                <w:szCs w:val="20"/>
                <w:lang w:bidi="ar-SA"/>
              </w:rPr>
            </w:pPr>
            <w:r>
              <w:rPr>
                <w:rFonts w:ascii="Times New Roman" w:cs="宋体" w:hAnsi="Times New Roman" w:hint="eastAsia"/>
                <w:kern w:val="0"/>
                <w:sz w:val="20"/>
                <w:szCs w:val="20"/>
                <w:lang w:bidi="ar-SA"/>
              </w:rPr>
              <w:t>事业单位经营收入</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autoSpaceDN w:val="0"/>
              <w:jc w:val="center"/>
              <w:rPr>
                <w:rFonts w:ascii="Times New Roman" w:cs="宋体" w:hAnsi="Times New Roman"/>
                <w:kern w:val="0"/>
                <w:sz w:val="20"/>
                <w:szCs w:val="20"/>
                <w:lang w:bidi="ar-SA"/>
              </w:rPr>
            </w:pPr>
            <w:r>
              <w:rPr>
                <w:rFonts w:ascii="Times New Roman" w:cs="宋体" w:hAnsi="Times New Roman" w:hint="eastAsia"/>
                <w:kern w:val="0"/>
                <w:sz w:val="20"/>
                <w:szCs w:val="20"/>
                <w:lang w:bidi="ar-SA"/>
              </w:rPr>
              <w:t>上级补助收入</w:t>
            </w:r>
          </w:p>
        </w:tc>
        <w:tc>
          <w:tcPr>
            <w:tcW w:w="108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center"/>
              <w:rPr>
                <w:rFonts w:ascii="Times New Roman" w:cs="宋体" w:hAnsi="Times New Roman"/>
                <w:kern w:val="0"/>
                <w:sz w:val="20"/>
                <w:szCs w:val="20"/>
                <w:lang w:bidi="ar-SA"/>
              </w:rPr>
            </w:pPr>
            <w:r>
              <w:rPr>
                <w:rFonts w:ascii="Times New Roman" w:cs="宋体" w:hAnsi="Times New Roman" w:hint="eastAsia"/>
                <w:kern w:val="0"/>
                <w:sz w:val="20"/>
                <w:szCs w:val="20"/>
                <w:lang w:bidi="ar-SA"/>
              </w:rPr>
              <w:t>附属单位上缴收入</w:t>
            </w:r>
          </w:p>
        </w:tc>
        <w:tc>
          <w:tcPr>
            <w:tcW w:w="126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center"/>
              <w:rPr>
                <w:rFonts w:ascii="Times New Roman" w:cs="宋体" w:hAnsi="Times New Roman"/>
                <w:kern w:val="0"/>
                <w:sz w:val="20"/>
                <w:szCs w:val="20"/>
                <w:lang w:bidi="ar-SA"/>
              </w:rPr>
            </w:pPr>
            <w:r>
              <w:rPr>
                <w:rFonts w:ascii="Times New Roman" w:cs="宋体" w:hAnsi="Times New Roman" w:hint="eastAsia"/>
                <w:kern w:val="0"/>
                <w:sz w:val="20"/>
                <w:szCs w:val="20"/>
                <w:lang w:bidi="ar-SA"/>
              </w:rPr>
              <w:t>其他收入</w:t>
            </w:r>
          </w:p>
        </w:tc>
        <w:tc>
          <w:tcPr>
            <w:tcW w:w="12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center"/>
              <w:rPr>
                <w:rFonts w:ascii="Times New Roman" w:cs="宋体" w:hAnsi="Times New Roman"/>
                <w:kern w:val="0"/>
                <w:sz w:val="20"/>
                <w:szCs w:val="20"/>
                <w:lang w:bidi="ar-SA"/>
              </w:rPr>
            </w:pPr>
            <w:r>
              <w:rPr>
                <w:rFonts w:ascii="Times New Roman" w:cs="宋体" w:hAnsi="Times New Roman" w:hint="eastAsia"/>
                <w:kern w:val="0"/>
                <w:sz w:val="20"/>
                <w:szCs w:val="20"/>
                <w:lang w:bidi="ar-SA"/>
              </w:rPr>
              <w:t>使用非财政拨款结余</w:t>
            </w:r>
          </w:p>
        </w:tc>
      </w:tr>
      <w:tr>
        <w:trPr>
          <w:trHeight w:val="480"/>
        </w:trPr>
        <w:tc>
          <w:tcPr>
            <w:tcW w:w="1266" w:type="dxa"/>
            <w:vMerge/>
            <w:tcBorders>
              <w:top w:val="nil"/>
              <w:left w:val="single" w:sz="4" w:space="0" w:color="auto"/>
              <w:bottom w:val="single" w:sz="4" w:space="0" w:color="auto"/>
              <w:right w:val="single" w:sz="4" w:space="0" w:color="auto"/>
            </w:tcBorders>
            <w:vAlign w:val="center"/>
          </w:tcPr>
          <w:p/>
        </w:tc>
        <w:tc>
          <w:tcPr>
            <w:tcW w:w="1360" w:type="dxa"/>
            <w:vMerge/>
            <w:tcBorders>
              <w:top w:val="nil"/>
              <w:left w:val="single" w:sz="4" w:space="0" w:color="auto"/>
              <w:bottom w:val="nil"/>
              <w:right w:val="single" w:sz="4" w:space="0" w:color="auto"/>
            </w:tcBorders>
            <w:vAlign w:val="center"/>
          </w:tcPr>
          <w:p/>
        </w:tc>
        <w:tc>
          <w:tcPr>
            <w:tcW w:w="1266" w:type="dxa"/>
            <w:vMerge/>
            <w:tcBorders>
              <w:top w:val="nil"/>
              <w:left w:val="single" w:sz="4" w:space="0" w:color="auto"/>
              <w:bottom w:val="single" w:sz="4" w:space="0" w:color="auto"/>
              <w:right w:val="single" w:sz="4" w:space="0" w:color="auto"/>
            </w:tcBorders>
            <w:vAlign w:val="center"/>
          </w:tcPr>
          <w:p/>
        </w:tc>
        <w:tc>
          <w:tcPr>
            <w:tcW w:w="880" w:type="dxa"/>
            <w:vMerge/>
            <w:tcBorders>
              <w:top w:val="nil"/>
              <w:left w:val="single" w:sz="4" w:space="0" w:color="auto"/>
              <w:bottom w:val="single" w:sz="4" w:space="0" w:color="auto"/>
              <w:right w:val="single" w:sz="4" w:space="0" w:color="auto"/>
            </w:tcBorders>
            <w:vAlign w:val="center"/>
          </w:tcPr>
          <w:p/>
        </w:tc>
        <w:tc>
          <w:tcPr>
            <w:tcW w:w="880" w:type="dxa"/>
            <w:vMerge/>
            <w:tcBorders>
              <w:top w:val="nil"/>
              <w:left w:val="single" w:sz="4" w:space="0" w:color="auto"/>
              <w:bottom w:val="single" w:sz="4" w:space="0" w:color="auto"/>
              <w:right w:val="single" w:sz="4" w:space="0" w:color="auto"/>
            </w:tcBorders>
            <w:vAlign w:val="center"/>
          </w:tcPr>
          <w:p/>
        </w:tc>
        <w:tc>
          <w:tcPr>
            <w:tcW w:w="1116" w:type="dxa"/>
            <w:tcBorders>
              <w:top w:val="single" w:sz="4" w:space="0" w:color="auto"/>
              <w:left w:val="nil"/>
              <w:bottom w:val="single" w:sz="4" w:space="0" w:color="auto"/>
              <w:right w:val="single" w:sz="4" w:space="0" w:color="auto"/>
            </w:tcBorders>
            <w:shd w:val="clear" w:color="auto" w:fill="auto"/>
            <w:vAlign w:val="center"/>
          </w:tcPr>
          <w:p>
            <w:pPr>
              <w:widowControl/>
              <w:autoSpaceDN w:val="0"/>
              <w:jc w:val="center"/>
              <w:rPr>
                <w:rFonts w:ascii="Times New Roman" w:cs="宋体" w:hAnsi="Times New Roman"/>
                <w:kern w:val="0"/>
                <w:sz w:val="20"/>
                <w:szCs w:val="20"/>
                <w:lang w:bidi="ar-SA"/>
              </w:rPr>
            </w:pPr>
            <w:r>
              <w:rPr>
                <w:rFonts w:ascii="Times New Roman" w:cs="宋体" w:hAnsi="Times New Roman" w:hint="eastAsia"/>
                <w:kern w:val="0"/>
                <w:sz w:val="20"/>
                <w:szCs w:val="20"/>
                <w:lang w:bidi="ar-SA"/>
              </w:rPr>
              <w:t>金额</w:t>
            </w:r>
          </w:p>
        </w:tc>
        <w:tc>
          <w:tcPr>
            <w:tcW w:w="1120" w:type="dxa"/>
            <w:tcBorders>
              <w:top w:val="single" w:sz="4" w:space="0" w:color="auto"/>
              <w:left w:val="nil"/>
              <w:bottom w:val="single" w:sz="4" w:space="0" w:color="auto"/>
              <w:right w:val="single" w:sz="4" w:space="0" w:color="auto"/>
            </w:tcBorders>
            <w:shd w:val="clear" w:color="auto" w:fill="auto"/>
            <w:vAlign w:val="center"/>
          </w:tcPr>
          <w:p>
            <w:pPr>
              <w:widowControl/>
              <w:autoSpaceDN w:val="0"/>
              <w:jc w:val="center"/>
              <w:rPr>
                <w:rFonts w:ascii="Times New Roman" w:cs="宋体" w:hAnsi="Times New Roman"/>
                <w:kern w:val="0"/>
                <w:sz w:val="20"/>
                <w:szCs w:val="20"/>
                <w:lang w:bidi="ar-SA"/>
              </w:rPr>
            </w:pPr>
            <w:r>
              <w:rPr>
                <w:rFonts w:ascii="Times New Roman" w:cs="宋体" w:hAnsi="Times New Roman" w:hint="eastAsia"/>
                <w:kern w:val="0"/>
                <w:sz w:val="20"/>
                <w:szCs w:val="20"/>
                <w:lang w:bidi="ar-SA"/>
              </w:rPr>
              <w:t>其中：教育收费</w:t>
            </w:r>
          </w:p>
        </w:tc>
        <w:tc>
          <w:tcPr>
            <w:tcW w:w="1139" w:type="dxa"/>
            <w:vMerge/>
            <w:tcBorders>
              <w:top w:val="single" w:sz="4" w:space="0" w:color="auto"/>
              <w:left w:val="single" w:sz="4" w:space="0" w:color="auto"/>
              <w:bottom w:val="nil"/>
              <w:right w:val="nil"/>
            </w:tcBorders>
            <w:vAlign w:val="center"/>
          </w:tcPr>
          <w:p/>
        </w:tc>
        <w:tc>
          <w:tcPr>
            <w:tcW w:w="1134" w:type="dxa"/>
            <w:vMerge/>
            <w:tcBorders>
              <w:top w:val="single" w:sz="4" w:space="0" w:color="auto"/>
              <w:left w:val="single" w:sz="4" w:space="0" w:color="auto"/>
              <w:bottom w:val="single" w:sz="4" w:space="0" w:color="000000"/>
              <w:right w:val="single" w:sz="4" w:space="0" w:color="auto"/>
            </w:tcBorders>
            <w:vAlign w:val="center"/>
          </w:tcPr>
          <w:p/>
        </w:tc>
        <w:tc>
          <w:tcPr>
            <w:tcW w:w="1087" w:type="dxa"/>
            <w:vMerge/>
            <w:tcBorders>
              <w:top w:val="single" w:sz="4" w:space="0" w:color="auto"/>
              <w:left w:val="single" w:sz="4" w:space="0" w:color="auto"/>
              <w:bottom w:val="single" w:sz="4" w:space="0" w:color="auto"/>
              <w:right w:val="single" w:sz="4" w:space="0" w:color="auto"/>
            </w:tcBorders>
            <w:vAlign w:val="center"/>
          </w:tcPr>
          <w:p/>
        </w:tc>
        <w:tc>
          <w:tcPr>
            <w:tcW w:w="1266" w:type="dxa"/>
            <w:vMerge/>
            <w:tcBorders>
              <w:top w:val="single" w:sz="4" w:space="0" w:color="auto"/>
              <w:left w:val="single" w:sz="4" w:space="0" w:color="auto"/>
              <w:bottom w:val="single" w:sz="4" w:space="0" w:color="auto"/>
              <w:right w:val="single" w:sz="4" w:space="0" w:color="auto"/>
            </w:tcBorders>
            <w:vAlign w:val="center"/>
          </w:tcPr>
          <w:p/>
        </w:tc>
        <w:tc>
          <w:tcPr>
            <w:tcW w:w="1290" w:type="dxa"/>
            <w:vMerge/>
            <w:tcBorders>
              <w:top w:val="single" w:sz="4" w:space="0" w:color="auto"/>
              <w:left w:val="single" w:sz="4" w:space="0" w:color="auto"/>
              <w:bottom w:val="single" w:sz="4" w:space="0" w:color="auto"/>
              <w:right w:val="single" w:sz="4" w:space="0" w:color="auto"/>
            </w:tcBorders>
            <w:vAlign w:val="center"/>
          </w:tcPr>
          <w:p/>
        </w:tc>
      </w:tr>
      <w:tr>
        <w:trPr>
          <w:trHeight w:val="270"/>
        </w:trPr>
        <w:tc>
          <w:tcPr>
            <w:tcW w:w="1266"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right"/>
              <w:rPr>
                <w:rFonts w:ascii="Times New Roman" w:cs="宋体" w:hAnsi="Times New Roman"/>
                <w:kern w:val="0"/>
                <w:sz w:val="20"/>
                <w:szCs w:val="20"/>
                <w:lang w:bidi="ar-SA"/>
              </w:rPr>
            </w:pPr>
            <w:r>
              <w:rPr>
                <w:rFonts w:ascii="Times New Roman" w:cs="宋体" w:hAnsi="Times New Roman" w:hint="eastAsia"/>
                <w:kern w:val="0"/>
                <w:sz w:val="20"/>
                <w:szCs w:val="20"/>
                <w:lang w:bidi="ar-SA"/>
              </w:rPr>
              <w:t>982.95</w:t>
            </w:r>
          </w:p>
        </w:tc>
        <w:tc>
          <w:tcPr>
            <w:tcW w:w="1360" w:type="dxa"/>
            <w:tcBorders>
              <w:top w:val="single" w:sz="4" w:space="0" w:color="auto"/>
              <w:left w:val="nil"/>
              <w:bottom w:val="single" w:sz="4" w:space="0" w:color="auto"/>
              <w:right w:val="single" w:sz="4" w:space="0" w:color="auto"/>
            </w:tcBorders>
            <w:shd w:val="clear" w:color="auto" w:fill="auto"/>
            <w:vAlign w:val="center"/>
          </w:tcPr>
          <w:p>
            <w:pPr>
              <w:widowControl/>
              <w:autoSpaceDN w:val="0"/>
              <w:jc w:val="right"/>
              <w:rPr>
                <w:rFonts w:ascii="Times New Roman" w:cs="宋体" w:hAnsi="Times New Roman"/>
                <w:kern w:val="0"/>
                <w:sz w:val="20"/>
                <w:szCs w:val="20"/>
                <w:lang w:bidi="ar-SA"/>
              </w:rPr>
            </w:pPr>
            <w:r>
              <w:rPr>
                <w:rFonts w:ascii="Times New Roman" w:cs="宋体" w:hAnsi="Times New Roman" w:hint="eastAsia"/>
                <w:kern w:val="0"/>
                <w:sz w:val="20"/>
                <w:szCs w:val="20"/>
                <w:lang w:bidi="ar-SA"/>
              </w:rPr>
              <w:t>99.80</w:t>
            </w:r>
          </w:p>
        </w:tc>
        <w:tc>
          <w:tcPr>
            <w:tcW w:w="1266" w:type="dxa"/>
            <w:tcBorders>
              <w:top w:val="nil"/>
              <w:left w:val="nil"/>
              <w:bottom w:val="single" w:sz="4" w:space="0" w:color="auto"/>
              <w:right w:val="single" w:sz="4" w:space="0" w:color="auto"/>
            </w:tcBorders>
            <w:shd w:val="clear" w:color="auto" w:fill="auto"/>
            <w:vAlign w:val="center"/>
          </w:tcPr>
          <w:p>
            <w:pPr>
              <w:widowControl/>
              <w:autoSpaceDN w:val="0"/>
              <w:jc w:val="right"/>
              <w:rPr>
                <w:rFonts w:ascii="Times New Roman" w:cs="宋体" w:hAnsi="Times New Roman"/>
                <w:kern w:val="0"/>
                <w:sz w:val="20"/>
                <w:szCs w:val="20"/>
                <w:lang w:bidi="ar-SA"/>
              </w:rPr>
            </w:pPr>
            <w:r>
              <w:rPr>
                <w:rFonts w:ascii="Times New Roman" w:cs="宋体" w:hAnsi="Times New Roman" w:hint="eastAsia"/>
                <w:kern w:val="0"/>
                <w:sz w:val="20"/>
                <w:szCs w:val="20"/>
                <w:lang w:bidi="ar-SA"/>
              </w:rPr>
              <w:t>837.65</w:t>
            </w:r>
          </w:p>
        </w:tc>
        <w:tc>
          <w:tcPr>
            <w:tcW w:w="880" w:type="dxa"/>
            <w:tcBorders>
              <w:top w:val="nil"/>
              <w:left w:val="nil"/>
              <w:bottom w:val="single" w:sz="4" w:space="0" w:color="auto"/>
              <w:right w:val="single" w:sz="4" w:space="0" w:color="auto"/>
            </w:tcBorders>
            <w:shd w:val="clear" w:color="auto" w:fill="auto"/>
            <w:vAlign w:val="center"/>
          </w:tcPr>
          <w:p>
            <w:pPr>
              <w:widowControl/>
              <w:autoSpaceDN w:val="0"/>
              <w:jc w:val="right"/>
              <w:rPr>
                <w:rFonts w:ascii="Times New Roman" w:cs="宋体" w:hAnsi="Times New Roman"/>
                <w:kern w:val="0"/>
                <w:sz w:val="20"/>
                <w:szCs w:val="20"/>
                <w:lang w:bidi="ar-SA"/>
              </w:rPr>
            </w:pPr>
            <w:r>
              <w:rPr>
                <w:rFonts w:ascii="Times New Roman" w:cs="宋体" w:hAnsi="Times New Roman" w:hint="eastAsia"/>
                <w:kern w:val="0"/>
                <w:sz w:val="20"/>
                <w:szCs w:val="20"/>
                <w:lang w:bidi="ar-SA"/>
              </w:rPr>
              <w:t>　</w:t>
            </w:r>
          </w:p>
        </w:tc>
        <w:tc>
          <w:tcPr>
            <w:tcW w:w="880" w:type="dxa"/>
            <w:tcBorders>
              <w:top w:val="nil"/>
              <w:left w:val="nil"/>
              <w:bottom w:val="single" w:sz="4" w:space="0" w:color="auto"/>
              <w:right w:val="single" w:sz="4" w:space="0" w:color="auto"/>
            </w:tcBorders>
            <w:shd w:val="clear" w:color="auto" w:fill="auto"/>
            <w:vAlign w:val="center"/>
          </w:tcPr>
          <w:p>
            <w:pPr>
              <w:widowControl/>
              <w:autoSpaceDN w:val="0"/>
              <w:jc w:val="right"/>
              <w:rPr>
                <w:rFonts w:ascii="Times New Roman" w:cs="宋体" w:hAnsi="Times New Roman"/>
                <w:kern w:val="0"/>
                <w:sz w:val="20"/>
                <w:szCs w:val="20"/>
                <w:lang w:bidi="ar-SA"/>
              </w:rPr>
            </w:pPr>
            <w:r>
              <w:rPr>
                <w:rFonts w:ascii="Times New Roman" w:cs="宋体" w:hAnsi="Times New Roman" w:hint="eastAsia"/>
                <w:kern w:val="0"/>
                <w:sz w:val="20"/>
                <w:szCs w:val="20"/>
                <w:lang w:bidi="ar-SA"/>
              </w:rPr>
              <w:t>　</w:t>
            </w:r>
          </w:p>
        </w:tc>
        <w:tc>
          <w:tcPr>
            <w:tcW w:w="1116" w:type="dxa"/>
            <w:tcBorders>
              <w:top w:val="nil"/>
              <w:left w:val="nil"/>
              <w:bottom w:val="single" w:sz="4" w:space="0" w:color="auto"/>
              <w:right w:val="single" w:sz="4" w:space="0" w:color="auto"/>
            </w:tcBorders>
            <w:shd w:val="clear" w:color="auto" w:fill="auto"/>
            <w:vAlign w:val="center"/>
          </w:tcPr>
          <w:p>
            <w:pPr>
              <w:widowControl/>
              <w:autoSpaceDN w:val="0"/>
              <w:jc w:val="right"/>
              <w:rPr>
                <w:rFonts w:ascii="Times New Roman" w:cs="宋体" w:hAnsi="Times New Roman"/>
                <w:kern w:val="0"/>
                <w:sz w:val="20"/>
                <w:szCs w:val="20"/>
                <w:lang w:bidi="ar-SA"/>
              </w:rPr>
            </w:pPr>
          </w:p>
        </w:tc>
        <w:tc>
          <w:tcPr>
            <w:tcW w:w="1120" w:type="dxa"/>
            <w:tcBorders>
              <w:top w:val="single" w:sz="4" w:space="0" w:color="auto"/>
              <w:left w:val="nil"/>
              <w:bottom w:val="single" w:sz="4" w:space="0" w:color="auto"/>
              <w:right w:val="single" w:sz="4" w:space="0" w:color="auto"/>
            </w:tcBorders>
            <w:shd w:val="clear" w:color="auto" w:fill="auto"/>
            <w:vAlign w:val="center"/>
          </w:tcPr>
          <w:p>
            <w:pPr>
              <w:widowControl/>
              <w:autoSpaceDN w:val="0"/>
              <w:jc w:val="right"/>
              <w:rPr>
                <w:rFonts w:ascii="Times New Roman" w:cs="宋体" w:hAnsi="Times New Roman"/>
                <w:kern w:val="0"/>
                <w:sz w:val="20"/>
                <w:szCs w:val="20"/>
                <w:lang w:bidi="ar-SA"/>
              </w:rPr>
            </w:pPr>
            <w:r>
              <w:rPr>
                <w:rFonts w:ascii="Times New Roman" w:cs="宋体" w:hAnsi="Times New Roman" w:hint="eastAsia"/>
                <w:kern w:val="0"/>
                <w:sz w:val="20"/>
                <w:szCs w:val="20"/>
                <w:lang w:bidi="ar-SA"/>
              </w:rPr>
              <w:t>　</w:t>
            </w:r>
          </w:p>
        </w:tc>
        <w:tc>
          <w:tcPr>
            <w:tcW w:w="1139" w:type="dxa"/>
            <w:tcBorders>
              <w:top w:val="single" w:sz="4" w:space="0" w:color="auto"/>
              <w:left w:val="nil"/>
              <w:bottom w:val="single" w:sz="4" w:space="0" w:color="auto"/>
              <w:right w:val="single" w:sz="4" w:space="0" w:color="auto"/>
            </w:tcBorders>
            <w:shd w:val="clear" w:color="auto" w:fill="auto"/>
            <w:vAlign w:val="center"/>
          </w:tcPr>
          <w:p>
            <w:pPr>
              <w:widowControl/>
              <w:autoSpaceDN w:val="0"/>
              <w:jc w:val="right"/>
              <w:rPr>
                <w:rFonts w:ascii="Times New Roman" w:cs="宋体" w:hAnsi="Times New Roman"/>
                <w:kern w:val="0"/>
                <w:sz w:val="20"/>
                <w:szCs w:val="20"/>
                <w:lang w:bidi="ar-SA"/>
              </w:rPr>
            </w:pPr>
          </w:p>
        </w:tc>
        <w:tc>
          <w:tcPr>
            <w:tcW w:w="1134" w:type="dxa"/>
            <w:tcBorders>
              <w:top w:val="single" w:sz="4" w:space="0" w:color="auto"/>
              <w:left w:val="nil"/>
              <w:bottom w:val="single" w:sz="4" w:space="0" w:color="auto"/>
              <w:right w:val="single" w:sz="4" w:space="0" w:color="auto"/>
            </w:tcBorders>
            <w:shd w:val="clear" w:color="auto" w:fill="auto"/>
            <w:vAlign w:val="center"/>
          </w:tcPr>
          <w:p>
            <w:pPr>
              <w:widowControl/>
              <w:autoSpaceDN w:val="0"/>
              <w:jc w:val="right"/>
              <w:rPr>
                <w:rFonts w:ascii="Times New Roman" w:cs="宋体" w:hAnsi="Times New Roman"/>
                <w:kern w:val="0"/>
                <w:sz w:val="20"/>
                <w:szCs w:val="20"/>
                <w:lang w:bidi="ar-SA"/>
              </w:rPr>
            </w:pPr>
            <w:r>
              <w:rPr>
                <w:rFonts w:ascii="Times New Roman" w:cs="宋体" w:hAnsi="Times New Roman" w:hint="eastAsia"/>
                <w:kern w:val="0"/>
                <w:sz w:val="20"/>
                <w:szCs w:val="20"/>
                <w:lang w:bidi="ar-SA"/>
              </w:rPr>
              <w:t>　</w:t>
            </w:r>
          </w:p>
        </w:tc>
        <w:tc>
          <w:tcPr>
            <w:tcW w:w="1087" w:type="dxa"/>
            <w:tcBorders>
              <w:top w:val="nil"/>
              <w:left w:val="nil"/>
              <w:bottom w:val="single" w:sz="4" w:space="0" w:color="auto"/>
              <w:right w:val="single" w:sz="4" w:space="0" w:color="auto"/>
            </w:tcBorders>
            <w:shd w:val="clear" w:color="auto" w:fill="auto"/>
            <w:vAlign w:val="center"/>
          </w:tcPr>
          <w:p>
            <w:pPr>
              <w:widowControl/>
              <w:autoSpaceDN w:val="0"/>
              <w:jc w:val="right"/>
              <w:rPr>
                <w:rFonts w:ascii="Times New Roman" w:cs="宋体" w:hAnsi="Times New Roman"/>
                <w:kern w:val="0"/>
                <w:sz w:val="20"/>
                <w:szCs w:val="20"/>
                <w:lang w:bidi="ar-SA"/>
              </w:rPr>
            </w:pPr>
            <w:r>
              <w:rPr>
                <w:rFonts w:ascii="Times New Roman" w:cs="宋体" w:hAnsi="Times New Roman" w:hint="eastAsia"/>
                <w:kern w:val="0"/>
                <w:sz w:val="20"/>
                <w:szCs w:val="20"/>
                <w:lang w:bidi="ar-SA"/>
              </w:rPr>
              <w:t>　</w:t>
            </w:r>
          </w:p>
        </w:tc>
        <w:tc>
          <w:tcPr>
            <w:tcW w:w="1266" w:type="dxa"/>
            <w:tcBorders>
              <w:top w:val="nil"/>
              <w:left w:val="nil"/>
              <w:bottom w:val="single" w:sz="4" w:space="0" w:color="auto"/>
              <w:right w:val="single" w:sz="4" w:space="0" w:color="auto"/>
            </w:tcBorders>
            <w:shd w:val="clear" w:color="auto" w:fill="auto"/>
            <w:vAlign w:val="center"/>
          </w:tcPr>
          <w:p>
            <w:pPr>
              <w:widowControl/>
              <w:autoSpaceDN w:val="0"/>
              <w:jc w:val="right"/>
              <w:rPr>
                <w:rFonts w:ascii="Times New Roman" w:cs="宋体" w:hAnsi="Times New Roman"/>
                <w:kern w:val="0"/>
                <w:sz w:val="20"/>
                <w:szCs w:val="20"/>
                <w:lang w:bidi="ar-SA"/>
              </w:rPr>
            </w:pPr>
            <w:r>
              <w:rPr>
                <w:rFonts w:ascii="Times New Roman" w:cs="宋体" w:hAnsi="Times New Roman" w:hint="eastAsia"/>
                <w:kern w:val="0"/>
                <w:sz w:val="20"/>
                <w:szCs w:val="20"/>
                <w:lang w:bidi="ar-SA"/>
              </w:rPr>
              <w:t>45.50</w:t>
            </w:r>
          </w:p>
        </w:tc>
        <w:tc>
          <w:tcPr>
            <w:tcW w:w="1290" w:type="dxa"/>
            <w:tcBorders>
              <w:top w:val="nil"/>
              <w:left w:val="nil"/>
              <w:bottom w:val="single" w:sz="4" w:space="0" w:color="auto"/>
              <w:right w:val="single" w:sz="4" w:space="0" w:color="auto"/>
            </w:tcBorders>
            <w:shd w:val="clear" w:color="auto" w:fill="auto"/>
            <w:vAlign w:val="center"/>
          </w:tcPr>
          <w:p>
            <w:pPr>
              <w:widowControl/>
              <w:autoSpaceDN w:val="0"/>
              <w:jc w:val="right"/>
              <w:rPr>
                <w:rFonts w:ascii="Times New Roman" w:cs="宋体" w:hAnsi="Times New Roman"/>
                <w:kern w:val="0"/>
                <w:sz w:val="20"/>
                <w:szCs w:val="20"/>
                <w:lang w:bidi="ar-SA"/>
              </w:rPr>
            </w:pPr>
          </w:p>
        </w:tc>
      </w:tr>
    </w:tbl>
    <w:p>
      <w:pPr>
        <w:autoSpaceDN w:val="0"/>
        <w:jc w:val="left"/>
        <w:rPr>
          <w:rFonts w:ascii="Times New Roman" w:eastAsia="方正仿宋_GBK" w:cs="Times New Roman" w:hAnsi="Times New Roman"/>
          <w:sz w:val="32"/>
          <w:szCs w:val="32"/>
        </w:rPr>
      </w:pPr>
    </w:p>
    <w:p>
      <w:pPr>
        <w:autoSpaceDN w:val="0"/>
        <w:jc w:val="center"/>
        <w:rPr>
          <w:rFonts w:ascii="Times New Roman" w:eastAsia="方正仿宋_GBK" w:cs="Times New Roman" w:hAnsi="Times New Roman"/>
          <w:sz w:val="32"/>
          <w:szCs w:val="32"/>
        </w:rPr>
      </w:pPr>
    </w:p>
    <w:p>
      <w:pPr>
        <w:autoSpaceDN w:val="0"/>
        <w:jc w:val="center"/>
        <w:rPr>
          <w:rFonts w:ascii="Times New Roman" w:eastAsia="方正仿宋_GBK" w:cs="Times New Roman" w:hAnsi="Times New Roman"/>
          <w:sz w:val="32"/>
          <w:szCs w:val="32"/>
        </w:rPr>
      </w:pPr>
    </w:p>
    <w:p>
      <w:pPr>
        <w:autoSpaceDN w:val="0"/>
        <w:jc w:val="center"/>
        <w:rPr>
          <w:rFonts w:ascii="Times New Roman" w:eastAsia="方正仿宋_GBK" w:cs="Times New Roman" w:hAnsi="Times New Roman"/>
          <w:sz w:val="32"/>
          <w:szCs w:val="32"/>
        </w:rPr>
      </w:pPr>
    </w:p>
    <w:p>
      <w:pPr>
        <w:autoSpaceDN w:val="0"/>
        <w:jc w:val="center"/>
        <w:rPr>
          <w:rFonts w:ascii="Times New Roman" w:eastAsia="方正仿宋_GBK" w:cs="Times New Roman" w:hAnsi="Times New Roman"/>
          <w:sz w:val="32"/>
          <w:szCs w:val="32"/>
        </w:rPr>
      </w:pPr>
    </w:p>
    <w:p>
      <w:pPr>
        <w:autoSpaceDN w:val="0"/>
        <w:jc w:val="center"/>
        <w:rPr>
          <w:rFonts w:ascii="Times New Roman" w:eastAsia="方正仿宋_GBK" w:cs="Times New Roman" w:hAnsi="Times New Roman"/>
          <w:sz w:val="32"/>
          <w:szCs w:val="32"/>
        </w:rPr>
      </w:pPr>
    </w:p>
    <w:p>
      <w:pPr>
        <w:autoSpaceDN w:val="0"/>
        <w:jc w:val="center"/>
        <w:rPr>
          <w:rFonts w:ascii="Times New Roman" w:eastAsia="方正仿宋_GBK" w:cs="Times New Roman" w:hAnsi="Times New Roman"/>
          <w:sz w:val="32"/>
          <w:szCs w:val="32"/>
        </w:rPr>
      </w:pPr>
    </w:p>
    <w:p>
      <w:pPr>
        <w:widowControl/>
        <w:jc w:val="left"/>
        <w:rPr>
          <w:rFonts w:ascii="宋体" w:cs="宋体"/>
          <w:kern w:val="0"/>
          <w:sz w:val="24"/>
          <w:szCs w:val="24"/>
        </w:rPr>
        <w:sectPr>
          <w:pgSz w:w="16838" w:h="11906" w:orient="landscape"/>
          <w:pgMar w:top="1800" w:right="1440" w:bottom="1800" w:left="1440" w:header="851" w:footer="992" w:gutter="0"/>
          <w:docGrid w:type="lines" w:linePitch="312" w:charSpace="0"/>
        </w:sectPr>
      </w:pPr>
    </w:p>
    <w:tbl>
      <w:tblPr>
        <w:jc w:val="center"/>
        <w:tblW w:w="10484"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119"/>
        <w:gridCol w:w="2126"/>
        <w:gridCol w:w="1332"/>
        <w:gridCol w:w="1332"/>
        <w:gridCol w:w="1173"/>
        <w:gridCol w:w="993"/>
        <w:gridCol w:w="1134"/>
        <w:gridCol w:w="1275"/>
      </w:tblGrid>
      <w:tr>
        <w:trPr>
          <w:trHeight w:val="319"/>
        </w:trPr>
        <w:tc>
          <w:tcPr>
            <w:tcW w:w="10484" w:type="dxa"/>
            <w:gridSpan w:val="8"/>
            <w:tcBorders>
              <w:top w:val="nil"/>
              <w:left w:val="nil"/>
              <w:bottom w:val="nil"/>
              <w:right w:val="nil"/>
            </w:tcBorders>
            <w:shd w:val="clear" w:color="auto" w:fill="auto"/>
            <w:noWrap/>
            <w:vAlign w:val="center"/>
          </w:tcPr>
          <w:p>
            <w:pPr>
              <w:widowControl/>
              <w:autoSpaceDN w:val="0"/>
              <w:jc w:val="right"/>
              <w:rPr>
                <w:rFonts w:ascii="Times New Roman" w:eastAsia="黑体" w:cs="宋体" w:hAnsi="Times New Roman"/>
                <w:color w:val="000000"/>
                <w:kern w:val="0"/>
                <w:sz w:val="20"/>
                <w:szCs w:val="20"/>
                <w:lang w:bidi="ar-SA"/>
              </w:rPr>
            </w:pPr>
            <w:r>
              <w:rPr>
                <w:rFonts w:ascii="Times New Roman" w:eastAsia="黑体" w:cs="宋体" w:hAnsi="Times New Roman"/>
                <w:color w:val="000000"/>
                <w:kern w:val="0"/>
                <w:sz w:val="20"/>
                <w:szCs w:val="20"/>
                <w:lang w:bidi="ar-SA"/>
              </w:rPr>
              <w:t xml:space="preserve"> </w:t>
            </w:r>
            <w:r>
              <w:rPr>
                <w:rFonts w:ascii="Times New Roman" w:eastAsia="黑体" w:cs="宋体" w:hAnsi="Times New Roman" w:hint="eastAsia"/>
                <w:color w:val="000000"/>
                <w:kern w:val="0"/>
                <w:sz w:val="20"/>
                <w:szCs w:val="20"/>
                <w:lang w:bidi="ar-SA"/>
              </w:rPr>
              <w:t>部门公开表</w:t>
            </w:r>
            <w:r>
              <w:rPr>
                <w:rFonts w:ascii="Times New Roman" w:eastAsia="黑体" w:cs="宋体" w:hAnsi="Times New Roman"/>
                <w:color w:val="000000"/>
                <w:kern w:val="0"/>
                <w:sz w:val="20"/>
                <w:szCs w:val="20"/>
                <w:lang w:bidi="ar-SA"/>
              </w:rPr>
              <w:t xml:space="preserve">3 </w:t>
            </w:r>
          </w:p>
        </w:tc>
      </w:tr>
      <w:tr>
        <w:trPr>
          <w:trHeight w:val="540"/>
        </w:trPr>
        <w:tc>
          <w:tcPr>
            <w:tcW w:w="10484" w:type="dxa"/>
            <w:gridSpan w:val="8"/>
            <w:tcBorders>
              <w:top w:val="nil"/>
              <w:left w:val="nil"/>
              <w:bottom w:val="nil"/>
              <w:right w:val="nil"/>
            </w:tcBorders>
            <w:shd w:val="clear" w:color="auto" w:fill="auto"/>
            <w:noWrap/>
            <w:vAlign w:val="center"/>
          </w:tcPr>
          <w:p>
            <w:pPr>
              <w:widowControl/>
              <w:autoSpaceDN w:val="0"/>
              <w:jc w:val="center"/>
              <w:rPr>
                <w:rFonts w:ascii="Times New Roman" w:cs="宋体" w:hAnsi="Times New Roman"/>
                <w:color w:val="000000"/>
                <w:kern w:val="0"/>
                <w:sz w:val="36"/>
                <w:szCs w:val="36"/>
                <w:lang w:bidi="ar-SA"/>
              </w:rPr>
            </w:pPr>
            <w:r>
              <w:rPr>
                <w:rFonts w:ascii="Times New Roman" w:cs="宋体" w:hAnsi="Times New Roman"/>
                <w:color w:val="000000"/>
                <w:kern w:val="0"/>
                <w:sz w:val="36"/>
                <w:szCs w:val="36"/>
                <w:lang w:bidi="ar-SA"/>
              </w:rPr>
              <w:t xml:space="preserve"> </w:t>
            </w:r>
            <w:r>
              <w:rPr>
                <w:rFonts w:ascii="Times New Roman" w:cs="宋体" w:hAnsi="Times New Roman" w:hint="eastAsia"/>
                <w:color w:val="000000"/>
                <w:kern w:val="0"/>
                <w:sz w:val="36"/>
                <w:szCs w:val="36"/>
                <w:lang w:bidi="ar-SA"/>
              </w:rPr>
              <w:t>部门支出总表</w:t>
            </w:r>
            <w:r>
              <w:rPr>
                <w:rFonts w:ascii="Times New Roman" w:cs="宋体" w:hAnsi="Times New Roman"/>
                <w:color w:val="000000"/>
                <w:kern w:val="0"/>
                <w:sz w:val="36"/>
                <w:szCs w:val="36"/>
                <w:lang w:bidi="ar-SA"/>
              </w:rPr>
              <w:t xml:space="preserve"> </w:t>
            </w:r>
          </w:p>
        </w:tc>
      </w:tr>
      <w:tr>
        <w:trPr>
          <w:trHeight w:val="360"/>
        </w:trPr>
        <w:tc>
          <w:tcPr>
            <w:tcW w:w="5909" w:type="dxa"/>
            <w:gridSpan w:val="4"/>
            <w:tcBorders>
              <w:top w:val="nil"/>
              <w:left w:val="nil"/>
              <w:bottom w:val="single" w:sz="4" w:space="0" w:color="auto"/>
              <w:right w:val="nil"/>
            </w:tcBorders>
            <w:shd w:val="clear" w:color="auto" w:fill="auto"/>
            <w:noWrap/>
            <w:vAlign w:val="center"/>
          </w:tcPr>
          <w:p>
            <w:pPr>
              <w:widowControl/>
              <w:autoSpaceDN w:val="0"/>
              <w:jc w:val="left"/>
              <w:rPr>
                <w:rFonts w:ascii="Times New Roman" w:cs="宋体" w:hAnsi="Times New Roman"/>
                <w:color w:val="000000"/>
                <w:kern w:val="0"/>
                <w:sz w:val="36"/>
                <w:szCs w:val="36"/>
                <w:lang w:bidi="ar-SA"/>
              </w:rPr>
            </w:pPr>
            <w:r>
              <w:rPr>
                <w:rFonts w:ascii="Times New Roman" w:cs="宋体" w:hAnsi="Times New Roman" w:hint="eastAsia"/>
                <w:color w:val="000000"/>
                <w:kern w:val="0"/>
                <w:sz w:val="18"/>
                <w:szCs w:val="18"/>
                <w:lang w:bidi="ar-SA"/>
              </w:rPr>
              <w:t>单位名称：中华人民共和国鄂尔多斯海关</w:t>
            </w:r>
          </w:p>
        </w:tc>
        <w:tc>
          <w:tcPr>
            <w:tcW w:w="1173" w:type="dxa"/>
            <w:tcBorders>
              <w:top w:val="nil"/>
              <w:left w:val="nil"/>
              <w:bottom w:val="single" w:sz="4" w:space="0" w:color="auto"/>
              <w:right w:val="nil"/>
            </w:tcBorders>
            <w:shd w:val="clear" w:color="auto" w:fill="auto"/>
            <w:noWrap/>
            <w:vAlign w:val="center"/>
          </w:tcPr>
          <w:p>
            <w:pPr>
              <w:widowControl/>
              <w:autoSpaceDN w:val="0"/>
              <w:jc w:val="left"/>
              <w:rPr>
                <w:rFonts w:ascii="Times New Roman" w:cs="宋体" w:hAnsi="Times New Roman"/>
                <w:color w:val="000000"/>
                <w:kern w:val="0"/>
                <w:sz w:val="22"/>
                <w:lang w:bidi="ar-SA"/>
              </w:rPr>
            </w:pPr>
            <w:r>
              <w:rPr>
                <w:rFonts w:ascii="Times New Roman" w:cs="宋体" w:hAnsi="Times New Roman" w:hint="eastAsia"/>
                <w:color w:val="000000"/>
                <w:kern w:val="0"/>
                <w:sz w:val="22"/>
                <w:lang w:bidi="ar-SA"/>
              </w:rPr>
              <w:t>　</w:t>
            </w:r>
          </w:p>
        </w:tc>
        <w:tc>
          <w:tcPr>
            <w:tcW w:w="3402" w:type="dxa"/>
            <w:gridSpan w:val="3"/>
            <w:tcBorders>
              <w:top w:val="nil"/>
              <w:left w:val="nil"/>
              <w:bottom w:val="single" w:sz="4" w:space="0" w:color="auto"/>
              <w:right w:val="nil"/>
            </w:tcBorders>
            <w:shd w:val="clear" w:color="auto" w:fill="auto"/>
            <w:noWrap/>
            <w:vAlign w:val="center"/>
          </w:tcPr>
          <w:p>
            <w:pPr>
              <w:widowControl/>
              <w:autoSpaceDN w:val="0"/>
              <w:jc w:val="right"/>
              <w:rPr>
                <w:rFonts w:ascii="Times New Roman" w:cs="宋体" w:hAnsi="Times New Roman"/>
                <w:color w:val="000000"/>
                <w:kern w:val="0"/>
                <w:sz w:val="18"/>
                <w:szCs w:val="18"/>
                <w:lang w:bidi="ar-SA"/>
              </w:rPr>
            </w:pPr>
            <w:r>
              <w:rPr>
                <w:rFonts w:ascii="Times New Roman" w:cs="宋体" w:hAnsi="Times New Roman" w:hint="eastAsia"/>
                <w:color w:val="000000"/>
                <w:kern w:val="0"/>
                <w:sz w:val="22"/>
                <w:lang w:bidi="ar-SA"/>
              </w:rPr>
              <w:t>　</w:t>
            </w:r>
            <w:r>
              <w:rPr>
                <w:rFonts w:ascii="Times New Roman" w:cs="宋体" w:hAnsi="Times New Roman"/>
                <w:color w:val="000000"/>
                <w:kern w:val="0"/>
                <w:sz w:val="18"/>
                <w:szCs w:val="18"/>
                <w:lang w:bidi="ar-SA"/>
              </w:rPr>
              <w:t xml:space="preserve"> </w:t>
            </w:r>
            <w:r>
              <w:rPr>
                <w:rFonts w:ascii="Times New Roman" w:cs="宋体" w:hAnsi="Times New Roman" w:hint="eastAsia"/>
                <w:color w:val="000000"/>
                <w:kern w:val="0"/>
                <w:sz w:val="18"/>
                <w:szCs w:val="18"/>
                <w:lang w:bidi="ar-SA"/>
              </w:rPr>
              <w:t>单位：万元</w:t>
            </w:r>
            <w:r>
              <w:rPr>
                <w:rFonts w:ascii="Times New Roman" w:cs="宋体" w:hAnsi="Times New Roman"/>
                <w:color w:val="000000"/>
                <w:kern w:val="0"/>
                <w:sz w:val="18"/>
                <w:szCs w:val="18"/>
                <w:lang w:bidi="ar-SA"/>
              </w:rPr>
              <w:t xml:space="preserve"> </w:t>
            </w:r>
          </w:p>
        </w:tc>
      </w:tr>
      <w:tr>
        <w:trPr>
          <w:trHeight w:val="540"/>
        </w:trPr>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center"/>
              <w:rPr>
                <w:rFonts w:ascii="Times New Roman" w:cs="宋体" w:hAnsi="Times New Roman"/>
                <w:color w:val="000000"/>
                <w:kern w:val="0"/>
                <w:sz w:val="20"/>
                <w:szCs w:val="20"/>
                <w:lang w:bidi="ar-SA"/>
              </w:rPr>
            </w:pPr>
            <w:r>
              <w:rPr>
                <w:rFonts w:ascii="Times New Roman" w:cs="宋体" w:hAnsi="Times New Roman"/>
                <w:color w:val="000000"/>
                <w:kern w:val="0"/>
                <w:sz w:val="20"/>
                <w:szCs w:val="20"/>
                <w:lang w:bidi="ar-SA"/>
              </w:rPr>
              <w:t xml:space="preserve"> </w:t>
            </w:r>
            <w:r>
              <w:rPr>
                <w:rFonts w:ascii="Times New Roman" w:cs="宋体" w:hAnsi="Times New Roman" w:hint="eastAsia"/>
                <w:color w:val="000000"/>
                <w:kern w:val="0"/>
                <w:sz w:val="20"/>
                <w:szCs w:val="20"/>
                <w:lang w:bidi="ar-SA"/>
              </w:rPr>
              <w:t>科目代码</w:t>
            </w:r>
            <w:r>
              <w:rPr>
                <w:rFonts w:ascii="Times New Roman" w:cs="宋体" w:hAnsi="Times New Roman"/>
                <w:color w:val="000000"/>
                <w:kern w:val="0"/>
                <w:sz w:val="20"/>
                <w:szCs w:val="20"/>
                <w:lang w:bidi="ar-SA"/>
              </w:rPr>
              <w:t xml:space="preserve"> </w:t>
            </w:r>
          </w:p>
        </w:tc>
        <w:tc>
          <w:tcPr>
            <w:tcW w:w="2126" w:type="dxa"/>
            <w:tcBorders>
              <w:top w:val="single" w:sz="4" w:space="0" w:color="auto"/>
              <w:left w:val="nil"/>
              <w:bottom w:val="single" w:sz="4" w:space="0" w:color="auto"/>
              <w:right w:val="single" w:sz="4" w:space="0" w:color="auto"/>
            </w:tcBorders>
            <w:shd w:val="clear" w:color="auto" w:fill="auto"/>
            <w:vAlign w:val="center"/>
          </w:tcPr>
          <w:p>
            <w:pPr>
              <w:widowControl/>
              <w:autoSpaceDN w:val="0"/>
              <w:jc w:val="center"/>
              <w:rPr>
                <w:rFonts w:ascii="Times New Roman" w:cs="宋体" w:hAnsi="Times New Roman"/>
                <w:color w:val="000000"/>
                <w:kern w:val="0"/>
                <w:sz w:val="20"/>
                <w:szCs w:val="20"/>
                <w:lang w:bidi="ar-SA"/>
              </w:rPr>
            </w:pPr>
            <w:r>
              <w:rPr>
                <w:rFonts w:ascii="Times New Roman" w:cs="宋体" w:hAnsi="Times New Roman"/>
                <w:color w:val="000000"/>
                <w:kern w:val="0"/>
                <w:sz w:val="20"/>
                <w:szCs w:val="20"/>
                <w:lang w:bidi="ar-SA"/>
              </w:rPr>
              <w:t xml:space="preserve"> </w:t>
            </w:r>
            <w:r>
              <w:rPr>
                <w:rFonts w:ascii="Times New Roman" w:cs="宋体" w:hAnsi="Times New Roman" w:hint="eastAsia"/>
                <w:color w:val="000000"/>
                <w:kern w:val="0"/>
                <w:sz w:val="20"/>
                <w:szCs w:val="20"/>
                <w:lang w:bidi="ar-SA"/>
              </w:rPr>
              <w:t>科目名称</w:t>
            </w:r>
            <w:r>
              <w:rPr>
                <w:rFonts w:ascii="Times New Roman" w:cs="宋体" w:hAnsi="Times New Roman"/>
                <w:color w:val="000000"/>
                <w:kern w:val="0"/>
                <w:sz w:val="20"/>
                <w:szCs w:val="20"/>
                <w:lang w:bidi="ar-SA"/>
              </w:rPr>
              <w:t xml:space="preserve"> </w:t>
            </w:r>
          </w:p>
        </w:tc>
        <w:tc>
          <w:tcPr>
            <w:tcW w:w="1332" w:type="dxa"/>
            <w:tcBorders>
              <w:top w:val="single" w:sz="4" w:space="0" w:color="auto"/>
              <w:left w:val="nil"/>
              <w:bottom w:val="single" w:sz="4" w:space="0" w:color="auto"/>
              <w:right w:val="single" w:sz="4" w:space="0" w:color="auto"/>
            </w:tcBorders>
            <w:shd w:val="clear" w:color="auto" w:fill="auto"/>
            <w:vAlign w:val="center"/>
          </w:tcPr>
          <w:p>
            <w:pPr>
              <w:widowControl/>
              <w:autoSpaceDN w:val="0"/>
              <w:jc w:val="center"/>
              <w:rPr>
                <w:rFonts w:ascii="Times New Roman" w:cs="宋体" w:hAnsi="Times New Roman"/>
                <w:color w:val="000000"/>
                <w:kern w:val="0"/>
                <w:sz w:val="20"/>
                <w:szCs w:val="20"/>
                <w:lang w:bidi="ar-SA"/>
              </w:rPr>
            </w:pPr>
            <w:r>
              <w:rPr>
                <w:rFonts w:ascii="Times New Roman" w:cs="宋体" w:hAnsi="Times New Roman"/>
                <w:color w:val="000000"/>
                <w:kern w:val="0"/>
                <w:sz w:val="20"/>
                <w:szCs w:val="20"/>
                <w:lang w:bidi="ar-SA"/>
              </w:rPr>
              <w:t xml:space="preserve"> </w:t>
            </w:r>
            <w:r>
              <w:rPr>
                <w:rFonts w:ascii="Times New Roman" w:cs="宋体" w:hAnsi="Times New Roman" w:hint="eastAsia"/>
                <w:color w:val="000000"/>
                <w:kern w:val="0"/>
                <w:sz w:val="20"/>
                <w:szCs w:val="20"/>
                <w:lang w:bidi="ar-SA"/>
              </w:rPr>
              <w:t>合计</w:t>
            </w:r>
            <w:r>
              <w:rPr>
                <w:rFonts w:ascii="Times New Roman" w:cs="宋体" w:hAnsi="Times New Roman"/>
                <w:color w:val="000000"/>
                <w:kern w:val="0"/>
                <w:sz w:val="20"/>
                <w:szCs w:val="20"/>
                <w:lang w:bidi="ar-SA"/>
              </w:rPr>
              <w:t xml:space="preserve"> </w:t>
            </w:r>
          </w:p>
        </w:tc>
        <w:tc>
          <w:tcPr>
            <w:tcW w:w="1332" w:type="dxa"/>
            <w:tcBorders>
              <w:top w:val="single" w:sz="4" w:space="0" w:color="auto"/>
              <w:left w:val="nil"/>
              <w:bottom w:val="single" w:sz="4" w:space="0" w:color="auto"/>
              <w:right w:val="single" w:sz="4" w:space="0" w:color="auto"/>
            </w:tcBorders>
            <w:shd w:val="clear" w:color="auto" w:fill="auto"/>
            <w:vAlign w:val="center"/>
          </w:tcPr>
          <w:p>
            <w:pPr>
              <w:widowControl/>
              <w:autoSpaceDN w:val="0"/>
              <w:jc w:val="center"/>
              <w:rPr>
                <w:rFonts w:ascii="Times New Roman" w:cs="宋体" w:hAnsi="Times New Roman"/>
                <w:color w:val="000000"/>
                <w:kern w:val="0"/>
                <w:sz w:val="20"/>
                <w:szCs w:val="20"/>
                <w:lang w:bidi="ar-SA"/>
              </w:rPr>
            </w:pPr>
            <w:r>
              <w:rPr>
                <w:rFonts w:ascii="Times New Roman" w:cs="宋体" w:hAnsi="Times New Roman"/>
                <w:color w:val="000000"/>
                <w:kern w:val="0"/>
                <w:sz w:val="20"/>
                <w:szCs w:val="20"/>
                <w:lang w:bidi="ar-SA"/>
              </w:rPr>
              <w:t xml:space="preserve"> </w:t>
            </w:r>
            <w:r>
              <w:rPr>
                <w:rFonts w:ascii="Times New Roman" w:cs="宋体" w:hAnsi="Times New Roman" w:hint="eastAsia"/>
                <w:color w:val="000000"/>
                <w:kern w:val="0"/>
                <w:sz w:val="20"/>
                <w:szCs w:val="20"/>
                <w:lang w:bidi="ar-SA"/>
              </w:rPr>
              <w:t>基本支出</w:t>
            </w:r>
            <w:r>
              <w:rPr>
                <w:rFonts w:ascii="Times New Roman" w:cs="宋体" w:hAnsi="Times New Roman"/>
                <w:color w:val="000000"/>
                <w:kern w:val="0"/>
                <w:sz w:val="20"/>
                <w:szCs w:val="20"/>
                <w:lang w:bidi="ar-SA"/>
              </w:rPr>
              <w:t xml:space="preserve"> </w:t>
            </w:r>
          </w:p>
        </w:tc>
        <w:tc>
          <w:tcPr>
            <w:tcW w:w="1173"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Times New Roman" w:cs="宋体" w:hAnsi="Times New Roman"/>
                <w:color w:val="000000"/>
                <w:kern w:val="0"/>
                <w:sz w:val="20"/>
                <w:szCs w:val="20"/>
                <w:lang w:bidi="ar-SA"/>
              </w:rPr>
            </w:pPr>
            <w:r>
              <w:rPr>
                <w:rFonts w:ascii="Times New Roman" w:cs="宋体" w:hAnsi="Times New Roman"/>
                <w:color w:val="000000"/>
                <w:kern w:val="0"/>
                <w:sz w:val="20"/>
                <w:szCs w:val="20"/>
                <w:lang w:bidi="ar-SA"/>
              </w:rPr>
              <w:t xml:space="preserve"> </w:t>
            </w:r>
            <w:r>
              <w:rPr>
                <w:rFonts w:ascii="Times New Roman" w:cs="宋体" w:hAnsi="Times New Roman" w:hint="eastAsia"/>
                <w:color w:val="000000"/>
                <w:kern w:val="0"/>
                <w:sz w:val="20"/>
                <w:szCs w:val="20"/>
                <w:lang w:bidi="ar-SA"/>
              </w:rPr>
              <w:t>项目支出</w:t>
            </w:r>
            <w:r>
              <w:rPr>
                <w:rFonts w:ascii="Times New Roman" w:cs="宋体" w:hAnsi="Times New Roman"/>
                <w:color w:val="000000"/>
                <w:kern w:val="0"/>
                <w:sz w:val="20"/>
                <w:szCs w:val="20"/>
                <w:lang w:bidi="ar-SA"/>
              </w:rPr>
              <w:t xml:space="preserve"> </w:t>
            </w:r>
          </w:p>
        </w:tc>
        <w:tc>
          <w:tcPr>
            <w:tcW w:w="993"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Times New Roman" w:cs="宋体" w:hAnsi="Times New Roman"/>
                <w:color w:val="000000"/>
                <w:kern w:val="0"/>
                <w:sz w:val="20"/>
                <w:szCs w:val="20"/>
                <w:lang w:bidi="ar-SA"/>
              </w:rPr>
            </w:pPr>
            <w:r>
              <w:rPr>
                <w:rFonts w:ascii="Times New Roman" w:cs="宋体" w:hAnsi="Times New Roman"/>
                <w:color w:val="000000"/>
                <w:kern w:val="0"/>
                <w:sz w:val="20"/>
                <w:szCs w:val="20"/>
                <w:lang w:bidi="ar-SA"/>
              </w:rPr>
              <w:t xml:space="preserve"> </w:t>
            </w:r>
            <w:r>
              <w:rPr>
                <w:rFonts w:ascii="Times New Roman" w:cs="宋体" w:hAnsi="Times New Roman" w:hint="eastAsia"/>
                <w:color w:val="000000"/>
                <w:kern w:val="0"/>
                <w:sz w:val="20"/>
                <w:szCs w:val="20"/>
                <w:lang w:bidi="ar-SA"/>
              </w:rPr>
              <w:t>上缴上级支出</w:t>
            </w:r>
            <w:r>
              <w:rPr>
                <w:rFonts w:ascii="Times New Roman" w:cs="宋体" w:hAnsi="Times New Roman"/>
                <w:color w:val="000000"/>
                <w:kern w:val="0"/>
                <w:sz w:val="20"/>
                <w:szCs w:val="20"/>
                <w:lang w:bidi="ar-SA"/>
              </w:rPr>
              <w:t xml:space="preserve"> </w:t>
            </w:r>
          </w:p>
        </w:tc>
        <w:tc>
          <w:tcPr>
            <w:tcW w:w="113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Times New Roman" w:cs="宋体" w:hAnsi="Times New Roman"/>
                <w:color w:val="000000"/>
                <w:kern w:val="0"/>
                <w:sz w:val="20"/>
                <w:szCs w:val="20"/>
                <w:lang w:bidi="ar-SA"/>
              </w:rPr>
            </w:pPr>
            <w:r>
              <w:rPr>
                <w:rFonts w:ascii="Times New Roman" w:cs="宋体" w:hAnsi="Times New Roman"/>
                <w:color w:val="000000"/>
                <w:kern w:val="0"/>
                <w:sz w:val="20"/>
                <w:szCs w:val="20"/>
                <w:lang w:bidi="ar-SA"/>
              </w:rPr>
              <w:t xml:space="preserve"> </w:t>
            </w:r>
            <w:r>
              <w:rPr>
                <w:rFonts w:ascii="Times New Roman" w:cs="宋体" w:hAnsi="Times New Roman" w:hint="eastAsia"/>
                <w:color w:val="000000"/>
                <w:kern w:val="0"/>
                <w:sz w:val="20"/>
                <w:szCs w:val="20"/>
                <w:lang w:bidi="ar-SA"/>
              </w:rPr>
              <w:t>事业单位经营支出</w:t>
            </w:r>
            <w:r>
              <w:rPr>
                <w:rFonts w:ascii="Times New Roman" w:cs="宋体" w:hAnsi="Times New Roman"/>
                <w:color w:val="000000"/>
                <w:kern w:val="0"/>
                <w:sz w:val="20"/>
                <w:szCs w:val="20"/>
                <w:lang w:bidi="ar-SA"/>
              </w:rPr>
              <w:t xml:space="preserve"> </w:t>
            </w:r>
          </w:p>
        </w:tc>
        <w:tc>
          <w:tcPr>
            <w:tcW w:w="1275" w:type="dxa"/>
            <w:tcBorders>
              <w:top w:val="single" w:sz="4" w:space="0" w:color="auto"/>
              <w:left w:val="nil"/>
              <w:bottom w:val="single" w:sz="4" w:space="0" w:color="auto"/>
              <w:right w:val="single" w:sz="4" w:space="0" w:color="auto"/>
            </w:tcBorders>
            <w:shd w:val="clear" w:color="auto" w:fill="auto"/>
            <w:vAlign w:val="center"/>
          </w:tcPr>
          <w:p>
            <w:pPr>
              <w:widowControl/>
              <w:autoSpaceDN w:val="0"/>
              <w:jc w:val="center"/>
              <w:rPr>
                <w:rFonts w:ascii="Times New Roman" w:cs="宋体" w:hAnsi="Times New Roman"/>
                <w:color w:val="000000"/>
                <w:kern w:val="0"/>
                <w:sz w:val="20"/>
                <w:szCs w:val="20"/>
                <w:lang w:bidi="ar-SA"/>
              </w:rPr>
            </w:pPr>
            <w:r>
              <w:rPr>
                <w:rFonts w:ascii="Times New Roman" w:cs="宋体" w:hAnsi="Times New Roman"/>
                <w:color w:val="000000"/>
                <w:kern w:val="0"/>
                <w:sz w:val="20"/>
                <w:szCs w:val="20"/>
                <w:lang w:bidi="ar-SA"/>
              </w:rPr>
              <w:t xml:space="preserve"> </w:t>
            </w:r>
            <w:r>
              <w:rPr>
                <w:rFonts w:ascii="Times New Roman" w:cs="宋体" w:hAnsi="Times New Roman" w:hint="eastAsia"/>
                <w:color w:val="000000"/>
                <w:kern w:val="0"/>
                <w:sz w:val="20"/>
                <w:szCs w:val="20"/>
                <w:lang w:bidi="ar-SA"/>
              </w:rPr>
              <w:t>对附属单位补助支出</w:t>
            </w:r>
            <w:r>
              <w:rPr>
                <w:rFonts w:ascii="Times New Roman" w:cs="宋体" w:hAnsi="Times New Roman"/>
                <w:color w:val="000000"/>
                <w:kern w:val="0"/>
                <w:sz w:val="20"/>
                <w:szCs w:val="20"/>
                <w:lang w:bidi="ar-SA"/>
              </w:rPr>
              <w:t xml:space="preserve"> </w:t>
            </w: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b/>
                <w:bCs/>
                <w:color w:val="000000"/>
                <w:kern w:val="0"/>
                <w:sz w:val="20"/>
                <w:szCs w:val="20"/>
                <w:lang w:bidi="ar-SA"/>
              </w:rPr>
            </w:pPr>
            <w:r>
              <w:rPr>
                <w:rFonts w:ascii="Times New Roman" w:cs="宋体" w:hAnsi="Times New Roman"/>
                <w:b/>
                <w:bCs/>
                <w:color w:val="000000"/>
                <w:kern w:val="0"/>
                <w:sz w:val="20"/>
                <w:szCs w:val="20"/>
                <w:lang w:bidi="ar-SA"/>
              </w:rPr>
              <w:t>201</w:t>
            </w:r>
          </w:p>
        </w:tc>
        <w:tc>
          <w:tcPr>
            <w:tcW w:w="2126" w:type="dxa"/>
            <w:tcBorders>
              <w:top w:val="nil"/>
              <w:left w:val="nil"/>
              <w:bottom w:val="single" w:sz="4" w:space="0" w:color="auto"/>
              <w:right w:val="single" w:sz="4" w:space="0" w:color="auto"/>
            </w:tcBorders>
            <w:shd w:val="clear" w:color="auto" w:fill="auto"/>
            <w:vAlign w:val="center"/>
          </w:tcPr>
          <w:p>
            <w:pPr>
              <w:widowControl/>
              <w:autoSpaceDN w:val="0"/>
              <w:jc w:val="left"/>
              <w:rPr>
                <w:rFonts w:ascii="Times New Roman" w:cs="宋体" w:hAnsi="Times New Roman"/>
                <w:b/>
                <w:bCs/>
                <w:color w:val="000000"/>
                <w:kern w:val="0"/>
                <w:sz w:val="20"/>
                <w:szCs w:val="20"/>
                <w:lang w:bidi="ar-SA"/>
              </w:rPr>
            </w:pPr>
            <w:r>
              <w:rPr>
                <w:rFonts w:ascii="Times New Roman" w:cs="宋体" w:hAnsi="Times New Roman" w:hint="eastAsia"/>
                <w:b/>
                <w:bCs/>
                <w:color w:val="000000"/>
                <w:kern w:val="0"/>
                <w:sz w:val="20"/>
                <w:szCs w:val="20"/>
                <w:lang w:bidi="ar-SA"/>
              </w:rPr>
              <w:t>一般公共服务支出</w:t>
            </w:r>
          </w:p>
        </w:tc>
        <w:tc>
          <w:tcPr>
            <w:tcW w:w="133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20"/>
                <w:szCs w:val="20"/>
                <w:lang w:bidi="ar-SA"/>
              </w:rPr>
            </w:pPr>
            <w:r>
              <w:rPr>
                <w:rFonts w:ascii="Times New Roman" w:cs="Times New Roman" w:hAnsi="Times New Roman" w:hint="eastAsia"/>
                <w:b/>
                <w:bCs/>
                <w:color w:val="000000"/>
                <w:kern w:val="0"/>
                <w:sz w:val="20"/>
                <w:szCs w:val="20"/>
                <w:lang w:bidi="ar-SA"/>
              </w:rPr>
              <w:t>823.75</w:t>
            </w:r>
          </w:p>
        </w:tc>
        <w:tc>
          <w:tcPr>
            <w:tcW w:w="133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20"/>
                <w:szCs w:val="20"/>
                <w:lang w:bidi="ar-SA"/>
              </w:rPr>
            </w:pPr>
            <w:r>
              <w:rPr>
                <w:rFonts w:ascii="Times New Roman" w:cs="Times New Roman" w:hAnsi="Times New Roman" w:hint="eastAsia"/>
                <w:b/>
                <w:bCs/>
                <w:color w:val="000000"/>
                <w:kern w:val="0"/>
                <w:sz w:val="20"/>
                <w:szCs w:val="20"/>
                <w:lang w:bidi="ar-SA"/>
              </w:rPr>
              <w:t>561.17</w:t>
            </w:r>
          </w:p>
        </w:tc>
        <w:tc>
          <w:tcPr>
            <w:tcW w:w="1173"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20"/>
                <w:szCs w:val="20"/>
                <w:lang w:bidi="ar-SA"/>
              </w:rPr>
            </w:pPr>
            <w:r>
              <w:rPr>
                <w:rFonts w:ascii="Times New Roman" w:cs="Times New Roman" w:hAnsi="Times New Roman" w:hint="eastAsia"/>
                <w:b/>
                <w:bCs/>
                <w:color w:val="000000"/>
                <w:kern w:val="0"/>
                <w:sz w:val="20"/>
                <w:szCs w:val="20"/>
                <w:lang w:bidi="ar-SA"/>
              </w:rPr>
              <w:t>262.58</w:t>
            </w:r>
          </w:p>
        </w:tc>
        <w:tc>
          <w:tcPr>
            <w:tcW w:w="993"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b/>
                <w:bCs/>
                <w:color w:val="000000"/>
                <w:kern w:val="0"/>
                <w:sz w:val="20"/>
                <w:szCs w:val="20"/>
                <w:lang w:bidi="ar-SA"/>
              </w:rPr>
            </w:pPr>
          </w:p>
        </w:tc>
        <w:tc>
          <w:tcPr>
            <w:tcW w:w="1134"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b/>
                <w:bCs/>
                <w:color w:val="000000"/>
                <w:kern w:val="0"/>
                <w:sz w:val="20"/>
                <w:szCs w:val="20"/>
                <w:lang w:bidi="ar-SA"/>
              </w:rPr>
            </w:pPr>
          </w:p>
        </w:tc>
        <w:tc>
          <w:tcPr>
            <w:tcW w:w="1275"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b/>
                <w:bCs/>
                <w:color w:val="000000"/>
                <w:kern w:val="0"/>
                <w:sz w:val="20"/>
                <w:szCs w:val="20"/>
                <w:lang w:bidi="ar-SA"/>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b/>
                <w:bCs/>
                <w:color w:val="000000"/>
                <w:kern w:val="0"/>
                <w:sz w:val="20"/>
                <w:szCs w:val="20"/>
                <w:lang w:bidi="ar-SA"/>
              </w:rPr>
            </w:pPr>
            <w:r>
              <w:rPr>
                <w:rFonts w:ascii="Times New Roman" w:cs="宋体" w:hAnsi="Times New Roman"/>
                <w:b/>
                <w:bCs/>
                <w:color w:val="000000"/>
                <w:kern w:val="0"/>
                <w:sz w:val="20"/>
                <w:szCs w:val="20"/>
                <w:lang w:bidi="ar-SA"/>
              </w:rPr>
              <w:t>20109</w:t>
            </w:r>
          </w:p>
        </w:tc>
        <w:tc>
          <w:tcPr>
            <w:tcW w:w="2126" w:type="dxa"/>
            <w:tcBorders>
              <w:top w:val="nil"/>
              <w:left w:val="nil"/>
              <w:bottom w:val="single" w:sz="4" w:space="0" w:color="auto"/>
              <w:right w:val="single" w:sz="4" w:space="0" w:color="auto"/>
            </w:tcBorders>
            <w:shd w:val="clear" w:color="auto" w:fill="auto"/>
            <w:vAlign w:val="center"/>
          </w:tcPr>
          <w:p>
            <w:pPr>
              <w:widowControl/>
              <w:autoSpaceDN w:val="0"/>
              <w:jc w:val="left"/>
              <w:rPr>
                <w:rFonts w:ascii="Times New Roman" w:cs="宋体" w:hAnsi="Times New Roman"/>
                <w:b/>
                <w:bCs/>
                <w:color w:val="000000"/>
                <w:kern w:val="0"/>
                <w:sz w:val="20"/>
                <w:szCs w:val="20"/>
                <w:lang w:bidi="ar-SA"/>
              </w:rPr>
            </w:pPr>
            <w:r>
              <w:rPr>
                <w:rFonts w:ascii="Times New Roman" w:cs="宋体" w:hAnsi="Times New Roman" w:hint="eastAsia"/>
                <w:b/>
                <w:bCs/>
                <w:color w:val="000000"/>
                <w:kern w:val="0"/>
                <w:sz w:val="20"/>
                <w:szCs w:val="20"/>
                <w:lang w:bidi="ar-SA"/>
              </w:rPr>
              <w:t>海关事务</w:t>
            </w:r>
          </w:p>
        </w:tc>
        <w:tc>
          <w:tcPr>
            <w:tcW w:w="133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20"/>
                <w:szCs w:val="20"/>
                <w:lang w:bidi="ar-SA"/>
              </w:rPr>
            </w:pPr>
            <w:r>
              <w:rPr>
                <w:rFonts w:ascii="Times New Roman" w:cs="Times New Roman" w:hAnsi="Times New Roman" w:hint="eastAsia"/>
                <w:b/>
                <w:bCs/>
                <w:color w:val="000000"/>
                <w:kern w:val="0"/>
                <w:sz w:val="20"/>
                <w:szCs w:val="20"/>
                <w:lang w:bidi="ar-SA"/>
              </w:rPr>
              <w:t>823.75</w:t>
            </w:r>
          </w:p>
        </w:tc>
        <w:tc>
          <w:tcPr>
            <w:tcW w:w="133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20"/>
                <w:szCs w:val="20"/>
                <w:lang w:bidi="ar-SA"/>
              </w:rPr>
            </w:pPr>
            <w:r>
              <w:rPr>
                <w:rFonts w:ascii="Times New Roman" w:cs="Times New Roman" w:hAnsi="Times New Roman" w:hint="eastAsia"/>
                <w:b/>
                <w:bCs/>
                <w:color w:val="000000"/>
                <w:kern w:val="0"/>
                <w:sz w:val="20"/>
                <w:szCs w:val="20"/>
                <w:lang w:bidi="ar-SA"/>
              </w:rPr>
              <w:t>561.17</w:t>
            </w:r>
          </w:p>
        </w:tc>
        <w:tc>
          <w:tcPr>
            <w:tcW w:w="1173"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20"/>
                <w:szCs w:val="20"/>
                <w:lang w:bidi="ar-SA"/>
              </w:rPr>
            </w:pPr>
            <w:r>
              <w:rPr>
                <w:rFonts w:ascii="Times New Roman" w:cs="Times New Roman" w:hAnsi="Times New Roman" w:hint="eastAsia"/>
                <w:b/>
                <w:bCs/>
                <w:color w:val="000000"/>
                <w:kern w:val="0"/>
                <w:sz w:val="20"/>
                <w:szCs w:val="20"/>
                <w:lang w:bidi="ar-SA"/>
              </w:rPr>
              <w:t>262.58</w:t>
            </w:r>
          </w:p>
        </w:tc>
        <w:tc>
          <w:tcPr>
            <w:tcW w:w="993"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b/>
                <w:bCs/>
                <w:color w:val="000000"/>
                <w:kern w:val="0"/>
                <w:sz w:val="20"/>
                <w:szCs w:val="20"/>
                <w:lang w:bidi="ar-SA"/>
              </w:rPr>
            </w:pPr>
          </w:p>
        </w:tc>
        <w:tc>
          <w:tcPr>
            <w:tcW w:w="1134"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b/>
                <w:bCs/>
                <w:color w:val="000000"/>
                <w:kern w:val="0"/>
                <w:sz w:val="20"/>
                <w:szCs w:val="20"/>
                <w:lang w:bidi="ar-SA"/>
              </w:rPr>
            </w:pPr>
          </w:p>
        </w:tc>
        <w:tc>
          <w:tcPr>
            <w:tcW w:w="1275"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b/>
                <w:bCs/>
                <w:color w:val="000000"/>
                <w:kern w:val="0"/>
                <w:sz w:val="20"/>
                <w:szCs w:val="20"/>
                <w:lang w:bidi="ar-SA"/>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20"/>
                <w:szCs w:val="20"/>
                <w:lang w:bidi="ar-SA"/>
              </w:rPr>
            </w:pPr>
            <w:r>
              <w:rPr>
                <w:rFonts w:ascii="Times New Roman" w:cs="宋体" w:hAnsi="Times New Roman"/>
                <w:color w:val="000000"/>
                <w:kern w:val="0"/>
                <w:sz w:val="20"/>
                <w:szCs w:val="20"/>
                <w:lang w:bidi="ar-SA"/>
              </w:rPr>
              <w:t>2010901</w:t>
            </w:r>
          </w:p>
        </w:tc>
        <w:tc>
          <w:tcPr>
            <w:tcW w:w="2126" w:type="dxa"/>
            <w:tcBorders>
              <w:top w:val="nil"/>
              <w:left w:val="nil"/>
              <w:bottom w:val="single" w:sz="4" w:space="0" w:color="auto"/>
              <w:right w:val="single" w:sz="4" w:space="0" w:color="auto"/>
            </w:tcBorders>
            <w:shd w:val="clear" w:color="auto" w:fill="auto"/>
            <w:vAlign w:val="center"/>
          </w:tcPr>
          <w:p>
            <w:pPr>
              <w:widowControl/>
              <w:autoSpaceDN w:val="0"/>
              <w:jc w:val="left"/>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行政运行</w:t>
            </w:r>
          </w:p>
        </w:tc>
        <w:tc>
          <w:tcPr>
            <w:tcW w:w="133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r>
              <w:rPr>
                <w:rFonts w:ascii="Times New Roman" w:cs="Times New Roman" w:hAnsi="Times New Roman" w:hint="eastAsia"/>
                <w:color w:val="000000"/>
                <w:kern w:val="0"/>
                <w:sz w:val="20"/>
                <w:szCs w:val="20"/>
                <w:lang w:bidi="ar-SA"/>
              </w:rPr>
              <w:t>561.17</w:t>
            </w:r>
          </w:p>
        </w:tc>
        <w:tc>
          <w:tcPr>
            <w:tcW w:w="133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r>
              <w:rPr>
                <w:rFonts w:ascii="Times New Roman" w:cs="Times New Roman" w:hAnsi="Times New Roman" w:hint="eastAsia"/>
                <w:color w:val="000000"/>
                <w:kern w:val="0"/>
                <w:sz w:val="20"/>
                <w:szCs w:val="20"/>
                <w:lang w:bidi="ar-SA"/>
              </w:rPr>
              <w:t>561.17</w:t>
            </w:r>
          </w:p>
        </w:tc>
        <w:tc>
          <w:tcPr>
            <w:tcW w:w="1173"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p>
        </w:tc>
        <w:tc>
          <w:tcPr>
            <w:tcW w:w="993"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color w:val="000000"/>
                <w:kern w:val="0"/>
                <w:sz w:val="20"/>
                <w:szCs w:val="20"/>
                <w:lang w:bidi="ar-SA"/>
              </w:rPr>
            </w:pPr>
          </w:p>
        </w:tc>
        <w:tc>
          <w:tcPr>
            <w:tcW w:w="1134"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color w:val="000000"/>
                <w:kern w:val="0"/>
                <w:sz w:val="20"/>
                <w:szCs w:val="20"/>
                <w:lang w:bidi="ar-SA"/>
              </w:rPr>
            </w:pPr>
          </w:p>
        </w:tc>
        <w:tc>
          <w:tcPr>
            <w:tcW w:w="1275"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color w:val="000000"/>
                <w:kern w:val="0"/>
                <w:sz w:val="20"/>
                <w:szCs w:val="20"/>
                <w:lang w:bidi="ar-SA"/>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20"/>
                <w:szCs w:val="20"/>
                <w:lang w:bidi="ar-SA"/>
              </w:rPr>
            </w:pPr>
            <w:r>
              <w:rPr>
                <w:rFonts w:ascii="Times New Roman" w:cs="宋体" w:hAnsi="Times New Roman"/>
                <w:color w:val="000000"/>
                <w:kern w:val="0"/>
                <w:sz w:val="20"/>
                <w:szCs w:val="20"/>
                <w:lang w:bidi="ar-SA"/>
              </w:rPr>
              <w:t>2010902</w:t>
            </w:r>
          </w:p>
        </w:tc>
        <w:tc>
          <w:tcPr>
            <w:tcW w:w="2126" w:type="dxa"/>
            <w:tcBorders>
              <w:top w:val="nil"/>
              <w:left w:val="nil"/>
              <w:bottom w:val="single" w:sz="4" w:space="0" w:color="auto"/>
              <w:right w:val="single" w:sz="4" w:space="0" w:color="auto"/>
            </w:tcBorders>
            <w:shd w:val="clear" w:color="auto" w:fill="auto"/>
            <w:vAlign w:val="center"/>
          </w:tcPr>
          <w:p>
            <w:pPr>
              <w:widowControl/>
              <w:autoSpaceDN w:val="0"/>
              <w:jc w:val="left"/>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一般行政管理事务</w:t>
            </w:r>
          </w:p>
        </w:tc>
        <w:tc>
          <w:tcPr>
            <w:tcW w:w="133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r>
              <w:rPr>
                <w:rFonts w:ascii="Times New Roman" w:cs="Times New Roman" w:hAnsi="Times New Roman" w:hint="eastAsia"/>
                <w:color w:val="000000"/>
                <w:kern w:val="0"/>
                <w:sz w:val="20"/>
                <w:szCs w:val="20"/>
                <w:lang w:bidi="ar-SA"/>
              </w:rPr>
              <w:t>142.22</w:t>
            </w:r>
          </w:p>
        </w:tc>
        <w:tc>
          <w:tcPr>
            <w:tcW w:w="133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p>
        </w:tc>
        <w:tc>
          <w:tcPr>
            <w:tcW w:w="1173"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r>
              <w:rPr>
                <w:rFonts w:ascii="Times New Roman" w:cs="Times New Roman" w:hAnsi="Times New Roman" w:hint="eastAsia"/>
                <w:color w:val="000000"/>
                <w:kern w:val="0"/>
                <w:sz w:val="20"/>
                <w:szCs w:val="20"/>
                <w:lang w:bidi="ar-SA"/>
              </w:rPr>
              <w:t>142.22</w:t>
            </w:r>
          </w:p>
        </w:tc>
        <w:tc>
          <w:tcPr>
            <w:tcW w:w="993"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color w:val="000000"/>
                <w:kern w:val="0"/>
                <w:sz w:val="20"/>
                <w:szCs w:val="20"/>
                <w:lang w:bidi="ar-SA"/>
              </w:rPr>
            </w:pPr>
          </w:p>
        </w:tc>
        <w:tc>
          <w:tcPr>
            <w:tcW w:w="1134"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color w:val="000000"/>
                <w:kern w:val="0"/>
                <w:sz w:val="20"/>
                <w:szCs w:val="20"/>
                <w:lang w:bidi="ar-SA"/>
              </w:rPr>
            </w:pPr>
          </w:p>
        </w:tc>
        <w:tc>
          <w:tcPr>
            <w:tcW w:w="1275"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color w:val="000000"/>
                <w:kern w:val="0"/>
                <w:sz w:val="20"/>
                <w:szCs w:val="20"/>
                <w:lang w:bidi="ar-SA"/>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20"/>
                <w:szCs w:val="20"/>
                <w:lang w:bidi="ar-SA"/>
              </w:rPr>
            </w:pPr>
            <w:r>
              <w:rPr>
                <w:rFonts w:ascii="Times New Roman" w:cs="宋体" w:hAnsi="Times New Roman"/>
                <w:color w:val="000000"/>
                <w:kern w:val="0"/>
                <w:sz w:val="20"/>
                <w:szCs w:val="20"/>
                <w:lang w:bidi="ar-SA"/>
              </w:rPr>
              <w:t>2010905</w:t>
            </w:r>
          </w:p>
        </w:tc>
        <w:tc>
          <w:tcPr>
            <w:tcW w:w="2126" w:type="dxa"/>
            <w:tcBorders>
              <w:top w:val="nil"/>
              <w:left w:val="nil"/>
              <w:bottom w:val="single" w:sz="4" w:space="0" w:color="auto"/>
              <w:right w:val="single" w:sz="4" w:space="0" w:color="auto"/>
            </w:tcBorders>
            <w:shd w:val="clear" w:color="auto" w:fill="auto"/>
            <w:vAlign w:val="center"/>
          </w:tcPr>
          <w:p>
            <w:pPr>
              <w:widowControl/>
              <w:autoSpaceDN w:val="0"/>
              <w:jc w:val="left"/>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缉私办案</w:t>
            </w:r>
          </w:p>
        </w:tc>
        <w:tc>
          <w:tcPr>
            <w:tcW w:w="133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r>
              <w:rPr>
                <w:rFonts w:ascii="Times New Roman" w:cs="Times New Roman" w:hAnsi="Times New Roman" w:hint="eastAsia"/>
                <w:color w:val="000000"/>
                <w:kern w:val="0"/>
                <w:sz w:val="20"/>
                <w:szCs w:val="20"/>
                <w:lang w:bidi="ar-SA"/>
              </w:rPr>
              <w:t>2.00</w:t>
            </w:r>
          </w:p>
        </w:tc>
        <w:tc>
          <w:tcPr>
            <w:tcW w:w="133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p>
        </w:tc>
        <w:tc>
          <w:tcPr>
            <w:tcW w:w="1173"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r>
              <w:rPr>
                <w:rFonts w:ascii="Times New Roman" w:cs="Times New Roman" w:hAnsi="Times New Roman" w:hint="eastAsia"/>
                <w:color w:val="000000"/>
                <w:kern w:val="0"/>
                <w:sz w:val="20"/>
                <w:szCs w:val="20"/>
                <w:lang w:bidi="ar-SA"/>
              </w:rPr>
              <w:t>2.00</w:t>
            </w:r>
          </w:p>
        </w:tc>
        <w:tc>
          <w:tcPr>
            <w:tcW w:w="993"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color w:val="000000"/>
                <w:kern w:val="0"/>
                <w:sz w:val="20"/>
                <w:szCs w:val="20"/>
                <w:lang w:bidi="ar-SA"/>
              </w:rPr>
            </w:pPr>
          </w:p>
        </w:tc>
        <w:tc>
          <w:tcPr>
            <w:tcW w:w="1134"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color w:val="000000"/>
                <w:kern w:val="0"/>
                <w:sz w:val="20"/>
                <w:szCs w:val="20"/>
                <w:lang w:bidi="ar-SA"/>
              </w:rPr>
            </w:pPr>
          </w:p>
        </w:tc>
        <w:tc>
          <w:tcPr>
            <w:tcW w:w="1275"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color w:val="000000"/>
                <w:kern w:val="0"/>
                <w:sz w:val="20"/>
                <w:szCs w:val="20"/>
                <w:lang w:bidi="ar-SA"/>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20"/>
                <w:szCs w:val="20"/>
                <w:lang w:bidi="ar-SA"/>
              </w:rPr>
            </w:pPr>
            <w:r>
              <w:rPr>
                <w:rFonts w:ascii="Times New Roman" w:cs="宋体" w:hAnsi="Times New Roman"/>
                <w:color w:val="000000"/>
                <w:kern w:val="0"/>
                <w:sz w:val="20"/>
                <w:szCs w:val="20"/>
                <w:lang w:bidi="ar-SA"/>
              </w:rPr>
              <w:t>2010909</w:t>
            </w:r>
          </w:p>
        </w:tc>
        <w:tc>
          <w:tcPr>
            <w:tcW w:w="2126" w:type="dxa"/>
            <w:tcBorders>
              <w:top w:val="nil"/>
              <w:left w:val="nil"/>
              <w:bottom w:val="single" w:sz="4" w:space="0" w:color="auto"/>
              <w:right w:val="single" w:sz="4" w:space="0" w:color="auto"/>
            </w:tcBorders>
            <w:shd w:val="clear" w:color="auto" w:fill="auto"/>
            <w:vAlign w:val="center"/>
          </w:tcPr>
          <w:p>
            <w:pPr>
              <w:widowControl/>
              <w:autoSpaceDN w:val="0"/>
              <w:jc w:val="left"/>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海关关务</w:t>
            </w:r>
          </w:p>
        </w:tc>
        <w:tc>
          <w:tcPr>
            <w:tcW w:w="133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r>
              <w:rPr>
                <w:rFonts w:ascii="Times New Roman" w:cs="Times New Roman" w:hAnsi="Times New Roman" w:hint="eastAsia"/>
                <w:color w:val="000000"/>
                <w:kern w:val="0"/>
                <w:sz w:val="20"/>
                <w:szCs w:val="20"/>
                <w:lang w:bidi="ar-SA"/>
              </w:rPr>
              <w:t>103.27</w:t>
            </w:r>
          </w:p>
        </w:tc>
        <w:tc>
          <w:tcPr>
            <w:tcW w:w="133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p>
        </w:tc>
        <w:tc>
          <w:tcPr>
            <w:tcW w:w="1173"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r>
              <w:rPr>
                <w:rFonts w:ascii="Times New Roman" w:cs="Times New Roman" w:hAnsi="Times New Roman" w:hint="eastAsia"/>
                <w:color w:val="000000"/>
                <w:kern w:val="0"/>
                <w:sz w:val="20"/>
                <w:szCs w:val="20"/>
                <w:lang w:bidi="ar-SA"/>
              </w:rPr>
              <w:t>103.27</w:t>
            </w:r>
          </w:p>
        </w:tc>
        <w:tc>
          <w:tcPr>
            <w:tcW w:w="993"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color w:val="000000"/>
                <w:kern w:val="0"/>
                <w:sz w:val="20"/>
                <w:szCs w:val="20"/>
                <w:lang w:bidi="ar-SA"/>
              </w:rPr>
            </w:pPr>
          </w:p>
        </w:tc>
        <w:tc>
          <w:tcPr>
            <w:tcW w:w="1134"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color w:val="000000"/>
                <w:kern w:val="0"/>
                <w:sz w:val="20"/>
                <w:szCs w:val="20"/>
                <w:lang w:bidi="ar-SA"/>
              </w:rPr>
            </w:pPr>
          </w:p>
        </w:tc>
        <w:tc>
          <w:tcPr>
            <w:tcW w:w="1275"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color w:val="000000"/>
                <w:kern w:val="0"/>
                <w:sz w:val="20"/>
                <w:szCs w:val="20"/>
                <w:lang w:bidi="ar-SA"/>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20"/>
                <w:szCs w:val="20"/>
                <w:lang w:bidi="ar-SA"/>
              </w:rPr>
            </w:pPr>
            <w:r>
              <w:rPr>
                <w:rFonts w:ascii="Times New Roman" w:cs="宋体" w:hAnsi="Times New Roman"/>
                <w:color w:val="000000"/>
                <w:kern w:val="0"/>
                <w:sz w:val="20"/>
                <w:szCs w:val="20"/>
                <w:lang w:bidi="ar-SA"/>
              </w:rPr>
              <w:t>2010911</w:t>
            </w:r>
          </w:p>
        </w:tc>
        <w:tc>
          <w:tcPr>
            <w:tcW w:w="2126" w:type="dxa"/>
            <w:tcBorders>
              <w:top w:val="nil"/>
              <w:left w:val="nil"/>
              <w:bottom w:val="single" w:sz="4" w:space="0" w:color="auto"/>
              <w:right w:val="single" w:sz="4" w:space="0" w:color="auto"/>
            </w:tcBorders>
            <w:shd w:val="clear" w:color="auto" w:fill="auto"/>
            <w:vAlign w:val="center"/>
          </w:tcPr>
          <w:p>
            <w:pPr>
              <w:widowControl/>
              <w:autoSpaceDN w:val="0"/>
              <w:jc w:val="left"/>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海关监管</w:t>
            </w:r>
          </w:p>
        </w:tc>
        <w:tc>
          <w:tcPr>
            <w:tcW w:w="133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r>
              <w:rPr>
                <w:rFonts w:ascii="Times New Roman" w:cs="Times New Roman" w:hAnsi="Times New Roman" w:hint="eastAsia"/>
                <w:color w:val="000000"/>
                <w:kern w:val="0"/>
                <w:sz w:val="20"/>
                <w:szCs w:val="20"/>
                <w:lang w:bidi="ar-SA"/>
              </w:rPr>
              <w:t>5.79</w:t>
            </w:r>
          </w:p>
        </w:tc>
        <w:tc>
          <w:tcPr>
            <w:tcW w:w="133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p>
        </w:tc>
        <w:tc>
          <w:tcPr>
            <w:tcW w:w="1173"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r>
              <w:rPr>
                <w:rFonts w:ascii="Times New Roman" w:cs="Times New Roman" w:hAnsi="Times New Roman" w:hint="eastAsia"/>
                <w:color w:val="000000"/>
                <w:kern w:val="0"/>
                <w:sz w:val="20"/>
                <w:szCs w:val="20"/>
                <w:lang w:bidi="ar-SA"/>
              </w:rPr>
              <w:t>5.79</w:t>
            </w:r>
          </w:p>
        </w:tc>
        <w:tc>
          <w:tcPr>
            <w:tcW w:w="993"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color w:val="000000"/>
                <w:kern w:val="0"/>
                <w:sz w:val="20"/>
                <w:szCs w:val="20"/>
                <w:lang w:bidi="ar-SA"/>
              </w:rPr>
            </w:pPr>
          </w:p>
        </w:tc>
        <w:tc>
          <w:tcPr>
            <w:tcW w:w="1134"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color w:val="000000"/>
                <w:kern w:val="0"/>
                <w:sz w:val="20"/>
                <w:szCs w:val="20"/>
                <w:lang w:bidi="ar-SA"/>
              </w:rPr>
            </w:pPr>
          </w:p>
        </w:tc>
        <w:tc>
          <w:tcPr>
            <w:tcW w:w="1275"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color w:val="000000"/>
                <w:kern w:val="0"/>
                <w:sz w:val="20"/>
                <w:szCs w:val="20"/>
                <w:lang w:bidi="ar-SA"/>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20"/>
                <w:szCs w:val="20"/>
                <w:lang w:bidi="ar-SA"/>
              </w:rPr>
            </w:pPr>
            <w:r>
              <w:rPr>
                <w:rFonts w:ascii="Times New Roman" w:cs="宋体" w:hAnsi="Times New Roman"/>
                <w:color w:val="000000"/>
                <w:kern w:val="0"/>
                <w:sz w:val="20"/>
                <w:szCs w:val="20"/>
                <w:lang w:bidi="ar-SA"/>
              </w:rPr>
              <w:t>2010912</w:t>
            </w:r>
          </w:p>
        </w:tc>
        <w:tc>
          <w:tcPr>
            <w:tcW w:w="2126" w:type="dxa"/>
            <w:tcBorders>
              <w:top w:val="nil"/>
              <w:left w:val="nil"/>
              <w:bottom w:val="single" w:sz="4" w:space="0" w:color="auto"/>
              <w:right w:val="single" w:sz="4" w:space="0" w:color="auto"/>
            </w:tcBorders>
            <w:shd w:val="clear" w:color="auto" w:fill="auto"/>
            <w:vAlign w:val="center"/>
          </w:tcPr>
          <w:p>
            <w:pPr>
              <w:widowControl/>
              <w:autoSpaceDN w:val="0"/>
              <w:jc w:val="left"/>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检验检疫</w:t>
            </w:r>
          </w:p>
        </w:tc>
        <w:tc>
          <w:tcPr>
            <w:tcW w:w="133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r>
              <w:rPr>
                <w:rFonts w:ascii="Times New Roman" w:cs="Times New Roman" w:hAnsi="Times New Roman" w:hint="eastAsia"/>
                <w:color w:val="000000"/>
                <w:kern w:val="0"/>
                <w:sz w:val="20"/>
                <w:szCs w:val="20"/>
                <w:lang w:bidi="ar-SA"/>
              </w:rPr>
              <w:t>9.30</w:t>
            </w:r>
          </w:p>
        </w:tc>
        <w:tc>
          <w:tcPr>
            <w:tcW w:w="133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p>
        </w:tc>
        <w:tc>
          <w:tcPr>
            <w:tcW w:w="1173"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r>
              <w:rPr>
                <w:rFonts w:ascii="Times New Roman" w:cs="Times New Roman" w:hAnsi="Times New Roman" w:hint="eastAsia"/>
                <w:color w:val="000000"/>
                <w:kern w:val="0"/>
                <w:sz w:val="20"/>
                <w:szCs w:val="20"/>
                <w:lang w:bidi="ar-SA"/>
              </w:rPr>
              <w:t>9.30</w:t>
            </w:r>
          </w:p>
        </w:tc>
        <w:tc>
          <w:tcPr>
            <w:tcW w:w="993"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color w:val="000000"/>
                <w:kern w:val="0"/>
                <w:sz w:val="20"/>
                <w:szCs w:val="20"/>
                <w:lang w:bidi="ar-SA"/>
              </w:rPr>
            </w:pPr>
          </w:p>
        </w:tc>
        <w:tc>
          <w:tcPr>
            <w:tcW w:w="1134"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color w:val="000000"/>
                <w:kern w:val="0"/>
                <w:sz w:val="20"/>
                <w:szCs w:val="20"/>
                <w:lang w:bidi="ar-SA"/>
              </w:rPr>
            </w:pPr>
          </w:p>
        </w:tc>
        <w:tc>
          <w:tcPr>
            <w:tcW w:w="1275"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color w:val="000000"/>
                <w:kern w:val="0"/>
                <w:sz w:val="20"/>
                <w:szCs w:val="20"/>
                <w:lang w:bidi="ar-SA"/>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b/>
                <w:bCs/>
                <w:color w:val="000000"/>
                <w:kern w:val="0"/>
                <w:sz w:val="20"/>
                <w:szCs w:val="20"/>
                <w:lang w:bidi="ar-SA"/>
              </w:rPr>
            </w:pPr>
            <w:r>
              <w:rPr>
                <w:rFonts w:ascii="Times New Roman" w:cs="宋体" w:hAnsi="Times New Roman"/>
                <w:b/>
                <w:bCs/>
                <w:color w:val="000000"/>
                <w:kern w:val="0"/>
                <w:sz w:val="20"/>
                <w:szCs w:val="20"/>
                <w:lang w:bidi="ar-SA"/>
              </w:rPr>
              <w:t>208</w:t>
            </w:r>
          </w:p>
        </w:tc>
        <w:tc>
          <w:tcPr>
            <w:tcW w:w="2126" w:type="dxa"/>
            <w:tcBorders>
              <w:top w:val="nil"/>
              <w:left w:val="nil"/>
              <w:bottom w:val="single" w:sz="4" w:space="0" w:color="auto"/>
              <w:right w:val="single" w:sz="4" w:space="0" w:color="auto"/>
            </w:tcBorders>
            <w:shd w:val="clear" w:color="auto" w:fill="auto"/>
            <w:vAlign w:val="center"/>
          </w:tcPr>
          <w:p>
            <w:pPr>
              <w:widowControl/>
              <w:autoSpaceDN w:val="0"/>
              <w:jc w:val="left"/>
              <w:rPr>
                <w:rFonts w:ascii="Times New Roman" w:cs="宋体" w:hAnsi="Times New Roman"/>
                <w:b/>
                <w:bCs/>
                <w:color w:val="000000"/>
                <w:kern w:val="0"/>
                <w:sz w:val="20"/>
                <w:szCs w:val="20"/>
                <w:lang w:bidi="ar-SA"/>
              </w:rPr>
            </w:pPr>
            <w:r>
              <w:rPr>
                <w:rFonts w:ascii="Times New Roman" w:cs="宋体" w:hAnsi="Times New Roman" w:hint="eastAsia"/>
                <w:b/>
                <w:bCs/>
                <w:color w:val="000000"/>
                <w:kern w:val="0"/>
                <w:sz w:val="20"/>
                <w:szCs w:val="20"/>
                <w:lang w:bidi="ar-SA"/>
              </w:rPr>
              <w:t>社会保障和就业支出</w:t>
            </w:r>
          </w:p>
        </w:tc>
        <w:tc>
          <w:tcPr>
            <w:tcW w:w="133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20"/>
                <w:szCs w:val="20"/>
                <w:lang w:bidi="ar-SA"/>
              </w:rPr>
            </w:pPr>
            <w:r>
              <w:rPr>
                <w:rFonts w:ascii="Times New Roman" w:cs="Times New Roman" w:hAnsi="Times New Roman" w:hint="eastAsia"/>
                <w:b/>
                <w:bCs/>
                <w:color w:val="000000"/>
                <w:kern w:val="0"/>
                <w:sz w:val="20"/>
                <w:szCs w:val="20"/>
                <w:lang w:bidi="ar-SA"/>
              </w:rPr>
              <w:t>66.84</w:t>
            </w:r>
          </w:p>
        </w:tc>
        <w:tc>
          <w:tcPr>
            <w:tcW w:w="133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20"/>
                <w:szCs w:val="20"/>
                <w:lang w:bidi="ar-SA"/>
              </w:rPr>
            </w:pPr>
            <w:r>
              <w:rPr>
                <w:rFonts w:ascii="Times New Roman" w:cs="Times New Roman" w:hAnsi="Times New Roman" w:hint="eastAsia"/>
                <w:b/>
                <w:bCs/>
                <w:color w:val="000000"/>
                <w:kern w:val="0"/>
                <w:sz w:val="20"/>
                <w:szCs w:val="20"/>
                <w:lang w:bidi="ar-SA"/>
              </w:rPr>
              <w:t>66.84</w:t>
            </w:r>
          </w:p>
        </w:tc>
        <w:tc>
          <w:tcPr>
            <w:tcW w:w="1173"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20"/>
                <w:szCs w:val="20"/>
                <w:lang w:bidi="ar-SA"/>
              </w:rPr>
            </w:pPr>
          </w:p>
        </w:tc>
        <w:tc>
          <w:tcPr>
            <w:tcW w:w="993"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b/>
                <w:bCs/>
                <w:color w:val="000000"/>
                <w:kern w:val="0"/>
                <w:sz w:val="20"/>
                <w:szCs w:val="20"/>
                <w:lang w:bidi="ar-SA"/>
              </w:rPr>
            </w:pPr>
          </w:p>
        </w:tc>
        <w:tc>
          <w:tcPr>
            <w:tcW w:w="1134"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b/>
                <w:bCs/>
                <w:color w:val="000000"/>
                <w:kern w:val="0"/>
                <w:sz w:val="20"/>
                <w:szCs w:val="20"/>
                <w:lang w:bidi="ar-SA"/>
              </w:rPr>
            </w:pPr>
          </w:p>
        </w:tc>
        <w:tc>
          <w:tcPr>
            <w:tcW w:w="1275"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color w:val="000000"/>
                <w:kern w:val="0"/>
                <w:sz w:val="20"/>
                <w:szCs w:val="20"/>
                <w:lang w:bidi="ar-SA"/>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b/>
                <w:bCs/>
                <w:color w:val="000000"/>
                <w:kern w:val="0"/>
                <w:sz w:val="20"/>
                <w:szCs w:val="20"/>
                <w:lang w:bidi="ar-SA"/>
              </w:rPr>
            </w:pPr>
            <w:r>
              <w:rPr>
                <w:rFonts w:ascii="Times New Roman" w:cs="宋体" w:hAnsi="Times New Roman"/>
                <w:b/>
                <w:bCs/>
                <w:color w:val="000000"/>
                <w:kern w:val="0"/>
                <w:sz w:val="20"/>
                <w:szCs w:val="20"/>
                <w:lang w:bidi="ar-SA"/>
              </w:rPr>
              <w:t>20805</w:t>
            </w:r>
          </w:p>
        </w:tc>
        <w:tc>
          <w:tcPr>
            <w:tcW w:w="2126" w:type="dxa"/>
            <w:tcBorders>
              <w:top w:val="nil"/>
              <w:left w:val="nil"/>
              <w:bottom w:val="single" w:sz="4" w:space="0" w:color="auto"/>
              <w:right w:val="single" w:sz="4" w:space="0" w:color="auto"/>
            </w:tcBorders>
            <w:shd w:val="clear" w:color="auto" w:fill="auto"/>
            <w:vAlign w:val="center"/>
          </w:tcPr>
          <w:p>
            <w:pPr>
              <w:widowControl/>
              <w:autoSpaceDN w:val="0"/>
              <w:jc w:val="left"/>
              <w:rPr>
                <w:rFonts w:ascii="Times New Roman" w:cs="宋体" w:hAnsi="Times New Roman"/>
                <w:b/>
                <w:bCs/>
                <w:color w:val="000000"/>
                <w:kern w:val="0"/>
                <w:sz w:val="20"/>
                <w:szCs w:val="20"/>
                <w:lang w:bidi="ar-SA"/>
              </w:rPr>
            </w:pPr>
            <w:r>
              <w:rPr>
                <w:rFonts w:ascii="Times New Roman" w:cs="宋体" w:hAnsi="Times New Roman" w:hint="eastAsia"/>
                <w:b/>
                <w:bCs/>
                <w:color w:val="000000"/>
                <w:kern w:val="0"/>
                <w:sz w:val="20"/>
                <w:szCs w:val="20"/>
                <w:lang w:bidi="ar-SA"/>
              </w:rPr>
              <w:t>行政事业单位养老支出</w:t>
            </w:r>
          </w:p>
        </w:tc>
        <w:tc>
          <w:tcPr>
            <w:tcW w:w="133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20"/>
                <w:szCs w:val="20"/>
                <w:lang w:bidi="ar-SA"/>
              </w:rPr>
            </w:pPr>
            <w:r>
              <w:rPr>
                <w:rFonts w:ascii="Times New Roman" w:cs="Times New Roman" w:hAnsi="Times New Roman" w:hint="eastAsia"/>
                <w:b/>
                <w:bCs/>
                <w:color w:val="000000"/>
                <w:kern w:val="0"/>
                <w:sz w:val="20"/>
                <w:szCs w:val="20"/>
                <w:lang w:bidi="ar-SA"/>
              </w:rPr>
              <w:t>66.84</w:t>
            </w:r>
          </w:p>
        </w:tc>
        <w:tc>
          <w:tcPr>
            <w:tcW w:w="133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20"/>
                <w:szCs w:val="20"/>
                <w:lang w:bidi="ar-SA"/>
              </w:rPr>
            </w:pPr>
            <w:r>
              <w:rPr>
                <w:rFonts w:ascii="Times New Roman" w:cs="Times New Roman" w:hAnsi="Times New Roman" w:hint="eastAsia"/>
                <w:b/>
                <w:bCs/>
                <w:color w:val="000000"/>
                <w:kern w:val="0"/>
                <w:sz w:val="20"/>
                <w:szCs w:val="20"/>
                <w:lang w:bidi="ar-SA"/>
              </w:rPr>
              <w:t>66.84</w:t>
            </w:r>
          </w:p>
        </w:tc>
        <w:tc>
          <w:tcPr>
            <w:tcW w:w="1173"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20"/>
                <w:szCs w:val="20"/>
                <w:lang w:bidi="ar-SA"/>
              </w:rPr>
            </w:pPr>
          </w:p>
        </w:tc>
        <w:tc>
          <w:tcPr>
            <w:tcW w:w="993"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b/>
                <w:bCs/>
                <w:color w:val="000000"/>
                <w:kern w:val="0"/>
                <w:sz w:val="20"/>
                <w:szCs w:val="20"/>
                <w:lang w:bidi="ar-SA"/>
              </w:rPr>
            </w:pPr>
          </w:p>
        </w:tc>
        <w:tc>
          <w:tcPr>
            <w:tcW w:w="1134"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b/>
                <w:bCs/>
                <w:color w:val="000000"/>
                <w:kern w:val="0"/>
                <w:sz w:val="20"/>
                <w:szCs w:val="20"/>
                <w:lang w:bidi="ar-SA"/>
              </w:rPr>
            </w:pPr>
          </w:p>
        </w:tc>
        <w:tc>
          <w:tcPr>
            <w:tcW w:w="1275"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color w:val="000000"/>
                <w:kern w:val="0"/>
                <w:sz w:val="20"/>
                <w:szCs w:val="20"/>
                <w:lang w:bidi="ar-SA"/>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20"/>
                <w:szCs w:val="20"/>
                <w:lang w:bidi="ar-SA"/>
              </w:rPr>
            </w:pPr>
            <w:r>
              <w:rPr>
                <w:rFonts w:ascii="Times New Roman" w:cs="宋体" w:hAnsi="Times New Roman"/>
                <w:color w:val="000000"/>
                <w:kern w:val="0"/>
                <w:sz w:val="20"/>
                <w:szCs w:val="20"/>
                <w:lang w:bidi="ar-SA"/>
              </w:rPr>
              <w:t>2080501</w:t>
            </w:r>
          </w:p>
        </w:tc>
        <w:tc>
          <w:tcPr>
            <w:tcW w:w="2126" w:type="dxa"/>
            <w:tcBorders>
              <w:top w:val="nil"/>
              <w:left w:val="nil"/>
              <w:bottom w:val="single" w:sz="4" w:space="0" w:color="auto"/>
              <w:right w:val="single" w:sz="4" w:space="0" w:color="auto"/>
            </w:tcBorders>
            <w:shd w:val="clear" w:color="auto" w:fill="auto"/>
            <w:vAlign w:val="center"/>
          </w:tcPr>
          <w:p>
            <w:pPr>
              <w:widowControl/>
              <w:autoSpaceDN w:val="0"/>
              <w:jc w:val="left"/>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行政单位离退休</w:t>
            </w:r>
          </w:p>
        </w:tc>
        <w:tc>
          <w:tcPr>
            <w:tcW w:w="133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r>
              <w:rPr>
                <w:rFonts w:ascii="Times New Roman" w:cs="Times New Roman" w:hAnsi="Times New Roman" w:hint="eastAsia"/>
                <w:color w:val="000000"/>
                <w:kern w:val="0"/>
                <w:sz w:val="20"/>
                <w:szCs w:val="20"/>
                <w:lang w:bidi="ar-SA"/>
              </w:rPr>
              <w:t>0.48</w:t>
            </w:r>
          </w:p>
        </w:tc>
        <w:tc>
          <w:tcPr>
            <w:tcW w:w="133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r>
              <w:rPr>
                <w:rFonts w:ascii="Times New Roman" w:cs="Times New Roman" w:hAnsi="Times New Roman" w:hint="eastAsia"/>
                <w:color w:val="000000"/>
                <w:kern w:val="0"/>
                <w:sz w:val="20"/>
                <w:szCs w:val="20"/>
                <w:lang w:bidi="ar-SA"/>
              </w:rPr>
              <w:t>0.48</w:t>
            </w:r>
          </w:p>
        </w:tc>
        <w:tc>
          <w:tcPr>
            <w:tcW w:w="1173"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p>
        </w:tc>
        <w:tc>
          <w:tcPr>
            <w:tcW w:w="993"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color w:val="000000"/>
                <w:kern w:val="0"/>
                <w:sz w:val="20"/>
                <w:szCs w:val="20"/>
                <w:lang w:bidi="ar-SA"/>
              </w:rPr>
            </w:pPr>
          </w:p>
        </w:tc>
        <w:tc>
          <w:tcPr>
            <w:tcW w:w="1134"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color w:val="000000"/>
                <w:kern w:val="0"/>
                <w:sz w:val="20"/>
                <w:szCs w:val="20"/>
                <w:lang w:bidi="ar-SA"/>
              </w:rPr>
            </w:pPr>
          </w:p>
        </w:tc>
        <w:tc>
          <w:tcPr>
            <w:tcW w:w="1275"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color w:val="000000"/>
                <w:kern w:val="0"/>
                <w:sz w:val="20"/>
                <w:szCs w:val="20"/>
                <w:lang w:bidi="ar-SA"/>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20"/>
                <w:szCs w:val="20"/>
                <w:lang w:bidi="ar-SA"/>
              </w:rPr>
            </w:pPr>
            <w:r>
              <w:rPr>
                <w:rFonts w:ascii="Times New Roman" w:cs="宋体" w:hAnsi="Times New Roman"/>
                <w:color w:val="000000"/>
                <w:kern w:val="0"/>
                <w:sz w:val="20"/>
                <w:szCs w:val="20"/>
                <w:lang w:bidi="ar-SA"/>
              </w:rPr>
              <w:t>2080505</w:t>
            </w:r>
          </w:p>
        </w:tc>
        <w:tc>
          <w:tcPr>
            <w:tcW w:w="2126" w:type="dxa"/>
            <w:tcBorders>
              <w:top w:val="nil"/>
              <w:left w:val="nil"/>
              <w:bottom w:val="single" w:sz="4" w:space="0" w:color="auto"/>
              <w:right w:val="single" w:sz="4" w:space="0" w:color="auto"/>
            </w:tcBorders>
            <w:shd w:val="clear" w:color="auto" w:fill="auto"/>
            <w:vAlign w:val="center"/>
          </w:tcPr>
          <w:p>
            <w:pPr>
              <w:widowControl/>
              <w:autoSpaceDN w:val="0"/>
              <w:jc w:val="left"/>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机关事业单位基本养老保险缴费支出</w:t>
            </w:r>
          </w:p>
        </w:tc>
        <w:tc>
          <w:tcPr>
            <w:tcW w:w="133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r>
              <w:rPr>
                <w:rFonts w:ascii="Times New Roman" w:cs="Times New Roman" w:hAnsi="Times New Roman" w:hint="eastAsia"/>
                <w:color w:val="000000"/>
                <w:kern w:val="0"/>
                <w:sz w:val="20"/>
                <w:szCs w:val="20"/>
                <w:lang w:bidi="ar-SA"/>
              </w:rPr>
              <w:t>44.24</w:t>
            </w:r>
          </w:p>
        </w:tc>
        <w:tc>
          <w:tcPr>
            <w:tcW w:w="133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r>
              <w:rPr>
                <w:rFonts w:ascii="Times New Roman" w:cs="Times New Roman" w:hAnsi="Times New Roman" w:hint="eastAsia"/>
                <w:color w:val="000000"/>
                <w:kern w:val="0"/>
                <w:sz w:val="20"/>
                <w:szCs w:val="20"/>
                <w:lang w:bidi="ar-SA"/>
              </w:rPr>
              <w:t>44.24</w:t>
            </w:r>
          </w:p>
        </w:tc>
        <w:tc>
          <w:tcPr>
            <w:tcW w:w="1173"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p>
        </w:tc>
        <w:tc>
          <w:tcPr>
            <w:tcW w:w="993"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color w:val="000000"/>
                <w:kern w:val="0"/>
                <w:sz w:val="20"/>
                <w:szCs w:val="20"/>
                <w:lang w:bidi="ar-SA"/>
              </w:rPr>
            </w:pPr>
          </w:p>
        </w:tc>
        <w:tc>
          <w:tcPr>
            <w:tcW w:w="1134"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color w:val="000000"/>
                <w:kern w:val="0"/>
                <w:sz w:val="20"/>
                <w:szCs w:val="20"/>
                <w:lang w:bidi="ar-SA"/>
              </w:rPr>
            </w:pPr>
          </w:p>
        </w:tc>
        <w:tc>
          <w:tcPr>
            <w:tcW w:w="1275"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color w:val="000000"/>
                <w:kern w:val="0"/>
                <w:sz w:val="20"/>
                <w:szCs w:val="20"/>
                <w:lang w:bidi="ar-SA"/>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20"/>
                <w:szCs w:val="20"/>
                <w:lang w:bidi="ar-SA"/>
              </w:rPr>
            </w:pPr>
            <w:r>
              <w:rPr>
                <w:rFonts w:ascii="Times New Roman" w:cs="宋体" w:hAnsi="Times New Roman"/>
                <w:color w:val="000000"/>
                <w:kern w:val="0"/>
                <w:sz w:val="20"/>
                <w:szCs w:val="20"/>
                <w:lang w:bidi="ar-SA"/>
              </w:rPr>
              <w:t>2080506</w:t>
            </w:r>
          </w:p>
        </w:tc>
        <w:tc>
          <w:tcPr>
            <w:tcW w:w="2126" w:type="dxa"/>
            <w:tcBorders>
              <w:top w:val="nil"/>
              <w:left w:val="nil"/>
              <w:bottom w:val="single" w:sz="4" w:space="0" w:color="auto"/>
              <w:right w:val="single" w:sz="4" w:space="0" w:color="auto"/>
            </w:tcBorders>
            <w:shd w:val="clear" w:color="auto" w:fill="auto"/>
            <w:vAlign w:val="center"/>
          </w:tcPr>
          <w:p>
            <w:pPr>
              <w:widowControl/>
              <w:autoSpaceDN w:val="0"/>
              <w:jc w:val="left"/>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机关事业单位职业年金缴费支出</w:t>
            </w:r>
          </w:p>
        </w:tc>
        <w:tc>
          <w:tcPr>
            <w:tcW w:w="133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r>
              <w:rPr>
                <w:rFonts w:ascii="Times New Roman" w:cs="Times New Roman" w:hAnsi="Times New Roman" w:hint="eastAsia"/>
                <w:color w:val="000000"/>
                <w:kern w:val="0"/>
                <w:sz w:val="20"/>
                <w:szCs w:val="20"/>
                <w:lang w:bidi="ar-SA"/>
              </w:rPr>
              <w:t>22.12</w:t>
            </w:r>
          </w:p>
        </w:tc>
        <w:tc>
          <w:tcPr>
            <w:tcW w:w="133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r>
              <w:rPr>
                <w:rFonts w:ascii="Times New Roman" w:cs="Times New Roman" w:hAnsi="Times New Roman" w:hint="eastAsia"/>
                <w:color w:val="000000"/>
                <w:kern w:val="0"/>
                <w:sz w:val="20"/>
                <w:szCs w:val="20"/>
                <w:lang w:bidi="ar-SA"/>
              </w:rPr>
              <w:t>22.12</w:t>
            </w:r>
          </w:p>
        </w:tc>
        <w:tc>
          <w:tcPr>
            <w:tcW w:w="1173"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p>
        </w:tc>
        <w:tc>
          <w:tcPr>
            <w:tcW w:w="993"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color w:val="000000"/>
                <w:kern w:val="0"/>
                <w:sz w:val="20"/>
                <w:szCs w:val="20"/>
                <w:lang w:bidi="ar-SA"/>
              </w:rPr>
            </w:pPr>
          </w:p>
        </w:tc>
        <w:tc>
          <w:tcPr>
            <w:tcW w:w="1134"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color w:val="000000"/>
                <w:kern w:val="0"/>
                <w:sz w:val="20"/>
                <w:szCs w:val="20"/>
                <w:lang w:bidi="ar-SA"/>
              </w:rPr>
            </w:pPr>
          </w:p>
        </w:tc>
        <w:tc>
          <w:tcPr>
            <w:tcW w:w="1275"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color w:val="000000"/>
                <w:kern w:val="0"/>
                <w:sz w:val="20"/>
                <w:szCs w:val="20"/>
                <w:lang w:bidi="ar-SA"/>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b/>
                <w:bCs/>
                <w:color w:val="000000"/>
                <w:kern w:val="0"/>
                <w:sz w:val="20"/>
                <w:szCs w:val="20"/>
                <w:lang w:bidi="ar-SA"/>
              </w:rPr>
            </w:pPr>
            <w:r>
              <w:rPr>
                <w:rFonts w:ascii="Times New Roman" w:cs="宋体" w:hAnsi="Times New Roman"/>
                <w:b/>
                <w:bCs/>
                <w:color w:val="000000"/>
                <w:kern w:val="0"/>
                <w:sz w:val="20"/>
                <w:szCs w:val="20"/>
                <w:lang w:bidi="ar-SA"/>
              </w:rPr>
              <w:t>210</w:t>
            </w:r>
          </w:p>
        </w:tc>
        <w:tc>
          <w:tcPr>
            <w:tcW w:w="2126" w:type="dxa"/>
            <w:tcBorders>
              <w:top w:val="nil"/>
              <w:left w:val="nil"/>
              <w:bottom w:val="single" w:sz="4" w:space="0" w:color="auto"/>
              <w:right w:val="single" w:sz="4" w:space="0" w:color="auto"/>
            </w:tcBorders>
            <w:shd w:val="clear" w:color="auto" w:fill="auto"/>
            <w:vAlign w:val="center"/>
          </w:tcPr>
          <w:p>
            <w:pPr>
              <w:widowControl/>
              <w:autoSpaceDN w:val="0"/>
              <w:jc w:val="left"/>
              <w:rPr>
                <w:rFonts w:ascii="Times New Roman" w:cs="宋体" w:hAnsi="Times New Roman"/>
                <w:b/>
                <w:bCs/>
                <w:color w:val="000000"/>
                <w:kern w:val="0"/>
                <w:sz w:val="20"/>
                <w:szCs w:val="20"/>
                <w:lang w:bidi="ar-SA"/>
              </w:rPr>
            </w:pPr>
            <w:r>
              <w:rPr>
                <w:rFonts w:ascii="Times New Roman" w:cs="宋体" w:hAnsi="Times New Roman" w:hint="eastAsia"/>
                <w:b/>
                <w:bCs/>
                <w:color w:val="000000"/>
                <w:kern w:val="0"/>
                <w:sz w:val="20"/>
                <w:szCs w:val="20"/>
                <w:lang w:bidi="ar-SA"/>
              </w:rPr>
              <w:t>卫生健康支出</w:t>
            </w:r>
          </w:p>
        </w:tc>
        <w:tc>
          <w:tcPr>
            <w:tcW w:w="133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20"/>
                <w:szCs w:val="20"/>
                <w:lang w:bidi="ar-SA"/>
              </w:rPr>
            </w:pPr>
            <w:r>
              <w:rPr>
                <w:rFonts w:ascii="Times New Roman" w:cs="Times New Roman" w:hAnsi="Times New Roman" w:hint="eastAsia"/>
                <w:b/>
                <w:bCs/>
                <w:color w:val="000000"/>
                <w:kern w:val="0"/>
                <w:sz w:val="20"/>
                <w:szCs w:val="20"/>
                <w:lang w:bidi="ar-SA"/>
              </w:rPr>
              <w:t>24.05</w:t>
            </w:r>
          </w:p>
        </w:tc>
        <w:tc>
          <w:tcPr>
            <w:tcW w:w="133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20"/>
                <w:szCs w:val="20"/>
                <w:lang w:bidi="ar-SA"/>
              </w:rPr>
            </w:pPr>
            <w:r>
              <w:rPr>
                <w:rFonts w:ascii="Times New Roman" w:cs="Times New Roman" w:hAnsi="Times New Roman" w:hint="eastAsia"/>
                <w:b/>
                <w:bCs/>
                <w:color w:val="000000"/>
                <w:kern w:val="0"/>
                <w:sz w:val="20"/>
                <w:szCs w:val="20"/>
                <w:lang w:bidi="ar-SA"/>
              </w:rPr>
              <w:t>24.05</w:t>
            </w:r>
          </w:p>
        </w:tc>
        <w:tc>
          <w:tcPr>
            <w:tcW w:w="1173"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20"/>
                <w:szCs w:val="20"/>
                <w:lang w:bidi="ar-SA"/>
              </w:rPr>
            </w:pPr>
          </w:p>
        </w:tc>
        <w:tc>
          <w:tcPr>
            <w:tcW w:w="993"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b/>
                <w:bCs/>
                <w:color w:val="000000"/>
                <w:kern w:val="0"/>
                <w:sz w:val="20"/>
                <w:szCs w:val="20"/>
                <w:lang w:bidi="ar-SA"/>
              </w:rPr>
            </w:pPr>
          </w:p>
        </w:tc>
        <w:tc>
          <w:tcPr>
            <w:tcW w:w="1134"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color w:val="000000"/>
                <w:kern w:val="0"/>
                <w:sz w:val="20"/>
                <w:szCs w:val="20"/>
                <w:lang w:bidi="ar-SA"/>
              </w:rPr>
            </w:pPr>
          </w:p>
        </w:tc>
        <w:tc>
          <w:tcPr>
            <w:tcW w:w="1275"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color w:val="000000"/>
                <w:kern w:val="0"/>
                <w:sz w:val="20"/>
                <w:szCs w:val="20"/>
                <w:lang w:bidi="ar-SA"/>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b/>
                <w:bCs/>
                <w:color w:val="000000"/>
                <w:kern w:val="0"/>
                <w:sz w:val="20"/>
                <w:szCs w:val="20"/>
                <w:lang w:bidi="ar-SA"/>
              </w:rPr>
            </w:pPr>
            <w:r>
              <w:rPr>
                <w:rFonts w:ascii="Times New Roman" w:cs="宋体" w:hAnsi="Times New Roman"/>
                <w:b/>
                <w:bCs/>
                <w:color w:val="000000"/>
                <w:kern w:val="0"/>
                <w:sz w:val="20"/>
                <w:szCs w:val="20"/>
                <w:lang w:bidi="ar-SA"/>
              </w:rPr>
              <w:t>21011</w:t>
            </w:r>
          </w:p>
        </w:tc>
        <w:tc>
          <w:tcPr>
            <w:tcW w:w="2126" w:type="dxa"/>
            <w:tcBorders>
              <w:top w:val="nil"/>
              <w:left w:val="nil"/>
              <w:bottom w:val="single" w:sz="4" w:space="0" w:color="auto"/>
              <w:right w:val="single" w:sz="4" w:space="0" w:color="auto"/>
            </w:tcBorders>
            <w:shd w:val="clear" w:color="auto" w:fill="auto"/>
            <w:vAlign w:val="center"/>
          </w:tcPr>
          <w:p>
            <w:pPr>
              <w:widowControl/>
              <w:autoSpaceDN w:val="0"/>
              <w:jc w:val="left"/>
              <w:rPr>
                <w:rFonts w:ascii="Times New Roman" w:cs="宋体" w:hAnsi="Times New Roman"/>
                <w:b/>
                <w:bCs/>
                <w:color w:val="000000"/>
                <w:kern w:val="0"/>
                <w:sz w:val="20"/>
                <w:szCs w:val="20"/>
                <w:lang w:bidi="ar-SA"/>
              </w:rPr>
            </w:pPr>
            <w:r>
              <w:rPr>
                <w:rFonts w:ascii="Times New Roman" w:cs="宋体" w:hAnsi="Times New Roman" w:hint="eastAsia"/>
                <w:b/>
                <w:bCs/>
                <w:color w:val="000000"/>
                <w:kern w:val="0"/>
                <w:sz w:val="20"/>
                <w:szCs w:val="20"/>
                <w:lang w:bidi="ar-SA"/>
              </w:rPr>
              <w:t>行政事业单位医疗</w:t>
            </w:r>
          </w:p>
        </w:tc>
        <w:tc>
          <w:tcPr>
            <w:tcW w:w="133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20"/>
                <w:szCs w:val="20"/>
                <w:lang w:bidi="ar-SA"/>
              </w:rPr>
            </w:pPr>
            <w:r>
              <w:rPr>
                <w:rFonts w:ascii="Times New Roman" w:cs="Times New Roman" w:hAnsi="Times New Roman" w:hint="eastAsia"/>
                <w:b/>
                <w:bCs/>
                <w:color w:val="000000"/>
                <w:kern w:val="0"/>
                <w:sz w:val="20"/>
                <w:szCs w:val="20"/>
                <w:lang w:bidi="ar-SA"/>
              </w:rPr>
              <w:t>24.05</w:t>
            </w:r>
          </w:p>
        </w:tc>
        <w:tc>
          <w:tcPr>
            <w:tcW w:w="133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20"/>
                <w:szCs w:val="20"/>
                <w:lang w:bidi="ar-SA"/>
              </w:rPr>
            </w:pPr>
            <w:r>
              <w:rPr>
                <w:rFonts w:ascii="Times New Roman" w:cs="Times New Roman" w:hAnsi="Times New Roman" w:hint="eastAsia"/>
                <w:b/>
                <w:bCs/>
                <w:color w:val="000000"/>
                <w:kern w:val="0"/>
                <w:sz w:val="20"/>
                <w:szCs w:val="20"/>
                <w:lang w:bidi="ar-SA"/>
              </w:rPr>
              <w:t>24.05</w:t>
            </w:r>
          </w:p>
        </w:tc>
        <w:tc>
          <w:tcPr>
            <w:tcW w:w="1173"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宋体" w:hAnsi="Times New Roman"/>
                <w:color w:val="000000"/>
                <w:kern w:val="0"/>
                <w:sz w:val="20"/>
                <w:szCs w:val="20"/>
                <w:lang w:bidi="ar-SA"/>
              </w:rPr>
            </w:pPr>
          </w:p>
        </w:tc>
        <w:tc>
          <w:tcPr>
            <w:tcW w:w="993"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宋体" w:hAnsi="Times New Roman"/>
                <w:color w:val="000000"/>
                <w:kern w:val="0"/>
                <w:sz w:val="20"/>
                <w:szCs w:val="20"/>
                <w:lang w:bidi="ar-SA"/>
              </w:rPr>
            </w:pPr>
          </w:p>
        </w:tc>
        <w:tc>
          <w:tcPr>
            <w:tcW w:w="1134"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宋体" w:hAnsi="Times New Roman"/>
                <w:color w:val="000000"/>
                <w:kern w:val="0"/>
                <w:sz w:val="20"/>
                <w:szCs w:val="20"/>
                <w:lang w:bidi="ar-SA"/>
              </w:rPr>
            </w:pPr>
          </w:p>
        </w:tc>
        <w:tc>
          <w:tcPr>
            <w:tcW w:w="1275"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宋体" w:hAnsi="Times New Roman"/>
                <w:color w:val="000000"/>
                <w:kern w:val="0"/>
                <w:sz w:val="20"/>
                <w:szCs w:val="20"/>
                <w:lang w:bidi="ar-SA"/>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20"/>
                <w:szCs w:val="20"/>
                <w:lang w:bidi="ar-SA"/>
              </w:rPr>
            </w:pPr>
            <w:r>
              <w:rPr>
                <w:rFonts w:ascii="Times New Roman" w:cs="宋体" w:hAnsi="Times New Roman"/>
                <w:color w:val="000000"/>
                <w:kern w:val="0"/>
                <w:sz w:val="20"/>
                <w:szCs w:val="20"/>
                <w:lang w:bidi="ar-SA"/>
              </w:rPr>
              <w:t>2101101</w:t>
            </w:r>
          </w:p>
        </w:tc>
        <w:tc>
          <w:tcPr>
            <w:tcW w:w="2126" w:type="dxa"/>
            <w:tcBorders>
              <w:top w:val="nil"/>
              <w:left w:val="nil"/>
              <w:bottom w:val="single" w:sz="4" w:space="0" w:color="auto"/>
              <w:right w:val="single" w:sz="4" w:space="0" w:color="auto"/>
            </w:tcBorders>
            <w:shd w:val="clear" w:color="auto" w:fill="auto"/>
            <w:vAlign w:val="center"/>
          </w:tcPr>
          <w:p>
            <w:pPr>
              <w:widowControl/>
              <w:autoSpaceDN w:val="0"/>
              <w:jc w:val="left"/>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行政单位医疗</w:t>
            </w:r>
          </w:p>
        </w:tc>
        <w:tc>
          <w:tcPr>
            <w:tcW w:w="133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r>
              <w:rPr>
                <w:rFonts w:ascii="Times New Roman" w:cs="Times New Roman" w:hAnsi="Times New Roman" w:hint="eastAsia"/>
                <w:color w:val="000000"/>
                <w:kern w:val="0"/>
                <w:sz w:val="20"/>
                <w:szCs w:val="20"/>
                <w:lang w:bidi="ar-SA"/>
              </w:rPr>
              <w:t>17.76</w:t>
            </w:r>
          </w:p>
        </w:tc>
        <w:tc>
          <w:tcPr>
            <w:tcW w:w="133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r>
              <w:rPr>
                <w:rFonts w:ascii="Times New Roman" w:cs="Times New Roman" w:hAnsi="Times New Roman" w:hint="eastAsia"/>
                <w:color w:val="000000"/>
                <w:kern w:val="0"/>
                <w:sz w:val="20"/>
                <w:szCs w:val="20"/>
                <w:lang w:bidi="ar-SA"/>
              </w:rPr>
              <w:t>17.76</w:t>
            </w:r>
          </w:p>
        </w:tc>
        <w:tc>
          <w:tcPr>
            <w:tcW w:w="1173"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宋体" w:hAnsi="Times New Roman"/>
                <w:color w:val="000000"/>
                <w:kern w:val="0"/>
                <w:sz w:val="20"/>
                <w:szCs w:val="20"/>
                <w:lang w:bidi="ar-SA"/>
              </w:rPr>
            </w:pPr>
          </w:p>
        </w:tc>
        <w:tc>
          <w:tcPr>
            <w:tcW w:w="993"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宋体" w:hAnsi="Times New Roman"/>
                <w:color w:val="000000"/>
                <w:kern w:val="0"/>
                <w:sz w:val="20"/>
                <w:szCs w:val="20"/>
                <w:lang w:bidi="ar-SA"/>
              </w:rPr>
            </w:pPr>
          </w:p>
        </w:tc>
        <w:tc>
          <w:tcPr>
            <w:tcW w:w="1134"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宋体" w:hAnsi="Times New Roman"/>
                <w:color w:val="000000"/>
                <w:kern w:val="0"/>
                <w:sz w:val="20"/>
                <w:szCs w:val="20"/>
                <w:lang w:bidi="ar-SA"/>
              </w:rPr>
            </w:pPr>
          </w:p>
        </w:tc>
        <w:tc>
          <w:tcPr>
            <w:tcW w:w="1275"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宋体" w:hAnsi="Times New Roman"/>
                <w:color w:val="000000"/>
                <w:kern w:val="0"/>
                <w:sz w:val="20"/>
                <w:szCs w:val="20"/>
                <w:lang w:bidi="ar-SA"/>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20"/>
                <w:szCs w:val="20"/>
                <w:lang w:bidi="ar-SA"/>
              </w:rPr>
            </w:pPr>
            <w:r>
              <w:rPr>
                <w:rFonts w:ascii="Times New Roman" w:cs="宋体" w:hAnsi="Times New Roman"/>
                <w:color w:val="000000"/>
                <w:kern w:val="0"/>
                <w:sz w:val="20"/>
                <w:szCs w:val="20"/>
                <w:lang w:bidi="ar-SA"/>
              </w:rPr>
              <w:t>2101103</w:t>
            </w:r>
          </w:p>
        </w:tc>
        <w:tc>
          <w:tcPr>
            <w:tcW w:w="2126" w:type="dxa"/>
            <w:tcBorders>
              <w:top w:val="nil"/>
              <w:left w:val="nil"/>
              <w:bottom w:val="single" w:sz="4" w:space="0" w:color="auto"/>
              <w:right w:val="single" w:sz="4" w:space="0" w:color="auto"/>
            </w:tcBorders>
            <w:shd w:val="clear" w:color="auto" w:fill="auto"/>
            <w:vAlign w:val="center"/>
          </w:tcPr>
          <w:p>
            <w:pPr>
              <w:widowControl/>
              <w:autoSpaceDN w:val="0"/>
              <w:jc w:val="left"/>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公务员医疗补助</w:t>
            </w:r>
          </w:p>
        </w:tc>
        <w:tc>
          <w:tcPr>
            <w:tcW w:w="133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r>
              <w:rPr>
                <w:rFonts w:ascii="Times New Roman" w:cs="Times New Roman" w:hAnsi="Times New Roman" w:hint="eastAsia"/>
                <w:color w:val="000000"/>
                <w:kern w:val="0"/>
                <w:sz w:val="20"/>
                <w:szCs w:val="20"/>
                <w:lang w:bidi="ar-SA"/>
              </w:rPr>
              <w:t>5.74</w:t>
            </w:r>
          </w:p>
        </w:tc>
        <w:tc>
          <w:tcPr>
            <w:tcW w:w="133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r>
              <w:rPr>
                <w:rFonts w:ascii="Times New Roman" w:cs="Times New Roman" w:hAnsi="Times New Roman" w:hint="eastAsia"/>
                <w:color w:val="000000"/>
                <w:kern w:val="0"/>
                <w:sz w:val="20"/>
                <w:szCs w:val="20"/>
                <w:lang w:bidi="ar-SA"/>
              </w:rPr>
              <w:t>5.74</w:t>
            </w:r>
          </w:p>
        </w:tc>
        <w:tc>
          <w:tcPr>
            <w:tcW w:w="1173"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p>
        </w:tc>
        <w:tc>
          <w:tcPr>
            <w:tcW w:w="993"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color w:val="000000"/>
                <w:kern w:val="0"/>
                <w:sz w:val="20"/>
                <w:szCs w:val="20"/>
                <w:lang w:bidi="ar-SA"/>
              </w:rPr>
            </w:pPr>
          </w:p>
        </w:tc>
        <w:tc>
          <w:tcPr>
            <w:tcW w:w="1134"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color w:val="000000"/>
                <w:kern w:val="0"/>
                <w:sz w:val="20"/>
                <w:szCs w:val="20"/>
                <w:lang w:bidi="ar-SA"/>
              </w:rPr>
            </w:pPr>
          </w:p>
        </w:tc>
        <w:tc>
          <w:tcPr>
            <w:tcW w:w="1275"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color w:val="000000"/>
                <w:kern w:val="0"/>
                <w:sz w:val="20"/>
                <w:szCs w:val="20"/>
                <w:lang w:bidi="ar-SA"/>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20"/>
                <w:szCs w:val="20"/>
                <w:lang w:bidi="ar-SA"/>
              </w:rPr>
            </w:pPr>
            <w:r>
              <w:rPr>
                <w:rFonts w:ascii="Times New Roman" w:cs="宋体" w:hAnsi="Times New Roman"/>
                <w:color w:val="000000"/>
                <w:kern w:val="0"/>
                <w:sz w:val="20"/>
                <w:szCs w:val="20"/>
                <w:lang w:bidi="ar-SA"/>
              </w:rPr>
              <w:t>2101199</w:t>
            </w:r>
          </w:p>
        </w:tc>
        <w:tc>
          <w:tcPr>
            <w:tcW w:w="2126" w:type="dxa"/>
            <w:tcBorders>
              <w:top w:val="nil"/>
              <w:left w:val="nil"/>
              <w:bottom w:val="single" w:sz="4" w:space="0" w:color="auto"/>
              <w:right w:val="single" w:sz="4" w:space="0" w:color="auto"/>
            </w:tcBorders>
            <w:shd w:val="clear" w:color="auto" w:fill="auto"/>
            <w:vAlign w:val="center"/>
          </w:tcPr>
          <w:p>
            <w:pPr>
              <w:widowControl/>
              <w:autoSpaceDN w:val="0"/>
              <w:jc w:val="left"/>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其他行政事业单位医疗支出</w:t>
            </w:r>
          </w:p>
        </w:tc>
        <w:tc>
          <w:tcPr>
            <w:tcW w:w="133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r>
              <w:rPr>
                <w:rFonts w:ascii="Times New Roman" w:cs="Times New Roman" w:hAnsi="Times New Roman" w:hint="eastAsia"/>
                <w:color w:val="000000"/>
                <w:kern w:val="0"/>
                <w:sz w:val="20"/>
                <w:szCs w:val="20"/>
                <w:lang w:bidi="ar-SA"/>
              </w:rPr>
              <w:t>0.55</w:t>
            </w:r>
          </w:p>
        </w:tc>
        <w:tc>
          <w:tcPr>
            <w:tcW w:w="133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r>
              <w:rPr>
                <w:rFonts w:ascii="Times New Roman" w:cs="Times New Roman" w:hAnsi="Times New Roman" w:hint="eastAsia"/>
                <w:color w:val="000000"/>
                <w:kern w:val="0"/>
                <w:sz w:val="20"/>
                <w:szCs w:val="20"/>
                <w:lang w:bidi="ar-SA"/>
              </w:rPr>
              <w:t>0.55</w:t>
            </w:r>
          </w:p>
        </w:tc>
        <w:tc>
          <w:tcPr>
            <w:tcW w:w="1173"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宋体" w:hAnsi="Times New Roman"/>
                <w:color w:val="000000"/>
                <w:kern w:val="0"/>
                <w:sz w:val="20"/>
                <w:szCs w:val="20"/>
                <w:lang w:bidi="ar-SA"/>
              </w:rPr>
            </w:pPr>
          </w:p>
        </w:tc>
        <w:tc>
          <w:tcPr>
            <w:tcW w:w="993"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宋体" w:hAnsi="Times New Roman"/>
                <w:color w:val="000000"/>
                <w:kern w:val="0"/>
                <w:sz w:val="20"/>
                <w:szCs w:val="20"/>
                <w:lang w:bidi="ar-SA"/>
              </w:rPr>
            </w:pPr>
          </w:p>
        </w:tc>
        <w:tc>
          <w:tcPr>
            <w:tcW w:w="1134"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宋体" w:hAnsi="Times New Roman"/>
                <w:color w:val="000000"/>
                <w:kern w:val="0"/>
                <w:sz w:val="20"/>
                <w:szCs w:val="20"/>
                <w:lang w:bidi="ar-SA"/>
              </w:rPr>
            </w:pPr>
          </w:p>
        </w:tc>
        <w:tc>
          <w:tcPr>
            <w:tcW w:w="1275"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宋体" w:hAnsi="Times New Roman"/>
                <w:color w:val="000000"/>
                <w:kern w:val="0"/>
                <w:sz w:val="20"/>
                <w:szCs w:val="20"/>
                <w:lang w:bidi="ar-SA"/>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b/>
                <w:bCs/>
                <w:color w:val="000000"/>
                <w:kern w:val="0"/>
                <w:sz w:val="20"/>
                <w:szCs w:val="20"/>
                <w:lang w:bidi="ar-SA"/>
              </w:rPr>
            </w:pPr>
            <w:r>
              <w:rPr>
                <w:rFonts w:ascii="Times New Roman" w:cs="宋体" w:hAnsi="Times New Roman"/>
                <w:b/>
                <w:bCs/>
                <w:color w:val="000000"/>
                <w:kern w:val="0"/>
                <w:sz w:val="20"/>
                <w:szCs w:val="20"/>
                <w:lang w:bidi="ar-SA"/>
              </w:rPr>
              <w:t>221</w:t>
            </w:r>
          </w:p>
        </w:tc>
        <w:tc>
          <w:tcPr>
            <w:tcW w:w="2126" w:type="dxa"/>
            <w:tcBorders>
              <w:top w:val="nil"/>
              <w:left w:val="nil"/>
              <w:bottom w:val="single" w:sz="4" w:space="0" w:color="auto"/>
              <w:right w:val="single" w:sz="4" w:space="0" w:color="auto"/>
            </w:tcBorders>
            <w:shd w:val="clear" w:color="auto" w:fill="auto"/>
            <w:vAlign w:val="center"/>
          </w:tcPr>
          <w:p>
            <w:pPr>
              <w:widowControl/>
              <w:autoSpaceDN w:val="0"/>
              <w:jc w:val="left"/>
              <w:rPr>
                <w:rFonts w:ascii="Times New Roman" w:cs="宋体" w:hAnsi="Times New Roman"/>
                <w:b/>
                <w:bCs/>
                <w:color w:val="000000"/>
                <w:kern w:val="0"/>
                <w:sz w:val="20"/>
                <w:szCs w:val="20"/>
                <w:lang w:bidi="ar-SA"/>
              </w:rPr>
            </w:pPr>
            <w:r>
              <w:rPr>
                <w:rFonts w:ascii="Times New Roman" w:cs="宋体" w:hAnsi="Times New Roman" w:hint="eastAsia"/>
                <w:b/>
                <w:bCs/>
                <w:color w:val="000000"/>
                <w:kern w:val="0"/>
                <w:sz w:val="20"/>
                <w:szCs w:val="20"/>
                <w:lang w:bidi="ar-SA"/>
              </w:rPr>
              <w:t>住房保障支出</w:t>
            </w:r>
          </w:p>
        </w:tc>
        <w:tc>
          <w:tcPr>
            <w:tcW w:w="133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20"/>
                <w:szCs w:val="20"/>
                <w:lang w:bidi="ar-SA"/>
              </w:rPr>
            </w:pPr>
            <w:r>
              <w:rPr>
                <w:rFonts w:ascii="Times New Roman" w:cs="Times New Roman" w:hAnsi="Times New Roman" w:hint="eastAsia"/>
                <w:b/>
                <w:bCs/>
                <w:color w:val="000000"/>
                <w:kern w:val="0"/>
                <w:sz w:val="20"/>
                <w:szCs w:val="20"/>
                <w:lang w:bidi="ar-SA"/>
              </w:rPr>
              <w:t>68.31</w:t>
            </w:r>
          </w:p>
        </w:tc>
        <w:tc>
          <w:tcPr>
            <w:tcW w:w="133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20"/>
                <w:szCs w:val="20"/>
                <w:lang w:bidi="ar-SA"/>
              </w:rPr>
            </w:pPr>
            <w:r>
              <w:rPr>
                <w:rFonts w:ascii="Times New Roman" w:cs="Times New Roman" w:hAnsi="Times New Roman" w:hint="eastAsia"/>
                <w:b/>
                <w:bCs/>
                <w:color w:val="000000"/>
                <w:kern w:val="0"/>
                <w:sz w:val="20"/>
                <w:szCs w:val="20"/>
                <w:lang w:bidi="ar-SA"/>
              </w:rPr>
              <w:t>68.31</w:t>
            </w:r>
          </w:p>
        </w:tc>
        <w:tc>
          <w:tcPr>
            <w:tcW w:w="1173"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20"/>
                <w:szCs w:val="20"/>
                <w:lang w:bidi="ar-SA"/>
              </w:rPr>
            </w:pPr>
          </w:p>
        </w:tc>
        <w:tc>
          <w:tcPr>
            <w:tcW w:w="993"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b/>
                <w:bCs/>
                <w:color w:val="000000"/>
                <w:kern w:val="0"/>
                <w:sz w:val="20"/>
                <w:szCs w:val="20"/>
                <w:lang w:bidi="ar-SA"/>
              </w:rPr>
            </w:pPr>
          </w:p>
        </w:tc>
        <w:tc>
          <w:tcPr>
            <w:tcW w:w="1134"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color w:val="000000"/>
                <w:kern w:val="0"/>
                <w:sz w:val="20"/>
                <w:szCs w:val="20"/>
                <w:lang w:bidi="ar-SA"/>
              </w:rPr>
            </w:pPr>
          </w:p>
        </w:tc>
        <w:tc>
          <w:tcPr>
            <w:tcW w:w="1275"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color w:val="000000"/>
                <w:kern w:val="0"/>
                <w:sz w:val="20"/>
                <w:szCs w:val="20"/>
                <w:lang w:bidi="ar-SA"/>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b/>
                <w:bCs/>
                <w:color w:val="000000"/>
                <w:kern w:val="0"/>
                <w:sz w:val="20"/>
                <w:szCs w:val="20"/>
                <w:lang w:bidi="ar-SA"/>
              </w:rPr>
            </w:pPr>
            <w:r>
              <w:rPr>
                <w:rFonts w:ascii="Times New Roman" w:cs="宋体" w:hAnsi="Times New Roman"/>
                <w:b/>
                <w:bCs/>
                <w:color w:val="000000"/>
                <w:kern w:val="0"/>
                <w:sz w:val="20"/>
                <w:szCs w:val="20"/>
                <w:lang w:bidi="ar-SA"/>
              </w:rPr>
              <w:t>22102</w:t>
            </w:r>
          </w:p>
        </w:tc>
        <w:tc>
          <w:tcPr>
            <w:tcW w:w="2126" w:type="dxa"/>
            <w:tcBorders>
              <w:top w:val="nil"/>
              <w:left w:val="nil"/>
              <w:bottom w:val="single" w:sz="4" w:space="0" w:color="auto"/>
              <w:right w:val="single" w:sz="4" w:space="0" w:color="auto"/>
            </w:tcBorders>
            <w:shd w:val="clear" w:color="auto" w:fill="auto"/>
            <w:vAlign w:val="center"/>
          </w:tcPr>
          <w:p>
            <w:pPr>
              <w:widowControl/>
              <w:autoSpaceDN w:val="0"/>
              <w:jc w:val="left"/>
              <w:rPr>
                <w:rFonts w:ascii="Times New Roman" w:cs="宋体" w:hAnsi="Times New Roman"/>
                <w:b/>
                <w:bCs/>
                <w:color w:val="000000"/>
                <w:kern w:val="0"/>
                <w:sz w:val="20"/>
                <w:szCs w:val="20"/>
                <w:lang w:bidi="ar-SA"/>
              </w:rPr>
            </w:pPr>
            <w:r>
              <w:rPr>
                <w:rFonts w:ascii="Times New Roman" w:cs="宋体" w:hAnsi="Times New Roman" w:hint="eastAsia"/>
                <w:b/>
                <w:bCs/>
                <w:color w:val="000000"/>
                <w:kern w:val="0"/>
                <w:sz w:val="20"/>
                <w:szCs w:val="20"/>
                <w:lang w:bidi="ar-SA"/>
              </w:rPr>
              <w:t>住房改革支出</w:t>
            </w:r>
          </w:p>
        </w:tc>
        <w:tc>
          <w:tcPr>
            <w:tcW w:w="133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20"/>
                <w:szCs w:val="20"/>
                <w:lang w:bidi="ar-SA"/>
              </w:rPr>
            </w:pPr>
            <w:r>
              <w:rPr>
                <w:rFonts w:ascii="Times New Roman" w:cs="Times New Roman" w:hAnsi="Times New Roman" w:hint="eastAsia"/>
                <w:b/>
                <w:bCs/>
                <w:color w:val="000000"/>
                <w:kern w:val="0"/>
                <w:sz w:val="20"/>
                <w:szCs w:val="20"/>
                <w:lang w:bidi="ar-SA"/>
              </w:rPr>
              <w:t>68.31</w:t>
            </w:r>
          </w:p>
        </w:tc>
        <w:tc>
          <w:tcPr>
            <w:tcW w:w="133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20"/>
                <w:szCs w:val="20"/>
                <w:lang w:bidi="ar-SA"/>
              </w:rPr>
            </w:pPr>
            <w:r>
              <w:rPr>
                <w:rFonts w:ascii="Times New Roman" w:cs="Times New Roman" w:hAnsi="Times New Roman" w:hint="eastAsia"/>
                <w:b/>
                <w:bCs/>
                <w:color w:val="000000"/>
                <w:kern w:val="0"/>
                <w:sz w:val="20"/>
                <w:szCs w:val="20"/>
                <w:lang w:bidi="ar-SA"/>
              </w:rPr>
              <w:t>68.31</w:t>
            </w:r>
          </w:p>
        </w:tc>
        <w:tc>
          <w:tcPr>
            <w:tcW w:w="1173"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p>
        </w:tc>
        <w:tc>
          <w:tcPr>
            <w:tcW w:w="993"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color w:val="000000"/>
                <w:kern w:val="0"/>
                <w:sz w:val="20"/>
                <w:szCs w:val="20"/>
                <w:lang w:bidi="ar-SA"/>
              </w:rPr>
            </w:pPr>
          </w:p>
        </w:tc>
        <w:tc>
          <w:tcPr>
            <w:tcW w:w="1134"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color w:val="000000"/>
                <w:kern w:val="0"/>
                <w:sz w:val="20"/>
                <w:szCs w:val="20"/>
                <w:lang w:bidi="ar-SA"/>
              </w:rPr>
            </w:pPr>
          </w:p>
        </w:tc>
        <w:tc>
          <w:tcPr>
            <w:tcW w:w="1275"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color w:val="000000"/>
                <w:kern w:val="0"/>
                <w:sz w:val="20"/>
                <w:szCs w:val="20"/>
                <w:lang w:bidi="ar-SA"/>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20"/>
                <w:szCs w:val="20"/>
                <w:lang w:bidi="ar-SA"/>
              </w:rPr>
            </w:pPr>
            <w:r>
              <w:rPr>
                <w:rFonts w:ascii="Times New Roman" w:cs="宋体" w:hAnsi="Times New Roman"/>
                <w:color w:val="000000"/>
                <w:kern w:val="0"/>
                <w:sz w:val="20"/>
                <w:szCs w:val="20"/>
                <w:lang w:bidi="ar-SA"/>
              </w:rPr>
              <w:t>2210201</w:t>
            </w:r>
          </w:p>
        </w:tc>
        <w:tc>
          <w:tcPr>
            <w:tcW w:w="2126" w:type="dxa"/>
            <w:tcBorders>
              <w:top w:val="nil"/>
              <w:left w:val="nil"/>
              <w:bottom w:val="single" w:sz="4" w:space="0" w:color="auto"/>
              <w:right w:val="single" w:sz="4" w:space="0" w:color="auto"/>
            </w:tcBorders>
            <w:shd w:val="clear" w:color="auto" w:fill="auto"/>
            <w:vAlign w:val="center"/>
          </w:tcPr>
          <w:p>
            <w:pPr>
              <w:widowControl/>
              <w:autoSpaceDN w:val="0"/>
              <w:jc w:val="left"/>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住房公积金</w:t>
            </w:r>
          </w:p>
        </w:tc>
        <w:tc>
          <w:tcPr>
            <w:tcW w:w="133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r>
              <w:rPr>
                <w:rFonts w:ascii="Times New Roman" w:cs="Times New Roman" w:hAnsi="Times New Roman" w:hint="eastAsia"/>
                <w:color w:val="000000"/>
                <w:kern w:val="0"/>
                <w:sz w:val="20"/>
                <w:szCs w:val="20"/>
                <w:lang w:bidi="ar-SA"/>
              </w:rPr>
              <w:t>54.87</w:t>
            </w:r>
          </w:p>
        </w:tc>
        <w:tc>
          <w:tcPr>
            <w:tcW w:w="133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r>
              <w:rPr>
                <w:rFonts w:ascii="Times New Roman" w:cs="Times New Roman" w:hAnsi="Times New Roman" w:hint="eastAsia"/>
                <w:color w:val="000000"/>
                <w:kern w:val="0"/>
                <w:sz w:val="20"/>
                <w:szCs w:val="20"/>
                <w:lang w:bidi="ar-SA"/>
              </w:rPr>
              <w:t>54.87</w:t>
            </w:r>
          </w:p>
        </w:tc>
        <w:tc>
          <w:tcPr>
            <w:tcW w:w="1173"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p>
        </w:tc>
        <w:tc>
          <w:tcPr>
            <w:tcW w:w="993"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color w:val="000000"/>
                <w:kern w:val="0"/>
                <w:sz w:val="20"/>
                <w:szCs w:val="20"/>
                <w:lang w:bidi="ar-SA"/>
              </w:rPr>
            </w:pPr>
          </w:p>
        </w:tc>
        <w:tc>
          <w:tcPr>
            <w:tcW w:w="1134"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color w:val="000000"/>
                <w:kern w:val="0"/>
                <w:sz w:val="20"/>
                <w:szCs w:val="20"/>
                <w:lang w:bidi="ar-SA"/>
              </w:rPr>
            </w:pPr>
          </w:p>
        </w:tc>
        <w:tc>
          <w:tcPr>
            <w:tcW w:w="1275"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color w:val="000000"/>
                <w:kern w:val="0"/>
                <w:sz w:val="20"/>
                <w:szCs w:val="20"/>
                <w:lang w:bidi="ar-SA"/>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20"/>
                <w:szCs w:val="20"/>
                <w:lang w:bidi="ar-SA"/>
              </w:rPr>
            </w:pPr>
            <w:r>
              <w:rPr>
                <w:rFonts w:ascii="Times New Roman" w:cs="宋体" w:hAnsi="Times New Roman"/>
                <w:color w:val="000000"/>
                <w:kern w:val="0"/>
                <w:sz w:val="20"/>
                <w:szCs w:val="20"/>
                <w:lang w:bidi="ar-SA"/>
              </w:rPr>
              <w:t>2210203</w:t>
            </w:r>
          </w:p>
        </w:tc>
        <w:tc>
          <w:tcPr>
            <w:tcW w:w="2126" w:type="dxa"/>
            <w:tcBorders>
              <w:top w:val="nil"/>
              <w:left w:val="nil"/>
              <w:bottom w:val="single" w:sz="4" w:space="0" w:color="auto"/>
              <w:right w:val="single" w:sz="4" w:space="0" w:color="auto"/>
            </w:tcBorders>
            <w:shd w:val="clear" w:color="auto" w:fill="auto"/>
            <w:vAlign w:val="center"/>
          </w:tcPr>
          <w:p>
            <w:pPr>
              <w:widowControl/>
              <w:autoSpaceDN w:val="0"/>
              <w:jc w:val="left"/>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购房补贴</w:t>
            </w:r>
          </w:p>
        </w:tc>
        <w:tc>
          <w:tcPr>
            <w:tcW w:w="133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r>
              <w:rPr>
                <w:rFonts w:ascii="Times New Roman" w:cs="Times New Roman" w:hAnsi="Times New Roman" w:hint="eastAsia"/>
                <w:color w:val="000000"/>
                <w:kern w:val="0"/>
                <w:sz w:val="20"/>
                <w:szCs w:val="20"/>
                <w:lang w:bidi="ar-SA"/>
              </w:rPr>
              <w:t>13.44</w:t>
            </w:r>
          </w:p>
        </w:tc>
        <w:tc>
          <w:tcPr>
            <w:tcW w:w="133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r>
              <w:rPr>
                <w:rFonts w:ascii="Times New Roman" w:cs="Times New Roman" w:hAnsi="Times New Roman" w:hint="eastAsia"/>
                <w:color w:val="000000"/>
                <w:kern w:val="0"/>
                <w:sz w:val="20"/>
                <w:szCs w:val="20"/>
                <w:lang w:bidi="ar-SA"/>
              </w:rPr>
              <w:t>13.44</w:t>
            </w:r>
          </w:p>
        </w:tc>
        <w:tc>
          <w:tcPr>
            <w:tcW w:w="1173"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0"/>
                <w:szCs w:val="20"/>
                <w:lang w:bidi="ar-SA"/>
              </w:rPr>
            </w:pPr>
          </w:p>
        </w:tc>
        <w:tc>
          <w:tcPr>
            <w:tcW w:w="993"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color w:val="000000"/>
                <w:kern w:val="0"/>
                <w:sz w:val="20"/>
                <w:szCs w:val="20"/>
                <w:lang w:bidi="ar-SA"/>
              </w:rPr>
            </w:pPr>
          </w:p>
        </w:tc>
        <w:tc>
          <w:tcPr>
            <w:tcW w:w="1134"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color w:val="000000"/>
                <w:kern w:val="0"/>
                <w:sz w:val="20"/>
                <w:szCs w:val="20"/>
                <w:lang w:bidi="ar-SA"/>
              </w:rPr>
            </w:pPr>
          </w:p>
        </w:tc>
        <w:tc>
          <w:tcPr>
            <w:tcW w:w="1275"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color w:val="000000"/>
                <w:kern w:val="0"/>
                <w:sz w:val="20"/>
                <w:szCs w:val="20"/>
                <w:lang w:bidi="ar-SA"/>
              </w:rPr>
            </w:pPr>
          </w:p>
        </w:tc>
      </w:tr>
      <w:tr>
        <w:trPr>
          <w:trHeight w:val="360"/>
        </w:trPr>
        <w:tc>
          <w:tcPr>
            <w:tcW w:w="3245" w:type="dxa"/>
            <w:gridSpan w:val="2"/>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center"/>
              <w:rPr>
                <w:rFonts w:ascii="Times New Roman" w:cs="宋体" w:hAnsi="Times New Roman"/>
                <w:b/>
                <w:bCs/>
                <w:color w:val="000000"/>
                <w:kern w:val="0"/>
                <w:sz w:val="20"/>
                <w:szCs w:val="20"/>
                <w:lang w:bidi="ar-SA"/>
              </w:rPr>
            </w:pPr>
            <w:r>
              <w:rPr>
                <w:rFonts w:ascii="Times New Roman" w:cs="宋体" w:hAnsi="Times New Roman" w:hint="eastAsia"/>
                <w:b/>
                <w:bCs/>
                <w:color w:val="000000"/>
                <w:kern w:val="0"/>
                <w:sz w:val="20"/>
                <w:szCs w:val="20"/>
                <w:lang w:bidi="ar-SA"/>
              </w:rPr>
              <w:t>合</w:t>
            </w:r>
            <w:r>
              <w:rPr>
                <w:rFonts w:ascii="Times New Roman" w:cs="宋体" w:hAnsi="Times New Roman"/>
                <w:b/>
                <w:bCs/>
                <w:color w:val="000000"/>
                <w:kern w:val="0"/>
                <w:sz w:val="20"/>
                <w:szCs w:val="20"/>
                <w:lang w:bidi="ar-SA"/>
              </w:rPr>
              <w:t xml:space="preserve">      </w:t>
            </w:r>
            <w:r>
              <w:rPr>
                <w:rFonts w:ascii="Times New Roman" w:cs="宋体" w:hAnsi="Times New Roman" w:hint="eastAsia"/>
                <w:b/>
                <w:bCs/>
                <w:color w:val="000000"/>
                <w:kern w:val="0"/>
                <w:sz w:val="20"/>
                <w:szCs w:val="20"/>
                <w:lang w:bidi="ar-SA"/>
              </w:rPr>
              <w:t>计</w:t>
            </w:r>
          </w:p>
        </w:tc>
        <w:tc>
          <w:tcPr>
            <w:tcW w:w="133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20"/>
                <w:szCs w:val="20"/>
                <w:lang w:bidi="ar-SA"/>
              </w:rPr>
            </w:pPr>
            <w:r>
              <w:rPr>
                <w:rFonts w:ascii="Times New Roman" w:cs="Times New Roman" w:hAnsi="Times New Roman" w:hint="eastAsia"/>
                <w:b/>
                <w:bCs/>
                <w:color w:val="000000"/>
                <w:kern w:val="0"/>
                <w:sz w:val="20"/>
                <w:szCs w:val="20"/>
                <w:lang w:bidi="ar-SA"/>
              </w:rPr>
              <w:t>982.95</w:t>
            </w:r>
          </w:p>
        </w:tc>
        <w:tc>
          <w:tcPr>
            <w:tcW w:w="133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20"/>
                <w:szCs w:val="20"/>
                <w:lang w:bidi="ar-SA"/>
              </w:rPr>
            </w:pPr>
            <w:r>
              <w:rPr>
                <w:rFonts w:ascii="Times New Roman" w:cs="Times New Roman" w:hAnsi="Times New Roman" w:hint="eastAsia"/>
                <w:b/>
                <w:bCs/>
                <w:color w:val="000000"/>
                <w:kern w:val="0"/>
                <w:sz w:val="20"/>
                <w:szCs w:val="20"/>
                <w:lang w:bidi="ar-SA"/>
              </w:rPr>
              <w:t>720.37</w:t>
            </w:r>
          </w:p>
        </w:tc>
        <w:tc>
          <w:tcPr>
            <w:tcW w:w="1173"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20"/>
                <w:szCs w:val="20"/>
                <w:lang w:bidi="ar-SA"/>
              </w:rPr>
            </w:pPr>
            <w:r>
              <w:rPr>
                <w:rFonts w:ascii="Times New Roman" w:cs="Times New Roman" w:hAnsi="Times New Roman" w:hint="eastAsia"/>
                <w:b/>
                <w:bCs/>
                <w:color w:val="000000"/>
                <w:kern w:val="0"/>
                <w:sz w:val="20"/>
                <w:szCs w:val="20"/>
                <w:lang w:bidi="ar-SA"/>
              </w:rPr>
              <w:t>262.58</w:t>
            </w:r>
          </w:p>
        </w:tc>
        <w:tc>
          <w:tcPr>
            <w:tcW w:w="993"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b/>
                <w:bCs/>
                <w:color w:val="000000"/>
                <w:kern w:val="0"/>
                <w:sz w:val="20"/>
                <w:szCs w:val="20"/>
                <w:lang w:bidi="ar-SA"/>
              </w:rPr>
            </w:pPr>
          </w:p>
        </w:tc>
        <w:tc>
          <w:tcPr>
            <w:tcW w:w="1134"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b/>
                <w:bCs/>
                <w:color w:val="000000"/>
                <w:kern w:val="0"/>
                <w:sz w:val="20"/>
                <w:szCs w:val="20"/>
                <w:lang w:bidi="ar-SA"/>
              </w:rPr>
            </w:pPr>
          </w:p>
        </w:tc>
        <w:tc>
          <w:tcPr>
            <w:tcW w:w="1275"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b/>
                <w:bCs/>
                <w:color w:val="000000"/>
                <w:kern w:val="0"/>
                <w:sz w:val="20"/>
                <w:szCs w:val="20"/>
                <w:lang w:bidi="ar-SA"/>
              </w:rPr>
            </w:pPr>
          </w:p>
        </w:tc>
      </w:tr>
    </w:tbl>
    <w:p>
      <w:pPr>
        <w:widowControl/>
        <w:jc w:val="left"/>
        <w:rPr>
          <w:rFonts w:ascii="宋体" w:cs="宋体"/>
          <w:kern w:val="0"/>
          <w:sz w:val="24"/>
          <w:szCs w:val="24"/>
        </w:rPr>
        <w:sectPr>
          <w:pgSz w:w="11906" w:h="16838"/>
          <w:pgMar w:top="1440" w:right="1800" w:bottom="1440" w:left="1800" w:header="851" w:footer="992" w:gutter="0"/>
          <w:docGrid w:type="lines" w:linePitch="312" w:charSpace="0"/>
        </w:sectPr>
      </w:pPr>
    </w:p>
    <w:tbl>
      <w:tblPr>
        <w:jc w:val="center"/>
        <w:tblW w:w="13892"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253"/>
        <w:gridCol w:w="2693"/>
        <w:gridCol w:w="4253"/>
        <w:gridCol w:w="2693"/>
      </w:tblGrid>
      <w:tr>
        <w:trPr>
          <w:trHeight w:val="319"/>
        </w:trPr>
        <w:tc>
          <w:tcPr>
            <w:tcW w:w="11199" w:type="dxa"/>
            <w:gridSpan w:val="3"/>
            <w:tcBorders>
              <w:top w:val="nil"/>
              <w:left w:val="nil"/>
              <w:bottom w:val="nil"/>
              <w:right w:val="nil"/>
            </w:tcBorders>
            <w:shd w:val="clear" w:color="auto" w:fill="auto"/>
            <w:noWrap/>
            <w:vAlign w:val="center"/>
          </w:tcPr>
          <w:p>
            <w:pPr>
              <w:widowControl/>
              <w:autoSpaceDN w:val="0"/>
              <w:jc w:val="left"/>
              <w:rPr>
                <w:rFonts w:ascii="Times New Roman" w:cs="宋体" w:hAnsi="Times New Roman"/>
                <w:kern w:val="0"/>
                <w:sz w:val="24"/>
                <w:szCs w:val="24"/>
                <w:lang w:bidi="ar-SA"/>
              </w:rPr>
            </w:pPr>
          </w:p>
        </w:tc>
        <w:tc>
          <w:tcPr>
            <w:tcW w:w="2693" w:type="dxa"/>
            <w:tcBorders>
              <w:top w:val="nil"/>
              <w:left w:val="nil"/>
              <w:bottom w:val="nil"/>
              <w:right w:val="nil"/>
            </w:tcBorders>
            <w:shd w:val="clear" w:color="auto" w:fill="auto"/>
            <w:noWrap/>
            <w:vAlign w:val="center"/>
          </w:tcPr>
          <w:p>
            <w:pPr>
              <w:widowControl/>
              <w:autoSpaceDN w:val="0"/>
              <w:jc w:val="right"/>
              <w:rPr>
                <w:rFonts w:ascii="Times New Roman" w:eastAsia="黑体" w:cs="宋体" w:hAnsi="Times New Roman"/>
                <w:color w:val="000000"/>
                <w:kern w:val="0"/>
                <w:sz w:val="20"/>
                <w:szCs w:val="20"/>
                <w:lang w:bidi="ar-SA"/>
              </w:rPr>
            </w:pPr>
            <w:r>
              <w:rPr>
                <w:rFonts w:ascii="Times New Roman" w:eastAsia="黑体" w:cs="宋体" w:hAnsi="Times New Roman" w:hint="eastAsia"/>
                <w:color w:val="000000"/>
                <w:kern w:val="0"/>
                <w:sz w:val="20"/>
                <w:szCs w:val="20"/>
                <w:lang w:bidi="ar-SA"/>
              </w:rPr>
              <w:t>部门公开表</w:t>
            </w:r>
            <w:r>
              <w:rPr>
                <w:rFonts w:ascii="Times New Roman" w:eastAsia="黑体" w:cs="宋体" w:hAnsi="Times New Roman"/>
                <w:color w:val="000000"/>
                <w:kern w:val="0"/>
                <w:sz w:val="20"/>
                <w:szCs w:val="20"/>
                <w:lang w:bidi="ar-SA"/>
              </w:rPr>
              <w:t>4</w:t>
            </w:r>
          </w:p>
        </w:tc>
      </w:tr>
      <w:tr>
        <w:trPr>
          <w:trHeight w:val="540"/>
        </w:trPr>
        <w:tc>
          <w:tcPr>
            <w:tcW w:w="13892" w:type="dxa"/>
            <w:gridSpan w:val="4"/>
            <w:tcBorders>
              <w:top w:val="nil"/>
              <w:left w:val="nil"/>
              <w:bottom w:val="nil"/>
              <w:right w:val="nil"/>
            </w:tcBorders>
            <w:shd w:val="clear" w:color="auto" w:fill="auto"/>
            <w:noWrap/>
            <w:vAlign w:val="center"/>
          </w:tcPr>
          <w:p>
            <w:pPr>
              <w:widowControl/>
              <w:autoSpaceDN w:val="0"/>
              <w:jc w:val="center"/>
              <w:rPr>
                <w:rFonts w:ascii="Times New Roman" w:cs="宋体" w:hAnsi="Times New Roman"/>
                <w:color w:val="000000"/>
                <w:kern w:val="0"/>
                <w:sz w:val="36"/>
                <w:szCs w:val="36"/>
                <w:lang w:bidi="ar-SA"/>
              </w:rPr>
            </w:pPr>
            <w:r>
              <w:rPr>
                <w:rFonts w:ascii="Times New Roman" w:cs="宋体" w:hAnsi="Times New Roman" w:hint="eastAsia"/>
                <w:color w:val="000000"/>
                <w:kern w:val="0"/>
                <w:sz w:val="36"/>
                <w:szCs w:val="36"/>
                <w:lang w:bidi="ar-SA"/>
              </w:rPr>
              <w:t>财政拨款收支总表</w:t>
            </w:r>
          </w:p>
        </w:tc>
      </w:tr>
      <w:tr>
        <w:trPr>
          <w:trHeight w:val="360"/>
        </w:trPr>
        <w:tc>
          <w:tcPr>
            <w:tcW w:w="4253" w:type="dxa"/>
            <w:tcBorders>
              <w:top w:val="nil"/>
              <w:left w:val="nil"/>
              <w:bottom w:val="single" w:sz="4" w:space="0" w:color="auto"/>
              <w:right w:val="nil"/>
            </w:tcBorders>
            <w:shd w:val="clear" w:color="auto" w:fill="auto"/>
            <w:noWrap/>
            <w:vAlign w:val="center"/>
          </w:tcPr>
          <w:p>
            <w:pPr>
              <w:widowControl/>
              <w:autoSpaceDN w:val="0"/>
              <w:jc w:val="left"/>
              <w:rPr>
                <w:rFonts w:ascii="Times New Roman" w:cs="宋体" w:hAnsi="Times New Roman"/>
                <w:color w:val="000000"/>
                <w:kern w:val="0"/>
                <w:sz w:val="18"/>
                <w:szCs w:val="18"/>
                <w:lang w:bidi="ar-SA"/>
              </w:rPr>
            </w:pPr>
            <w:r>
              <w:rPr>
                <w:rFonts w:ascii="Times New Roman" w:cs="宋体" w:hAnsi="Times New Roman" w:hint="eastAsia"/>
                <w:color w:val="000000"/>
                <w:kern w:val="0"/>
                <w:sz w:val="18"/>
                <w:szCs w:val="18"/>
                <w:lang w:bidi="ar-SA"/>
              </w:rPr>
              <w:t>　单位名称：中华人民共和国鄂尔多斯海关</w:t>
            </w:r>
          </w:p>
        </w:tc>
        <w:tc>
          <w:tcPr>
            <w:tcW w:w="2693" w:type="dxa"/>
            <w:tcBorders>
              <w:top w:val="nil"/>
              <w:left w:val="nil"/>
              <w:bottom w:val="single" w:sz="4" w:space="0" w:color="auto"/>
              <w:right w:val="nil"/>
            </w:tcBorders>
            <w:shd w:val="clear" w:color="auto" w:fill="auto"/>
            <w:noWrap/>
            <w:vAlign w:val="center"/>
          </w:tcPr>
          <w:p>
            <w:pPr>
              <w:widowControl/>
              <w:autoSpaceDN w:val="0"/>
              <w:jc w:val="left"/>
              <w:rPr>
                <w:rFonts w:ascii="Times New Roman" w:cs="宋体" w:hAnsi="Times New Roman"/>
                <w:color w:val="000000"/>
                <w:kern w:val="0"/>
                <w:sz w:val="22"/>
                <w:lang w:bidi="ar-SA"/>
              </w:rPr>
            </w:pPr>
            <w:r>
              <w:rPr>
                <w:rFonts w:ascii="Times New Roman" w:cs="宋体" w:hAnsi="Times New Roman" w:hint="eastAsia"/>
                <w:color w:val="000000"/>
                <w:kern w:val="0"/>
                <w:sz w:val="22"/>
                <w:lang w:bidi="ar-SA"/>
              </w:rPr>
              <w:t>　</w:t>
            </w:r>
          </w:p>
        </w:tc>
        <w:tc>
          <w:tcPr>
            <w:tcW w:w="4253" w:type="dxa"/>
            <w:tcBorders>
              <w:top w:val="nil"/>
              <w:left w:val="nil"/>
              <w:bottom w:val="single" w:sz="4" w:space="0" w:color="auto"/>
              <w:right w:val="nil"/>
            </w:tcBorders>
            <w:shd w:val="clear" w:color="auto" w:fill="auto"/>
            <w:noWrap/>
            <w:vAlign w:val="center"/>
          </w:tcPr>
          <w:p>
            <w:pPr>
              <w:widowControl/>
              <w:autoSpaceDN w:val="0"/>
              <w:jc w:val="left"/>
              <w:rPr>
                <w:rFonts w:ascii="Times New Roman" w:cs="宋体" w:hAnsi="Times New Roman"/>
                <w:color w:val="000000"/>
                <w:kern w:val="0"/>
                <w:sz w:val="22"/>
                <w:lang w:bidi="ar-SA"/>
              </w:rPr>
            </w:pPr>
            <w:r>
              <w:rPr>
                <w:rFonts w:ascii="Times New Roman" w:cs="宋体" w:hAnsi="Times New Roman" w:hint="eastAsia"/>
                <w:color w:val="000000"/>
                <w:kern w:val="0"/>
                <w:sz w:val="22"/>
                <w:lang w:bidi="ar-SA"/>
              </w:rPr>
              <w:t>　</w:t>
            </w:r>
          </w:p>
        </w:tc>
        <w:tc>
          <w:tcPr>
            <w:tcW w:w="2693" w:type="dxa"/>
            <w:tcBorders>
              <w:top w:val="nil"/>
              <w:left w:val="nil"/>
              <w:bottom w:val="nil"/>
              <w:right w:val="nil"/>
            </w:tcBorders>
            <w:shd w:val="clear" w:color="auto" w:fill="auto"/>
            <w:noWrap/>
            <w:vAlign w:val="center"/>
          </w:tcPr>
          <w:p>
            <w:pPr>
              <w:widowControl/>
              <w:autoSpaceDN w:val="0"/>
              <w:jc w:val="right"/>
              <w:rPr>
                <w:rFonts w:ascii="Times New Roman" w:cs="宋体" w:hAnsi="Times New Roman"/>
                <w:color w:val="000000"/>
                <w:kern w:val="0"/>
                <w:sz w:val="18"/>
                <w:szCs w:val="18"/>
                <w:lang w:bidi="ar-SA"/>
              </w:rPr>
            </w:pPr>
            <w:r>
              <w:rPr>
                <w:rFonts w:ascii="Times New Roman" w:cs="宋体" w:hAnsi="Times New Roman" w:hint="eastAsia"/>
                <w:color w:val="000000"/>
                <w:kern w:val="0"/>
                <w:sz w:val="18"/>
                <w:szCs w:val="18"/>
                <w:lang w:bidi="ar-SA"/>
              </w:rPr>
              <w:t>单位：万元</w:t>
            </w:r>
          </w:p>
        </w:tc>
      </w:tr>
      <w:tr>
        <w:trPr>
          <w:trHeight w:val="360"/>
        </w:trPr>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center"/>
              <w:rPr>
                <w:rFonts w:ascii="Times New Roman" w:cs="宋体" w:hAnsi="Times New Roman"/>
                <w:color w:val="000000"/>
                <w:kern w:val="0"/>
                <w:sz w:val="24"/>
                <w:szCs w:val="24"/>
                <w:lang w:bidi="ar-SA"/>
              </w:rPr>
            </w:pPr>
            <w:r>
              <w:rPr>
                <w:rFonts w:ascii="Times New Roman" w:cs="宋体" w:hAnsi="Times New Roman" w:hint="eastAsia"/>
                <w:color w:val="000000"/>
                <w:kern w:val="0"/>
                <w:sz w:val="24"/>
                <w:szCs w:val="24"/>
                <w:lang w:bidi="ar-SA"/>
              </w:rPr>
              <w:t>收</w:t>
            </w:r>
            <w:r>
              <w:rPr>
                <w:rFonts w:ascii="Times New Roman" w:cs="宋体" w:hAnsi="Times New Roman"/>
                <w:color w:val="000000"/>
                <w:kern w:val="0"/>
                <w:sz w:val="24"/>
                <w:szCs w:val="24"/>
                <w:lang w:bidi="ar-SA"/>
              </w:rPr>
              <w:t xml:space="preserve">      </w:t>
            </w:r>
            <w:r>
              <w:rPr>
                <w:rFonts w:ascii="Times New Roman" w:cs="宋体" w:hAnsi="Times New Roman" w:hint="eastAsia"/>
                <w:color w:val="000000"/>
                <w:kern w:val="0"/>
                <w:sz w:val="24"/>
                <w:szCs w:val="24"/>
                <w:lang w:bidi="ar-SA"/>
              </w:rPr>
              <w:t>入</w:t>
            </w:r>
          </w:p>
        </w:tc>
        <w:tc>
          <w:tcPr>
            <w:tcW w:w="6946" w:type="dxa"/>
            <w:gridSpan w:val="2"/>
            <w:tcBorders>
              <w:top w:val="single" w:sz="4" w:space="0" w:color="auto"/>
              <w:left w:val="nil"/>
              <w:bottom w:val="single" w:sz="4" w:space="0" w:color="auto"/>
              <w:right w:val="single" w:sz="4" w:space="0" w:color="auto"/>
            </w:tcBorders>
            <w:shd w:val="clear" w:color="auto" w:fill="auto"/>
            <w:vAlign w:val="center"/>
          </w:tcPr>
          <w:p>
            <w:pPr>
              <w:widowControl/>
              <w:autoSpaceDN w:val="0"/>
              <w:jc w:val="center"/>
              <w:rPr>
                <w:rFonts w:ascii="Times New Roman" w:cs="宋体" w:hAnsi="Times New Roman"/>
                <w:color w:val="000000"/>
                <w:kern w:val="0"/>
                <w:sz w:val="24"/>
                <w:szCs w:val="24"/>
                <w:lang w:bidi="ar-SA"/>
              </w:rPr>
            </w:pPr>
            <w:r>
              <w:rPr>
                <w:rFonts w:ascii="Times New Roman" w:cs="宋体" w:hAnsi="Times New Roman" w:hint="eastAsia"/>
                <w:color w:val="000000"/>
                <w:kern w:val="0"/>
                <w:sz w:val="24"/>
                <w:szCs w:val="24"/>
                <w:lang w:bidi="ar-SA"/>
              </w:rPr>
              <w:t>支</w:t>
            </w:r>
            <w:r>
              <w:rPr>
                <w:rFonts w:ascii="Times New Roman" w:cs="宋体" w:hAnsi="Times New Roman"/>
                <w:color w:val="000000"/>
                <w:kern w:val="0"/>
                <w:sz w:val="24"/>
                <w:szCs w:val="24"/>
                <w:lang w:bidi="ar-SA"/>
              </w:rPr>
              <w:t xml:space="preserve">      </w:t>
            </w:r>
            <w:r>
              <w:rPr>
                <w:rFonts w:ascii="Times New Roman" w:cs="宋体" w:hAnsi="Times New Roman" w:hint="eastAsia"/>
                <w:color w:val="000000"/>
                <w:kern w:val="0"/>
                <w:sz w:val="24"/>
                <w:szCs w:val="24"/>
                <w:lang w:bidi="ar-SA"/>
              </w:rPr>
              <w:t>出</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Times New Roman" w:cs="宋体" w:hAnsi="Times New Roman"/>
                <w:color w:val="000000"/>
                <w:kern w:val="0"/>
                <w:sz w:val="24"/>
                <w:szCs w:val="24"/>
                <w:lang w:bidi="ar-SA"/>
              </w:rPr>
            </w:pPr>
            <w:r>
              <w:rPr>
                <w:rFonts w:ascii="Times New Roman" w:cs="宋体" w:hAnsi="Times New Roman" w:hint="eastAsia"/>
                <w:color w:val="000000"/>
                <w:kern w:val="0"/>
                <w:sz w:val="24"/>
                <w:szCs w:val="24"/>
                <w:lang w:bidi="ar-SA"/>
              </w:rPr>
              <w:t>项目</w:t>
            </w:r>
          </w:p>
        </w:tc>
        <w:tc>
          <w:tcPr>
            <w:tcW w:w="2693"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Times New Roman" w:cs="宋体" w:hAnsi="Times New Roman"/>
                <w:color w:val="000000"/>
                <w:kern w:val="0"/>
                <w:sz w:val="24"/>
                <w:szCs w:val="24"/>
                <w:lang w:bidi="ar-SA"/>
              </w:rPr>
            </w:pPr>
            <w:r>
              <w:rPr>
                <w:rFonts w:ascii="Times New Roman" w:cs="宋体" w:hAnsi="Times New Roman" w:hint="eastAsia"/>
                <w:color w:val="000000"/>
                <w:kern w:val="0"/>
                <w:sz w:val="24"/>
                <w:szCs w:val="24"/>
                <w:lang w:bidi="ar-SA"/>
              </w:rPr>
              <w:t>预算数</w:t>
            </w:r>
          </w:p>
        </w:tc>
        <w:tc>
          <w:tcPr>
            <w:tcW w:w="4253"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Times New Roman" w:cs="宋体" w:hAnsi="Times New Roman"/>
                <w:color w:val="000000"/>
                <w:kern w:val="0"/>
                <w:sz w:val="24"/>
                <w:szCs w:val="24"/>
                <w:lang w:bidi="ar-SA"/>
              </w:rPr>
            </w:pPr>
            <w:r>
              <w:rPr>
                <w:rFonts w:ascii="Times New Roman" w:cs="宋体" w:hAnsi="Times New Roman" w:hint="eastAsia"/>
                <w:color w:val="000000"/>
                <w:kern w:val="0"/>
                <w:sz w:val="24"/>
                <w:szCs w:val="24"/>
                <w:lang w:bidi="ar-SA"/>
              </w:rPr>
              <w:t>项目</w:t>
            </w:r>
          </w:p>
        </w:tc>
        <w:tc>
          <w:tcPr>
            <w:tcW w:w="2693"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Times New Roman" w:cs="宋体" w:hAnsi="Times New Roman"/>
                <w:color w:val="000000"/>
                <w:kern w:val="0"/>
                <w:sz w:val="24"/>
                <w:szCs w:val="24"/>
                <w:lang w:bidi="ar-SA"/>
              </w:rPr>
            </w:pPr>
            <w:r>
              <w:rPr>
                <w:rFonts w:ascii="Times New Roman" w:cs="宋体" w:hAnsi="Times New Roman" w:hint="eastAsia"/>
                <w:color w:val="000000"/>
                <w:kern w:val="0"/>
                <w:sz w:val="24"/>
                <w:szCs w:val="24"/>
                <w:lang w:bidi="ar-SA"/>
              </w:rPr>
              <w:t>预算数</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24"/>
                <w:szCs w:val="24"/>
                <w:lang w:bidi="ar-SA"/>
              </w:rPr>
            </w:pPr>
            <w:r>
              <w:rPr>
                <w:rFonts w:ascii="Times New Roman" w:cs="宋体" w:hAnsi="Times New Roman" w:hint="eastAsia"/>
                <w:color w:val="000000"/>
                <w:kern w:val="0"/>
                <w:sz w:val="24"/>
                <w:szCs w:val="24"/>
                <w:lang w:bidi="ar-SA"/>
              </w:rPr>
              <w:t>一、本年收入</w:t>
            </w:r>
          </w:p>
        </w:tc>
        <w:tc>
          <w:tcPr>
            <w:tcW w:w="2693"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4"/>
                <w:szCs w:val="24"/>
                <w:lang w:bidi="ar-SA"/>
              </w:rPr>
            </w:pPr>
            <w:r>
              <w:rPr>
                <w:rFonts w:ascii="Times New Roman" w:cs="Times New Roman" w:hAnsi="Times New Roman" w:hint="eastAsia"/>
                <w:color w:val="000000"/>
                <w:kern w:val="0"/>
                <w:sz w:val="24"/>
                <w:szCs w:val="24"/>
                <w:lang w:bidi="ar-SA"/>
              </w:rPr>
              <w:t>837.65</w:t>
            </w:r>
          </w:p>
        </w:tc>
        <w:tc>
          <w:tcPr>
            <w:tcW w:w="4253" w:type="dxa"/>
            <w:tcBorders>
              <w:top w:val="nil"/>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24"/>
                <w:szCs w:val="24"/>
                <w:lang w:bidi="ar-SA"/>
              </w:rPr>
            </w:pPr>
            <w:r>
              <w:rPr>
                <w:rFonts w:ascii="Times New Roman" w:cs="宋体" w:hAnsi="Times New Roman" w:hint="eastAsia"/>
                <w:color w:val="000000"/>
                <w:kern w:val="0"/>
                <w:sz w:val="24"/>
                <w:szCs w:val="24"/>
                <w:lang w:bidi="ar-SA"/>
              </w:rPr>
              <w:t>一、本年支出</w:t>
            </w:r>
          </w:p>
        </w:tc>
        <w:tc>
          <w:tcPr>
            <w:tcW w:w="2693"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4"/>
                <w:szCs w:val="24"/>
                <w:lang w:bidi="ar-SA"/>
              </w:rPr>
            </w:pPr>
            <w:r>
              <w:rPr>
                <w:rFonts w:ascii="Times New Roman" w:cs="Times New Roman" w:hAnsi="Times New Roman" w:hint="eastAsia"/>
                <w:color w:val="000000"/>
                <w:kern w:val="0"/>
                <w:sz w:val="24"/>
                <w:szCs w:val="24"/>
                <w:lang w:bidi="ar-SA"/>
              </w:rPr>
              <w:t>840.73</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24"/>
                <w:szCs w:val="24"/>
                <w:lang w:bidi="ar-SA"/>
              </w:rPr>
            </w:pPr>
            <w:r>
              <w:rPr>
                <w:rFonts w:ascii="Times New Roman" w:cs="宋体" w:hAnsi="Times New Roman" w:hint="eastAsia"/>
                <w:color w:val="000000"/>
                <w:kern w:val="0"/>
                <w:sz w:val="24"/>
                <w:szCs w:val="24"/>
                <w:lang w:bidi="ar-SA"/>
              </w:rPr>
              <w:t>（一）一般公共预算拨款</w:t>
            </w:r>
          </w:p>
        </w:tc>
        <w:tc>
          <w:tcPr>
            <w:tcW w:w="2693"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4"/>
                <w:szCs w:val="24"/>
                <w:lang w:bidi="ar-SA"/>
              </w:rPr>
            </w:pPr>
            <w:r>
              <w:rPr>
                <w:rFonts w:ascii="Times New Roman" w:cs="Times New Roman" w:hAnsi="Times New Roman" w:hint="eastAsia"/>
                <w:color w:val="000000"/>
                <w:kern w:val="0"/>
                <w:sz w:val="24"/>
                <w:szCs w:val="24"/>
                <w:lang w:bidi="ar-SA"/>
              </w:rPr>
              <w:t>837.65</w:t>
            </w:r>
          </w:p>
        </w:tc>
        <w:tc>
          <w:tcPr>
            <w:tcW w:w="4253" w:type="dxa"/>
            <w:tcBorders>
              <w:top w:val="nil"/>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24"/>
                <w:szCs w:val="24"/>
                <w:lang w:bidi="ar-SA"/>
              </w:rPr>
            </w:pPr>
            <w:r>
              <w:rPr>
                <w:rFonts w:ascii="Times New Roman" w:cs="宋体" w:hAnsi="Times New Roman" w:hint="eastAsia"/>
                <w:color w:val="000000"/>
                <w:kern w:val="0"/>
                <w:sz w:val="24"/>
                <w:szCs w:val="24"/>
                <w:lang w:bidi="ar-SA"/>
              </w:rPr>
              <w:t>（一）一般公共服务支出</w:t>
            </w:r>
          </w:p>
        </w:tc>
        <w:tc>
          <w:tcPr>
            <w:tcW w:w="2693"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4"/>
                <w:szCs w:val="24"/>
                <w:lang w:bidi="ar-SA"/>
              </w:rPr>
            </w:pPr>
            <w:r>
              <w:rPr>
                <w:rFonts w:ascii="Times New Roman" w:cs="Times New Roman" w:hAnsi="Times New Roman" w:hint="eastAsia"/>
                <w:color w:val="000000"/>
                <w:kern w:val="0"/>
                <w:sz w:val="24"/>
                <w:szCs w:val="24"/>
                <w:lang w:bidi="ar-SA"/>
              </w:rPr>
              <w:t>681.53</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24"/>
                <w:szCs w:val="24"/>
                <w:lang w:bidi="ar-SA"/>
              </w:rPr>
            </w:pPr>
            <w:r>
              <w:rPr>
                <w:rFonts w:ascii="Times New Roman" w:cs="宋体" w:hAnsi="Times New Roman" w:hint="eastAsia"/>
                <w:color w:val="000000"/>
                <w:kern w:val="0"/>
                <w:sz w:val="24"/>
                <w:szCs w:val="24"/>
                <w:lang w:bidi="ar-SA"/>
              </w:rPr>
              <w:t>（二）政府性基金预算拨款</w:t>
            </w:r>
          </w:p>
        </w:tc>
        <w:tc>
          <w:tcPr>
            <w:tcW w:w="2693"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4"/>
                <w:szCs w:val="24"/>
                <w:lang w:bidi="ar-SA"/>
              </w:rPr>
            </w:pPr>
            <w:r>
              <w:rPr>
                <w:rFonts w:ascii="Times New Roman" w:cs="Times New Roman" w:hAnsi="Times New Roman" w:hint="eastAsia"/>
                <w:color w:val="000000"/>
                <w:kern w:val="0"/>
                <w:sz w:val="24"/>
                <w:szCs w:val="24"/>
                <w:lang w:bidi="ar-SA"/>
              </w:rPr>
              <w:t>　</w:t>
            </w:r>
          </w:p>
        </w:tc>
        <w:tc>
          <w:tcPr>
            <w:tcW w:w="4253" w:type="dxa"/>
            <w:tcBorders>
              <w:top w:val="nil"/>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24"/>
                <w:szCs w:val="24"/>
                <w:lang w:bidi="ar-SA"/>
              </w:rPr>
            </w:pPr>
            <w:r>
              <w:rPr>
                <w:rFonts w:ascii="Times New Roman" w:cs="宋体" w:hAnsi="Times New Roman" w:hint="eastAsia"/>
                <w:color w:val="000000"/>
                <w:kern w:val="0"/>
                <w:sz w:val="24"/>
                <w:szCs w:val="24"/>
                <w:lang w:bidi="ar-SA"/>
              </w:rPr>
              <w:t>（二）社会保障和就业支出</w:t>
            </w:r>
          </w:p>
        </w:tc>
        <w:tc>
          <w:tcPr>
            <w:tcW w:w="2693"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4"/>
                <w:szCs w:val="24"/>
                <w:lang w:bidi="ar-SA"/>
              </w:rPr>
            </w:pPr>
            <w:r>
              <w:rPr>
                <w:rFonts w:ascii="Times New Roman" w:cs="Times New Roman" w:hAnsi="Times New Roman" w:hint="eastAsia"/>
                <w:color w:val="000000"/>
                <w:kern w:val="0"/>
                <w:sz w:val="24"/>
                <w:szCs w:val="24"/>
                <w:lang w:bidi="ar-SA"/>
              </w:rPr>
              <w:t>66.84</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24"/>
                <w:szCs w:val="24"/>
                <w:lang w:bidi="ar-SA"/>
              </w:rPr>
            </w:pPr>
            <w:r>
              <w:rPr>
                <w:rFonts w:ascii="Times New Roman" w:cs="宋体" w:hAnsi="Times New Roman" w:hint="eastAsia"/>
                <w:color w:val="000000"/>
                <w:kern w:val="0"/>
                <w:sz w:val="24"/>
                <w:szCs w:val="24"/>
                <w:lang w:bidi="ar-SA"/>
              </w:rPr>
              <w:t>（三）国有资本经营预算拨款</w:t>
            </w:r>
          </w:p>
        </w:tc>
        <w:tc>
          <w:tcPr>
            <w:tcW w:w="2693"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4"/>
                <w:szCs w:val="24"/>
                <w:lang w:bidi="ar-SA"/>
              </w:rPr>
            </w:pPr>
            <w:r>
              <w:rPr>
                <w:rFonts w:ascii="Times New Roman" w:cs="Times New Roman" w:hAnsi="Times New Roman" w:hint="eastAsia"/>
                <w:color w:val="000000"/>
                <w:kern w:val="0"/>
                <w:sz w:val="24"/>
                <w:szCs w:val="24"/>
                <w:lang w:bidi="ar-SA"/>
              </w:rPr>
              <w:t>　</w:t>
            </w:r>
          </w:p>
        </w:tc>
        <w:tc>
          <w:tcPr>
            <w:tcW w:w="4253" w:type="dxa"/>
            <w:tcBorders>
              <w:top w:val="nil"/>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24"/>
                <w:szCs w:val="24"/>
                <w:lang w:bidi="ar-SA"/>
              </w:rPr>
            </w:pPr>
            <w:r>
              <w:rPr>
                <w:rFonts w:ascii="Times New Roman" w:cs="宋体" w:hAnsi="Times New Roman" w:hint="eastAsia"/>
                <w:color w:val="000000"/>
                <w:kern w:val="0"/>
                <w:sz w:val="24"/>
                <w:szCs w:val="24"/>
                <w:lang w:bidi="ar-SA"/>
              </w:rPr>
              <w:t>（三）卫生健康支出</w:t>
            </w:r>
          </w:p>
        </w:tc>
        <w:tc>
          <w:tcPr>
            <w:tcW w:w="2693"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4"/>
                <w:szCs w:val="24"/>
                <w:lang w:bidi="ar-SA"/>
              </w:rPr>
            </w:pPr>
            <w:r>
              <w:rPr>
                <w:rFonts w:ascii="Times New Roman" w:cs="Times New Roman" w:hAnsi="Times New Roman" w:hint="eastAsia"/>
                <w:color w:val="000000"/>
                <w:kern w:val="0"/>
                <w:sz w:val="24"/>
                <w:szCs w:val="24"/>
                <w:lang w:bidi="ar-SA"/>
              </w:rPr>
              <w:t>24.05</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24"/>
                <w:szCs w:val="24"/>
                <w:lang w:bidi="ar-SA"/>
              </w:rPr>
            </w:pPr>
          </w:p>
        </w:tc>
        <w:tc>
          <w:tcPr>
            <w:tcW w:w="2693"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4"/>
                <w:szCs w:val="24"/>
                <w:lang w:bidi="ar-SA"/>
              </w:rPr>
            </w:pPr>
            <w:r>
              <w:rPr>
                <w:rFonts w:ascii="Times New Roman" w:cs="Times New Roman" w:hAnsi="Times New Roman" w:hint="eastAsia"/>
                <w:color w:val="000000"/>
                <w:kern w:val="0"/>
                <w:sz w:val="24"/>
                <w:szCs w:val="24"/>
                <w:lang w:bidi="ar-SA"/>
              </w:rPr>
              <w:t>　</w:t>
            </w:r>
          </w:p>
        </w:tc>
        <w:tc>
          <w:tcPr>
            <w:tcW w:w="4253" w:type="dxa"/>
            <w:tcBorders>
              <w:top w:val="nil"/>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24"/>
                <w:szCs w:val="24"/>
                <w:lang w:bidi="ar-SA"/>
              </w:rPr>
            </w:pPr>
            <w:r>
              <w:rPr>
                <w:rFonts w:ascii="Times New Roman" w:cs="宋体" w:hAnsi="Times New Roman" w:hint="eastAsia"/>
                <w:color w:val="000000"/>
                <w:kern w:val="0"/>
                <w:sz w:val="24"/>
                <w:szCs w:val="24"/>
                <w:lang w:bidi="ar-SA"/>
              </w:rPr>
              <w:t>（四）住房保障支出</w:t>
            </w:r>
          </w:p>
        </w:tc>
        <w:tc>
          <w:tcPr>
            <w:tcW w:w="2693"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4"/>
                <w:szCs w:val="24"/>
                <w:lang w:bidi="ar-SA"/>
              </w:rPr>
            </w:pPr>
            <w:r>
              <w:rPr>
                <w:rFonts w:ascii="Times New Roman" w:cs="Times New Roman" w:hAnsi="Times New Roman" w:hint="eastAsia"/>
                <w:color w:val="000000"/>
                <w:kern w:val="0"/>
                <w:sz w:val="24"/>
                <w:szCs w:val="24"/>
                <w:lang w:bidi="ar-SA"/>
              </w:rPr>
              <w:t>68.31</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24"/>
                <w:szCs w:val="24"/>
                <w:lang w:bidi="ar-SA"/>
              </w:rPr>
            </w:pPr>
            <w:r>
              <w:rPr>
                <w:rFonts w:ascii="Times New Roman" w:cs="宋体" w:hAnsi="Times New Roman" w:hint="eastAsia"/>
                <w:color w:val="000000"/>
                <w:kern w:val="0"/>
                <w:sz w:val="24"/>
                <w:szCs w:val="24"/>
                <w:lang w:bidi="ar-SA"/>
              </w:rPr>
              <w:t>二、上年结转</w:t>
            </w:r>
          </w:p>
        </w:tc>
        <w:tc>
          <w:tcPr>
            <w:tcW w:w="2693"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4"/>
                <w:szCs w:val="24"/>
                <w:lang w:bidi="ar-SA"/>
              </w:rPr>
            </w:pPr>
            <w:r>
              <w:rPr>
                <w:rFonts w:ascii="Times New Roman" w:cs="Times New Roman" w:hAnsi="Times New Roman" w:hint="eastAsia"/>
                <w:color w:val="000000"/>
                <w:kern w:val="0"/>
                <w:sz w:val="24"/>
                <w:szCs w:val="24"/>
                <w:lang w:bidi="ar-SA"/>
              </w:rPr>
              <w:t>3.08</w:t>
            </w:r>
          </w:p>
        </w:tc>
        <w:tc>
          <w:tcPr>
            <w:tcW w:w="4253" w:type="dxa"/>
            <w:tcBorders>
              <w:top w:val="nil"/>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24"/>
                <w:szCs w:val="24"/>
                <w:lang w:bidi="ar-SA"/>
              </w:rPr>
            </w:pPr>
          </w:p>
        </w:tc>
        <w:tc>
          <w:tcPr>
            <w:tcW w:w="2693"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4"/>
                <w:szCs w:val="24"/>
                <w:lang w:bidi="ar-SA"/>
              </w:rPr>
            </w:pP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24"/>
                <w:szCs w:val="24"/>
                <w:lang w:bidi="ar-SA"/>
              </w:rPr>
            </w:pPr>
            <w:r>
              <w:rPr>
                <w:rFonts w:ascii="Times New Roman" w:cs="宋体" w:hAnsi="Times New Roman" w:hint="eastAsia"/>
                <w:color w:val="000000"/>
                <w:kern w:val="0"/>
                <w:sz w:val="24"/>
                <w:szCs w:val="24"/>
                <w:lang w:bidi="ar-SA"/>
              </w:rPr>
              <w:t>（一）一般公共预算拨款</w:t>
            </w:r>
          </w:p>
        </w:tc>
        <w:tc>
          <w:tcPr>
            <w:tcW w:w="2693"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4"/>
                <w:szCs w:val="24"/>
                <w:lang w:bidi="ar-SA"/>
              </w:rPr>
            </w:pPr>
            <w:r>
              <w:rPr>
                <w:rFonts w:ascii="Times New Roman" w:cs="Times New Roman" w:hAnsi="Times New Roman" w:hint="eastAsia"/>
                <w:color w:val="000000"/>
                <w:kern w:val="0"/>
                <w:sz w:val="24"/>
                <w:szCs w:val="24"/>
                <w:lang w:bidi="ar-SA"/>
              </w:rPr>
              <w:t>3.08</w:t>
            </w:r>
          </w:p>
        </w:tc>
        <w:tc>
          <w:tcPr>
            <w:tcW w:w="4253" w:type="dxa"/>
            <w:tcBorders>
              <w:top w:val="nil"/>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24"/>
                <w:szCs w:val="24"/>
                <w:lang w:bidi="ar-SA"/>
              </w:rPr>
            </w:pPr>
          </w:p>
        </w:tc>
        <w:tc>
          <w:tcPr>
            <w:tcW w:w="2693"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4"/>
                <w:szCs w:val="24"/>
                <w:lang w:bidi="ar-SA"/>
              </w:rPr>
            </w:pP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24"/>
                <w:szCs w:val="24"/>
                <w:lang w:bidi="ar-SA"/>
              </w:rPr>
            </w:pPr>
            <w:r>
              <w:rPr>
                <w:rFonts w:ascii="Times New Roman" w:cs="宋体" w:hAnsi="Times New Roman" w:hint="eastAsia"/>
                <w:color w:val="000000"/>
                <w:kern w:val="0"/>
                <w:sz w:val="24"/>
                <w:szCs w:val="24"/>
                <w:lang w:bidi="ar-SA"/>
              </w:rPr>
              <w:t>（二）政府性基金预算拨款</w:t>
            </w:r>
          </w:p>
        </w:tc>
        <w:tc>
          <w:tcPr>
            <w:tcW w:w="2693"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4"/>
                <w:szCs w:val="24"/>
                <w:lang w:bidi="ar-SA"/>
              </w:rPr>
            </w:pPr>
          </w:p>
        </w:tc>
        <w:tc>
          <w:tcPr>
            <w:tcW w:w="4253" w:type="dxa"/>
            <w:tcBorders>
              <w:top w:val="nil"/>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24"/>
                <w:szCs w:val="24"/>
                <w:lang w:bidi="ar-SA"/>
              </w:rPr>
            </w:pPr>
          </w:p>
        </w:tc>
        <w:tc>
          <w:tcPr>
            <w:tcW w:w="2693"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4"/>
                <w:szCs w:val="24"/>
                <w:lang w:bidi="ar-SA"/>
              </w:rPr>
            </w:pP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24"/>
                <w:szCs w:val="24"/>
                <w:lang w:bidi="ar-SA"/>
              </w:rPr>
            </w:pPr>
            <w:r>
              <w:rPr>
                <w:rFonts w:ascii="Times New Roman" w:cs="宋体" w:hAnsi="Times New Roman" w:hint="eastAsia"/>
                <w:color w:val="000000"/>
                <w:kern w:val="0"/>
                <w:sz w:val="24"/>
                <w:szCs w:val="24"/>
                <w:lang w:bidi="ar-SA"/>
              </w:rPr>
              <w:t>（三）国有资本经营预算拨款</w:t>
            </w:r>
          </w:p>
        </w:tc>
        <w:tc>
          <w:tcPr>
            <w:tcW w:w="2693"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4"/>
                <w:szCs w:val="24"/>
                <w:lang w:bidi="ar-SA"/>
              </w:rPr>
            </w:pPr>
          </w:p>
        </w:tc>
        <w:tc>
          <w:tcPr>
            <w:tcW w:w="4253"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center"/>
              <w:rPr>
                <w:rFonts w:ascii="Times New Roman" w:cs="宋体" w:hAnsi="Times New Roman"/>
                <w:color w:val="000000"/>
                <w:kern w:val="0"/>
                <w:sz w:val="24"/>
                <w:szCs w:val="24"/>
                <w:lang w:bidi="ar-SA"/>
              </w:rPr>
            </w:pPr>
          </w:p>
        </w:tc>
        <w:tc>
          <w:tcPr>
            <w:tcW w:w="2693"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宋体" w:hAnsi="Times New Roman"/>
                <w:color w:val="000000"/>
                <w:kern w:val="0"/>
                <w:sz w:val="24"/>
                <w:szCs w:val="24"/>
                <w:lang w:bidi="ar-SA"/>
              </w:rPr>
            </w:pP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center"/>
              <w:rPr>
                <w:rFonts w:ascii="Times New Roman" w:cs="宋体" w:hAnsi="Times New Roman"/>
                <w:color w:val="000000"/>
                <w:kern w:val="0"/>
                <w:sz w:val="24"/>
                <w:szCs w:val="24"/>
                <w:lang w:bidi="ar-SA"/>
              </w:rPr>
            </w:pPr>
          </w:p>
        </w:tc>
        <w:tc>
          <w:tcPr>
            <w:tcW w:w="2693"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4"/>
                <w:szCs w:val="24"/>
                <w:lang w:bidi="ar-SA"/>
              </w:rPr>
            </w:pPr>
          </w:p>
        </w:tc>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center"/>
              <w:rPr>
                <w:rFonts w:ascii="Times New Roman" w:cs="宋体" w:hAnsi="Times New Roman"/>
                <w:color w:val="000000"/>
                <w:kern w:val="0"/>
                <w:sz w:val="24"/>
                <w:szCs w:val="24"/>
                <w:lang w:bidi="ar-SA"/>
              </w:rPr>
            </w:pPr>
          </w:p>
        </w:tc>
        <w:tc>
          <w:tcPr>
            <w:tcW w:w="2693"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宋体" w:hAnsi="Times New Roman"/>
                <w:color w:val="000000"/>
                <w:kern w:val="0"/>
                <w:sz w:val="24"/>
                <w:szCs w:val="24"/>
                <w:lang w:bidi="ar-SA"/>
              </w:rPr>
            </w:pP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center"/>
              <w:rPr>
                <w:rFonts w:ascii="Times New Roman" w:cs="宋体" w:hAnsi="Times New Roman"/>
                <w:color w:val="000000"/>
                <w:kern w:val="0"/>
                <w:sz w:val="24"/>
                <w:szCs w:val="24"/>
                <w:lang w:bidi="ar-SA"/>
              </w:rPr>
            </w:pPr>
            <w:r>
              <w:rPr>
                <w:rFonts w:ascii="Times New Roman" w:cs="宋体" w:hAnsi="Times New Roman" w:hint="eastAsia"/>
                <w:color w:val="000000"/>
                <w:kern w:val="0"/>
                <w:sz w:val="24"/>
                <w:szCs w:val="24"/>
                <w:lang w:bidi="ar-SA"/>
              </w:rPr>
              <w:t>收</w:t>
            </w:r>
            <w:r>
              <w:rPr>
                <w:rFonts w:ascii="Times New Roman" w:cs="宋体" w:hAnsi="Times New Roman"/>
                <w:color w:val="000000"/>
                <w:kern w:val="0"/>
                <w:sz w:val="24"/>
                <w:szCs w:val="24"/>
                <w:lang w:bidi="ar-SA"/>
              </w:rPr>
              <w:t xml:space="preserve">    </w:t>
            </w:r>
            <w:r>
              <w:rPr>
                <w:rFonts w:ascii="Times New Roman" w:cs="宋体" w:hAnsi="Times New Roman" w:hint="eastAsia"/>
                <w:color w:val="000000"/>
                <w:kern w:val="0"/>
                <w:sz w:val="24"/>
                <w:szCs w:val="24"/>
                <w:lang w:bidi="ar-SA"/>
              </w:rPr>
              <w:t>入</w:t>
            </w:r>
            <w:r>
              <w:rPr>
                <w:rFonts w:ascii="Times New Roman" w:cs="宋体" w:hAnsi="Times New Roman"/>
                <w:color w:val="000000"/>
                <w:kern w:val="0"/>
                <w:sz w:val="24"/>
                <w:szCs w:val="24"/>
                <w:lang w:bidi="ar-SA"/>
              </w:rPr>
              <w:t xml:space="preserve">    </w:t>
            </w:r>
            <w:r>
              <w:rPr>
                <w:rFonts w:ascii="Times New Roman" w:cs="宋体" w:hAnsi="Times New Roman" w:hint="eastAsia"/>
                <w:color w:val="000000"/>
                <w:kern w:val="0"/>
                <w:sz w:val="24"/>
                <w:szCs w:val="24"/>
                <w:lang w:bidi="ar-SA"/>
              </w:rPr>
              <w:t>总</w:t>
            </w:r>
            <w:r>
              <w:rPr>
                <w:rFonts w:ascii="Times New Roman" w:cs="宋体" w:hAnsi="Times New Roman"/>
                <w:color w:val="000000"/>
                <w:kern w:val="0"/>
                <w:sz w:val="24"/>
                <w:szCs w:val="24"/>
                <w:lang w:bidi="ar-SA"/>
              </w:rPr>
              <w:t xml:space="preserve">    </w:t>
            </w:r>
            <w:r>
              <w:rPr>
                <w:rFonts w:ascii="Times New Roman" w:cs="宋体" w:hAnsi="Times New Roman" w:hint="eastAsia"/>
                <w:color w:val="000000"/>
                <w:kern w:val="0"/>
                <w:sz w:val="24"/>
                <w:szCs w:val="24"/>
                <w:lang w:bidi="ar-SA"/>
              </w:rPr>
              <w:t>计</w:t>
            </w:r>
          </w:p>
        </w:tc>
        <w:tc>
          <w:tcPr>
            <w:tcW w:w="2693"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4"/>
                <w:szCs w:val="24"/>
                <w:lang w:bidi="ar-SA"/>
              </w:rPr>
            </w:pPr>
            <w:r>
              <w:rPr>
                <w:rFonts w:ascii="Times New Roman" w:cs="Times New Roman" w:hAnsi="Times New Roman" w:hint="eastAsia"/>
                <w:color w:val="000000"/>
                <w:kern w:val="0"/>
                <w:sz w:val="24"/>
                <w:szCs w:val="24"/>
                <w:lang w:bidi="ar-SA"/>
              </w:rPr>
              <w:t>840.73</w:t>
            </w:r>
          </w:p>
        </w:tc>
        <w:tc>
          <w:tcPr>
            <w:tcW w:w="4253"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center"/>
              <w:rPr>
                <w:rFonts w:ascii="Times New Roman" w:cs="宋体" w:hAnsi="Times New Roman"/>
                <w:color w:val="000000"/>
                <w:kern w:val="0"/>
                <w:sz w:val="24"/>
                <w:szCs w:val="24"/>
                <w:lang w:bidi="ar-SA"/>
              </w:rPr>
            </w:pPr>
            <w:r>
              <w:rPr>
                <w:rFonts w:ascii="Times New Roman" w:cs="宋体" w:hAnsi="Times New Roman" w:hint="eastAsia"/>
                <w:color w:val="000000"/>
                <w:kern w:val="0"/>
                <w:sz w:val="24"/>
                <w:szCs w:val="24"/>
                <w:lang w:bidi="ar-SA"/>
              </w:rPr>
              <w:t>支</w:t>
            </w:r>
            <w:r>
              <w:rPr>
                <w:rFonts w:ascii="Times New Roman" w:cs="宋体" w:hAnsi="Times New Roman"/>
                <w:color w:val="000000"/>
                <w:kern w:val="0"/>
                <w:sz w:val="24"/>
                <w:szCs w:val="24"/>
                <w:lang w:bidi="ar-SA"/>
              </w:rPr>
              <w:t xml:space="preserve">    </w:t>
            </w:r>
            <w:r>
              <w:rPr>
                <w:rFonts w:ascii="Times New Roman" w:cs="宋体" w:hAnsi="Times New Roman" w:hint="eastAsia"/>
                <w:color w:val="000000"/>
                <w:kern w:val="0"/>
                <w:sz w:val="24"/>
                <w:szCs w:val="24"/>
                <w:lang w:bidi="ar-SA"/>
              </w:rPr>
              <w:t>出</w:t>
            </w:r>
            <w:r>
              <w:rPr>
                <w:rFonts w:ascii="Times New Roman" w:cs="宋体" w:hAnsi="Times New Roman"/>
                <w:color w:val="000000"/>
                <w:kern w:val="0"/>
                <w:sz w:val="24"/>
                <w:szCs w:val="24"/>
                <w:lang w:bidi="ar-SA"/>
              </w:rPr>
              <w:t xml:space="preserve">    </w:t>
            </w:r>
            <w:r>
              <w:rPr>
                <w:rFonts w:ascii="Times New Roman" w:cs="宋体" w:hAnsi="Times New Roman" w:hint="eastAsia"/>
                <w:color w:val="000000"/>
                <w:kern w:val="0"/>
                <w:sz w:val="24"/>
                <w:szCs w:val="24"/>
                <w:lang w:bidi="ar-SA"/>
              </w:rPr>
              <w:t>总</w:t>
            </w:r>
            <w:r>
              <w:rPr>
                <w:rFonts w:ascii="Times New Roman" w:cs="宋体" w:hAnsi="Times New Roman"/>
                <w:color w:val="000000"/>
                <w:kern w:val="0"/>
                <w:sz w:val="24"/>
                <w:szCs w:val="24"/>
                <w:lang w:bidi="ar-SA"/>
              </w:rPr>
              <w:t xml:space="preserve">    </w:t>
            </w:r>
            <w:r>
              <w:rPr>
                <w:rFonts w:ascii="Times New Roman" w:cs="宋体" w:hAnsi="Times New Roman" w:hint="eastAsia"/>
                <w:color w:val="000000"/>
                <w:kern w:val="0"/>
                <w:sz w:val="24"/>
                <w:szCs w:val="24"/>
                <w:lang w:bidi="ar-SA"/>
              </w:rPr>
              <w:t>计</w:t>
            </w:r>
          </w:p>
        </w:tc>
        <w:tc>
          <w:tcPr>
            <w:tcW w:w="2693"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24"/>
                <w:szCs w:val="24"/>
                <w:lang w:bidi="ar-SA"/>
              </w:rPr>
            </w:pPr>
            <w:r>
              <w:rPr>
                <w:rFonts w:ascii="Times New Roman" w:cs="Times New Roman" w:hAnsi="Times New Roman" w:hint="eastAsia"/>
                <w:color w:val="000000"/>
                <w:kern w:val="0"/>
                <w:sz w:val="24"/>
                <w:szCs w:val="24"/>
                <w:lang w:bidi="ar-SA"/>
              </w:rPr>
              <w:t>840.73</w:t>
            </w:r>
          </w:p>
        </w:tc>
      </w:tr>
      <w:tr>
        <w:trPr>
          <w:trHeight w:val="360"/>
        </w:trPr>
        <w:tc>
          <w:tcPr>
            <w:tcW w:w="4253" w:type="dxa"/>
            <w:tcBorders>
              <w:top w:val="nil"/>
              <w:left w:val="nil"/>
              <w:bottom w:val="nil"/>
              <w:right w:val="nil"/>
            </w:tcBorders>
            <w:shd w:val="clear" w:color="auto" w:fill="auto"/>
            <w:noWrap/>
            <w:vAlign w:val="center"/>
          </w:tcPr>
          <w:p>
            <w:pPr>
              <w:widowControl/>
              <w:autoSpaceDN w:val="0"/>
              <w:jc w:val="center"/>
              <w:rPr>
                <w:rFonts w:ascii="Times New Roman" w:cs="宋体" w:hAnsi="Times New Roman"/>
                <w:color w:val="000000"/>
                <w:kern w:val="0"/>
                <w:sz w:val="24"/>
                <w:szCs w:val="24"/>
                <w:lang w:bidi="ar-SA"/>
              </w:rPr>
            </w:pPr>
          </w:p>
        </w:tc>
        <w:tc>
          <w:tcPr>
            <w:tcW w:w="2693" w:type="dxa"/>
            <w:tcBorders>
              <w:top w:val="nil"/>
              <w:left w:val="nil"/>
              <w:bottom w:val="nil"/>
              <w:right w:val="nil"/>
            </w:tcBorders>
            <w:shd w:val="clear" w:color="auto" w:fill="auto"/>
            <w:noWrap/>
            <w:vAlign w:val="center"/>
          </w:tcPr>
          <w:p>
            <w:pPr>
              <w:widowControl/>
              <w:autoSpaceDN w:val="0"/>
              <w:jc w:val="right"/>
              <w:rPr>
                <w:rFonts w:ascii="Times New Roman" w:cs="Times New Roman" w:hAnsi="Times New Roman"/>
                <w:color w:val="000000"/>
                <w:kern w:val="0"/>
                <w:sz w:val="24"/>
                <w:szCs w:val="24"/>
                <w:lang w:bidi="ar-SA"/>
              </w:rPr>
            </w:pPr>
          </w:p>
        </w:tc>
        <w:tc>
          <w:tcPr>
            <w:tcW w:w="4253" w:type="dxa"/>
            <w:tcBorders>
              <w:top w:val="single" w:sz="4" w:space="0" w:color="auto"/>
              <w:left w:val="nil"/>
              <w:bottom w:val="nil"/>
              <w:right w:val="nil"/>
            </w:tcBorders>
            <w:shd w:val="clear" w:color="auto" w:fill="auto"/>
            <w:noWrap/>
            <w:vAlign w:val="center"/>
          </w:tcPr>
          <w:p>
            <w:pPr>
              <w:widowControl/>
              <w:autoSpaceDN w:val="0"/>
              <w:jc w:val="center"/>
              <w:rPr>
                <w:rFonts w:ascii="Times New Roman" w:cs="宋体" w:hAnsi="Times New Roman"/>
                <w:color w:val="000000"/>
                <w:kern w:val="0"/>
                <w:sz w:val="24"/>
                <w:szCs w:val="24"/>
                <w:lang w:bidi="ar-SA"/>
              </w:rPr>
            </w:pPr>
          </w:p>
        </w:tc>
        <w:tc>
          <w:tcPr>
            <w:tcW w:w="2693" w:type="dxa"/>
            <w:tcBorders>
              <w:top w:val="single" w:sz="4" w:space="0" w:color="auto"/>
              <w:left w:val="nil"/>
              <w:bottom w:val="nil"/>
              <w:right w:val="nil"/>
            </w:tcBorders>
            <w:shd w:val="clear" w:color="auto" w:fill="auto"/>
            <w:noWrap/>
            <w:vAlign w:val="center"/>
          </w:tcPr>
          <w:p>
            <w:pPr>
              <w:widowControl/>
              <w:autoSpaceDN w:val="0"/>
              <w:jc w:val="right"/>
              <w:rPr>
                <w:rFonts w:ascii="Times New Roman" w:cs="Times New Roman" w:hAnsi="Times New Roman"/>
                <w:color w:val="000000"/>
                <w:kern w:val="0"/>
                <w:sz w:val="24"/>
                <w:szCs w:val="24"/>
                <w:lang w:bidi="ar-SA"/>
              </w:rPr>
            </w:pPr>
          </w:p>
        </w:tc>
      </w:tr>
      <w:tr>
        <w:trPr>
          <w:trHeight w:val="360"/>
        </w:trPr>
        <w:tc>
          <w:tcPr>
            <w:tcW w:w="4253" w:type="dxa"/>
            <w:tcBorders>
              <w:top w:val="nil"/>
              <w:left w:val="nil"/>
              <w:bottom w:val="nil"/>
              <w:right w:val="nil"/>
            </w:tcBorders>
            <w:shd w:val="clear" w:color="auto" w:fill="auto"/>
            <w:noWrap/>
            <w:vAlign w:val="center"/>
          </w:tcPr>
          <w:p>
            <w:pPr>
              <w:widowControl/>
              <w:autoSpaceDN w:val="0"/>
              <w:jc w:val="center"/>
              <w:rPr>
                <w:rFonts w:ascii="Times New Roman" w:cs="宋体" w:hAnsi="Times New Roman"/>
                <w:color w:val="000000"/>
                <w:kern w:val="0"/>
                <w:sz w:val="24"/>
                <w:szCs w:val="24"/>
                <w:lang w:bidi="ar-SA"/>
              </w:rPr>
            </w:pPr>
          </w:p>
          <w:p>
            <w:pPr>
              <w:widowControl/>
              <w:autoSpaceDN w:val="0"/>
              <w:jc w:val="center"/>
              <w:rPr>
                <w:rFonts w:ascii="Times New Roman" w:cs="宋体" w:hAnsi="Times New Roman"/>
                <w:color w:val="000000"/>
                <w:kern w:val="0"/>
                <w:sz w:val="24"/>
                <w:szCs w:val="24"/>
                <w:lang w:bidi="ar-SA"/>
              </w:rPr>
            </w:pPr>
          </w:p>
        </w:tc>
        <w:tc>
          <w:tcPr>
            <w:tcW w:w="2693" w:type="dxa"/>
            <w:tcBorders>
              <w:top w:val="nil"/>
              <w:left w:val="nil"/>
              <w:bottom w:val="nil"/>
              <w:right w:val="nil"/>
            </w:tcBorders>
            <w:shd w:val="clear" w:color="auto" w:fill="auto"/>
            <w:noWrap/>
            <w:vAlign w:val="center"/>
          </w:tcPr>
          <w:p>
            <w:pPr>
              <w:widowControl/>
              <w:autoSpaceDN w:val="0"/>
              <w:jc w:val="right"/>
              <w:rPr>
                <w:rFonts w:ascii="Times New Roman" w:cs="Times New Roman" w:hAnsi="Times New Roman"/>
                <w:color w:val="000000"/>
                <w:kern w:val="0"/>
                <w:sz w:val="24"/>
                <w:szCs w:val="24"/>
                <w:lang w:bidi="ar-SA"/>
              </w:rPr>
            </w:pPr>
          </w:p>
        </w:tc>
        <w:tc>
          <w:tcPr>
            <w:tcW w:w="4253" w:type="dxa"/>
            <w:tcBorders>
              <w:top w:val="nil"/>
              <w:left w:val="nil"/>
              <w:bottom w:val="nil"/>
              <w:right w:val="nil"/>
            </w:tcBorders>
            <w:shd w:val="clear" w:color="auto" w:fill="auto"/>
            <w:noWrap/>
            <w:vAlign w:val="center"/>
          </w:tcPr>
          <w:p>
            <w:pPr>
              <w:widowControl/>
              <w:autoSpaceDN w:val="0"/>
              <w:jc w:val="center"/>
              <w:rPr>
                <w:rFonts w:ascii="Times New Roman" w:cs="宋体" w:hAnsi="Times New Roman"/>
                <w:color w:val="000000"/>
                <w:kern w:val="0"/>
                <w:sz w:val="24"/>
                <w:szCs w:val="24"/>
                <w:lang w:bidi="ar-SA"/>
              </w:rPr>
            </w:pPr>
          </w:p>
          <w:p>
            <w:pPr>
              <w:widowControl/>
              <w:autoSpaceDN w:val="0"/>
              <w:jc w:val="center"/>
              <w:rPr>
                <w:rFonts w:ascii="Times New Roman" w:cs="宋体" w:hAnsi="Times New Roman"/>
                <w:color w:val="000000"/>
                <w:kern w:val="0"/>
                <w:sz w:val="24"/>
                <w:szCs w:val="24"/>
                <w:lang w:bidi="ar-SA"/>
              </w:rPr>
            </w:pPr>
          </w:p>
          <w:p>
            <w:pPr>
              <w:widowControl/>
              <w:autoSpaceDN w:val="0"/>
              <w:jc w:val="center"/>
              <w:rPr>
                <w:rFonts w:ascii="Times New Roman" w:cs="宋体" w:hAnsi="Times New Roman"/>
                <w:color w:val="000000"/>
                <w:kern w:val="0"/>
                <w:sz w:val="24"/>
                <w:szCs w:val="24"/>
                <w:lang w:bidi="ar-SA"/>
              </w:rPr>
            </w:pPr>
          </w:p>
          <w:p>
            <w:pPr>
              <w:widowControl/>
              <w:autoSpaceDN w:val="0"/>
              <w:jc w:val="center"/>
              <w:rPr>
                <w:rFonts w:ascii="Times New Roman" w:cs="宋体" w:hAnsi="Times New Roman"/>
                <w:color w:val="000000"/>
                <w:kern w:val="0"/>
                <w:sz w:val="24"/>
                <w:szCs w:val="24"/>
                <w:lang w:bidi="ar-SA"/>
              </w:rPr>
            </w:pPr>
          </w:p>
          <w:p>
            <w:pPr>
              <w:widowControl/>
              <w:autoSpaceDN w:val="0"/>
              <w:jc w:val="center"/>
              <w:rPr>
                <w:rFonts w:ascii="Times New Roman" w:cs="宋体" w:hAnsi="Times New Roman"/>
                <w:color w:val="000000"/>
                <w:kern w:val="0"/>
                <w:sz w:val="24"/>
                <w:szCs w:val="24"/>
                <w:lang w:bidi="ar-SA"/>
              </w:rPr>
            </w:pPr>
          </w:p>
        </w:tc>
        <w:tc>
          <w:tcPr>
            <w:tcW w:w="2693" w:type="dxa"/>
            <w:tcBorders>
              <w:top w:val="nil"/>
              <w:left w:val="nil"/>
              <w:bottom w:val="nil"/>
              <w:right w:val="nil"/>
            </w:tcBorders>
            <w:shd w:val="clear" w:color="auto" w:fill="auto"/>
            <w:noWrap/>
            <w:vAlign w:val="center"/>
          </w:tcPr>
          <w:p>
            <w:pPr>
              <w:widowControl/>
              <w:autoSpaceDN w:val="0"/>
              <w:jc w:val="right"/>
              <w:rPr>
                <w:rFonts w:ascii="Times New Roman" w:cs="Times New Roman" w:hAnsi="Times New Roman"/>
                <w:color w:val="000000"/>
                <w:kern w:val="0"/>
                <w:sz w:val="24"/>
                <w:szCs w:val="24"/>
                <w:lang w:bidi="ar-SA"/>
              </w:rPr>
            </w:pPr>
          </w:p>
        </w:tc>
      </w:tr>
      <w:tr>
        <w:trPr>
          <w:trHeight w:val="360"/>
        </w:trPr>
        <w:tc>
          <w:tcPr>
            <w:tcW w:w="4253" w:type="dxa"/>
            <w:tcBorders>
              <w:top w:val="nil"/>
              <w:left w:val="nil"/>
              <w:bottom w:val="nil"/>
              <w:right w:val="nil"/>
            </w:tcBorders>
            <w:shd w:val="clear" w:color="auto" w:fill="auto"/>
            <w:noWrap/>
            <w:vAlign w:val="center"/>
          </w:tcPr>
          <w:p>
            <w:pPr>
              <w:widowControl/>
              <w:autoSpaceDN w:val="0"/>
              <w:jc w:val="center"/>
              <w:rPr>
                <w:rFonts w:ascii="Times New Roman" w:cs="宋体" w:hAnsi="Times New Roman"/>
                <w:color w:val="000000"/>
                <w:kern w:val="0"/>
                <w:sz w:val="24"/>
                <w:szCs w:val="24"/>
                <w:lang w:bidi="ar-SA"/>
              </w:rPr>
            </w:pPr>
          </w:p>
          <w:p>
            <w:pPr>
              <w:widowControl/>
              <w:autoSpaceDN w:val="0"/>
              <w:jc w:val="center"/>
              <w:rPr>
                <w:rFonts w:ascii="Times New Roman" w:cs="宋体" w:hAnsi="Times New Roman"/>
                <w:color w:val="000000"/>
                <w:kern w:val="0"/>
                <w:sz w:val="24"/>
                <w:szCs w:val="24"/>
                <w:lang w:bidi="ar-SA"/>
              </w:rPr>
            </w:pPr>
          </w:p>
        </w:tc>
        <w:tc>
          <w:tcPr>
            <w:tcW w:w="2693" w:type="dxa"/>
            <w:tcBorders>
              <w:top w:val="nil"/>
              <w:left w:val="nil"/>
              <w:bottom w:val="nil"/>
              <w:right w:val="nil"/>
            </w:tcBorders>
            <w:shd w:val="clear" w:color="auto" w:fill="auto"/>
            <w:noWrap/>
            <w:vAlign w:val="center"/>
          </w:tcPr>
          <w:p>
            <w:pPr>
              <w:widowControl/>
              <w:autoSpaceDN w:val="0"/>
              <w:jc w:val="right"/>
              <w:rPr>
                <w:rFonts w:ascii="Times New Roman" w:cs="Times New Roman" w:hAnsi="Times New Roman"/>
                <w:color w:val="000000"/>
                <w:kern w:val="0"/>
                <w:sz w:val="24"/>
                <w:szCs w:val="24"/>
                <w:lang w:bidi="ar-SA"/>
              </w:rPr>
            </w:pPr>
          </w:p>
        </w:tc>
        <w:tc>
          <w:tcPr>
            <w:tcW w:w="4253" w:type="dxa"/>
            <w:tcBorders>
              <w:top w:val="nil"/>
              <w:left w:val="nil"/>
              <w:bottom w:val="nil"/>
              <w:right w:val="nil"/>
            </w:tcBorders>
            <w:shd w:val="clear" w:color="auto" w:fill="auto"/>
            <w:noWrap/>
            <w:vAlign w:val="center"/>
          </w:tcPr>
          <w:p>
            <w:pPr>
              <w:widowControl/>
              <w:autoSpaceDN w:val="0"/>
              <w:jc w:val="center"/>
              <w:rPr>
                <w:rFonts w:ascii="Times New Roman" w:cs="宋体" w:hAnsi="Times New Roman"/>
                <w:color w:val="000000"/>
                <w:kern w:val="0"/>
                <w:sz w:val="24"/>
                <w:szCs w:val="24"/>
                <w:lang w:bidi="ar-SA"/>
              </w:rPr>
            </w:pPr>
          </w:p>
        </w:tc>
        <w:tc>
          <w:tcPr>
            <w:tcW w:w="2693" w:type="dxa"/>
            <w:tcBorders>
              <w:top w:val="nil"/>
              <w:left w:val="nil"/>
              <w:bottom w:val="nil"/>
              <w:right w:val="nil"/>
            </w:tcBorders>
            <w:shd w:val="clear" w:color="auto" w:fill="auto"/>
            <w:noWrap/>
            <w:vAlign w:val="center"/>
          </w:tcPr>
          <w:p>
            <w:pPr>
              <w:widowControl/>
              <w:autoSpaceDN w:val="0"/>
              <w:jc w:val="right"/>
              <w:rPr>
                <w:rFonts w:ascii="Times New Roman" w:cs="Times New Roman" w:hAnsi="Times New Roman"/>
                <w:color w:val="000000"/>
                <w:kern w:val="0"/>
                <w:sz w:val="24"/>
                <w:szCs w:val="24"/>
                <w:lang w:bidi="ar-SA"/>
              </w:rPr>
            </w:pPr>
          </w:p>
        </w:tc>
      </w:tr>
    </w:tbl>
    <w:tbl>
      <w:tblPr>
        <w:tblpPr w:leftFromText="144" w:rightFromText="144" w:vertAnchor="text" w:horzAnchor="page" w:tblpX="546" w:tblpY="203"/>
        <w:tblW w:w="16038"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962"/>
        <w:gridCol w:w="2265"/>
        <w:gridCol w:w="1276"/>
        <w:gridCol w:w="1562"/>
        <w:gridCol w:w="1390"/>
        <w:gridCol w:w="1310"/>
        <w:gridCol w:w="1150"/>
        <w:gridCol w:w="1630"/>
        <w:gridCol w:w="1284"/>
        <w:gridCol w:w="964"/>
        <w:gridCol w:w="1216"/>
        <w:gridCol w:w="1029"/>
      </w:tblGrid>
      <w:tr>
        <w:trPr>
          <w:trHeight w:val="285"/>
        </w:trPr>
        <w:tc>
          <w:tcPr>
            <w:tcW w:w="16038" w:type="dxa"/>
            <w:gridSpan w:val="12"/>
            <w:tcBorders>
              <w:top w:val="nil"/>
              <w:left w:val="nil"/>
              <w:bottom w:val="nil"/>
              <w:right w:val="nil"/>
            </w:tcBorders>
            <w:shd w:val="clear" w:color="auto" w:fill="auto"/>
            <w:vAlign w:val="center"/>
          </w:tcPr>
          <w:p>
            <w:pPr>
              <w:widowControl/>
              <w:autoSpaceDN w:val="0"/>
              <w:jc w:val="right"/>
              <w:rPr>
                <w:rFonts w:ascii="Times New Roman" w:cs="宋体" w:hAnsi="Times New Roman"/>
                <w:kern w:val="0"/>
                <w:sz w:val="36"/>
                <w:szCs w:val="36"/>
                <w:lang w:bidi="ar-SA"/>
              </w:rPr>
            </w:pPr>
            <w:r>
              <w:rPr>
                <w:rFonts w:ascii="黑体" w:eastAsia="黑体" w:cs="黑体" w:hint="eastAsia"/>
                <w:kern w:val="0"/>
                <w:sz w:val="20"/>
                <w:szCs w:val="20"/>
                <w:lang w:bidi="ar-SA"/>
              </w:rPr>
              <w:t>部门公开表5</w:t>
            </w:r>
          </w:p>
        </w:tc>
      </w:tr>
      <w:tr>
        <w:trPr>
          <w:trHeight w:val="285"/>
        </w:trPr>
        <w:tc>
          <w:tcPr>
            <w:tcW w:w="16038" w:type="dxa"/>
            <w:gridSpan w:val="12"/>
            <w:tcBorders>
              <w:top w:val="nil"/>
              <w:left w:val="nil"/>
              <w:bottom w:val="nil"/>
              <w:right w:val="nil"/>
            </w:tcBorders>
            <w:shd w:val="clear" w:color="auto" w:fill="auto"/>
            <w:vAlign w:val="center"/>
          </w:tcPr>
          <w:p>
            <w:pPr>
              <w:widowControl/>
              <w:autoSpaceDN w:val="0"/>
              <w:jc w:val="center"/>
              <w:rPr>
                <w:rFonts w:ascii="Times New Roman" w:cs="宋体" w:hAnsi="Times New Roman"/>
                <w:kern w:val="0"/>
                <w:sz w:val="36"/>
                <w:szCs w:val="36"/>
                <w:lang w:bidi="ar-SA"/>
              </w:rPr>
            </w:pPr>
            <w:r>
              <w:rPr>
                <w:rFonts w:ascii="Times New Roman" w:cs="宋体" w:hAnsi="Times New Roman" w:hint="eastAsia"/>
                <w:kern w:val="0"/>
                <w:sz w:val="36"/>
                <w:szCs w:val="36"/>
                <w:lang w:bidi="ar-SA"/>
              </w:rPr>
              <w:t>一般公共预算支出表</w:t>
            </w:r>
          </w:p>
        </w:tc>
      </w:tr>
      <w:tr>
        <w:trPr>
          <w:trHeight w:val="255"/>
        </w:trPr>
        <w:tc>
          <w:tcPr>
            <w:tcW w:w="6065" w:type="dxa"/>
            <w:gridSpan w:val="4"/>
            <w:tcBorders>
              <w:top w:val="nil"/>
              <w:left w:val="nil"/>
              <w:bottom w:val="single" w:sz="4" w:space="0" w:color="auto"/>
              <w:right w:val="nil"/>
            </w:tcBorders>
            <w:shd w:val="clear" w:color="auto" w:fill="auto"/>
            <w:vAlign w:val="center"/>
          </w:tcPr>
          <w:p>
            <w:pPr>
              <w:widowControl/>
              <w:autoSpaceDN w:val="0"/>
              <w:jc w:val="left"/>
              <w:rPr>
                <w:rFonts w:ascii="Times New Roman" w:cs="宋体" w:hAnsi="Times New Roman"/>
                <w:kern w:val="0"/>
                <w:sz w:val="16"/>
                <w:szCs w:val="16"/>
                <w:lang w:bidi="ar-SA"/>
              </w:rPr>
            </w:pPr>
            <w:r>
              <w:rPr>
                <w:rFonts w:ascii="Times New Roman" w:cs="宋体" w:hAnsi="Times New Roman" w:hint="eastAsia"/>
                <w:kern w:val="0"/>
                <w:sz w:val="16"/>
                <w:szCs w:val="16"/>
                <w:lang w:bidi="ar-SA"/>
              </w:rPr>
              <w:t>　</w:t>
            </w:r>
            <w:r>
              <w:rPr>
                <w:rFonts w:ascii="Times New Roman" w:cs="宋体" w:hAnsi="Times New Roman" w:hint="eastAsia"/>
                <w:color w:val="000000"/>
                <w:kern w:val="0"/>
                <w:sz w:val="18"/>
                <w:szCs w:val="18"/>
                <w:lang w:bidi="ar-SA"/>
              </w:rPr>
              <w:t>单位名称：中华人民共和国鄂尔多斯海关</w:t>
            </w:r>
          </w:p>
        </w:tc>
        <w:tc>
          <w:tcPr>
            <w:tcW w:w="1390" w:type="dxa"/>
            <w:tcBorders>
              <w:top w:val="nil"/>
              <w:left w:val="nil"/>
              <w:bottom w:val="single" w:sz="4" w:space="0" w:color="auto"/>
              <w:right w:val="nil"/>
            </w:tcBorders>
            <w:shd w:val="clear" w:color="auto" w:fill="auto"/>
            <w:vAlign w:val="center"/>
          </w:tcPr>
          <w:p>
            <w:pPr>
              <w:widowControl/>
              <w:autoSpaceDN w:val="0"/>
              <w:jc w:val="left"/>
              <w:rPr>
                <w:rFonts w:ascii="Times New Roman" w:cs="宋体" w:hAnsi="Times New Roman"/>
                <w:kern w:val="0"/>
                <w:sz w:val="16"/>
                <w:szCs w:val="16"/>
                <w:lang w:bidi="ar-SA"/>
              </w:rPr>
            </w:pPr>
            <w:r>
              <w:rPr>
                <w:rFonts w:ascii="Times New Roman" w:cs="宋体" w:hAnsi="Times New Roman" w:hint="eastAsia"/>
                <w:kern w:val="0"/>
                <w:sz w:val="16"/>
                <w:szCs w:val="16"/>
                <w:lang w:bidi="ar-SA"/>
              </w:rPr>
              <w:t>　</w:t>
            </w:r>
          </w:p>
        </w:tc>
        <w:tc>
          <w:tcPr>
            <w:tcW w:w="1310" w:type="dxa"/>
            <w:tcBorders>
              <w:top w:val="nil"/>
              <w:left w:val="nil"/>
              <w:bottom w:val="single" w:sz="4" w:space="0" w:color="auto"/>
              <w:right w:val="nil"/>
            </w:tcBorders>
            <w:shd w:val="clear" w:color="auto" w:fill="auto"/>
            <w:vAlign w:val="center"/>
          </w:tcPr>
          <w:p>
            <w:pPr>
              <w:widowControl/>
              <w:autoSpaceDN w:val="0"/>
              <w:jc w:val="left"/>
              <w:rPr>
                <w:rFonts w:ascii="Times New Roman" w:cs="宋体" w:hAnsi="Times New Roman"/>
                <w:kern w:val="0"/>
                <w:sz w:val="16"/>
                <w:szCs w:val="16"/>
                <w:lang w:bidi="ar-SA"/>
              </w:rPr>
            </w:pPr>
            <w:r>
              <w:rPr>
                <w:rFonts w:ascii="Times New Roman" w:cs="宋体" w:hAnsi="Times New Roman" w:hint="eastAsia"/>
                <w:kern w:val="0"/>
                <w:sz w:val="16"/>
                <w:szCs w:val="16"/>
                <w:lang w:bidi="ar-SA"/>
              </w:rPr>
              <w:t>　</w:t>
            </w:r>
          </w:p>
        </w:tc>
        <w:tc>
          <w:tcPr>
            <w:tcW w:w="1150" w:type="dxa"/>
            <w:tcBorders>
              <w:top w:val="nil"/>
              <w:left w:val="nil"/>
              <w:bottom w:val="single" w:sz="4" w:space="0" w:color="auto"/>
              <w:right w:val="nil"/>
            </w:tcBorders>
            <w:shd w:val="clear" w:color="auto" w:fill="auto"/>
            <w:vAlign w:val="center"/>
          </w:tcPr>
          <w:p>
            <w:pPr>
              <w:widowControl/>
              <w:autoSpaceDN w:val="0"/>
              <w:jc w:val="left"/>
              <w:rPr>
                <w:rFonts w:ascii="Times New Roman" w:cs="宋体" w:hAnsi="Times New Roman"/>
                <w:kern w:val="0"/>
                <w:sz w:val="16"/>
                <w:szCs w:val="16"/>
                <w:lang w:bidi="ar-SA"/>
              </w:rPr>
            </w:pPr>
            <w:r>
              <w:rPr>
                <w:rFonts w:ascii="Times New Roman" w:cs="宋体" w:hAnsi="Times New Roman" w:hint="eastAsia"/>
                <w:kern w:val="0"/>
                <w:sz w:val="16"/>
                <w:szCs w:val="16"/>
                <w:lang w:bidi="ar-SA"/>
              </w:rPr>
              <w:t>　</w:t>
            </w:r>
          </w:p>
        </w:tc>
        <w:tc>
          <w:tcPr>
            <w:tcW w:w="1630" w:type="dxa"/>
            <w:tcBorders>
              <w:top w:val="nil"/>
              <w:left w:val="nil"/>
              <w:bottom w:val="single" w:sz="4" w:space="0" w:color="auto"/>
              <w:right w:val="nil"/>
            </w:tcBorders>
            <w:shd w:val="clear" w:color="auto" w:fill="auto"/>
            <w:vAlign w:val="center"/>
          </w:tcPr>
          <w:p>
            <w:pPr>
              <w:widowControl/>
              <w:autoSpaceDN w:val="0"/>
              <w:jc w:val="left"/>
              <w:rPr>
                <w:rFonts w:ascii="Times New Roman" w:cs="宋体" w:hAnsi="Times New Roman"/>
                <w:kern w:val="0"/>
                <w:sz w:val="16"/>
                <w:szCs w:val="16"/>
                <w:lang w:bidi="ar-SA"/>
              </w:rPr>
            </w:pPr>
            <w:r>
              <w:rPr>
                <w:rFonts w:ascii="Times New Roman" w:cs="宋体" w:hAnsi="Times New Roman" w:hint="eastAsia"/>
                <w:kern w:val="0"/>
                <w:sz w:val="16"/>
                <w:szCs w:val="16"/>
                <w:lang w:bidi="ar-SA"/>
              </w:rPr>
              <w:t>　</w:t>
            </w:r>
          </w:p>
        </w:tc>
        <w:tc>
          <w:tcPr>
            <w:tcW w:w="1284" w:type="dxa"/>
            <w:tcBorders>
              <w:top w:val="nil"/>
              <w:left w:val="nil"/>
              <w:bottom w:val="single" w:sz="4" w:space="0" w:color="auto"/>
              <w:right w:val="nil"/>
            </w:tcBorders>
            <w:shd w:val="clear" w:color="auto" w:fill="auto"/>
            <w:vAlign w:val="center"/>
          </w:tcPr>
          <w:p>
            <w:pPr>
              <w:widowControl/>
              <w:autoSpaceDN w:val="0"/>
              <w:jc w:val="left"/>
              <w:rPr>
                <w:rFonts w:ascii="Times New Roman" w:cs="宋体" w:hAnsi="Times New Roman"/>
                <w:kern w:val="0"/>
                <w:sz w:val="16"/>
                <w:szCs w:val="16"/>
                <w:lang w:bidi="ar-SA"/>
              </w:rPr>
            </w:pPr>
            <w:r>
              <w:rPr>
                <w:rFonts w:ascii="Times New Roman" w:cs="宋体" w:hAnsi="Times New Roman" w:hint="eastAsia"/>
                <w:kern w:val="0"/>
                <w:sz w:val="16"/>
                <w:szCs w:val="16"/>
                <w:lang w:bidi="ar-SA"/>
              </w:rPr>
              <w:t>　</w:t>
            </w:r>
          </w:p>
        </w:tc>
        <w:tc>
          <w:tcPr>
            <w:tcW w:w="964" w:type="dxa"/>
            <w:tcBorders>
              <w:top w:val="nil"/>
              <w:left w:val="nil"/>
              <w:bottom w:val="nil"/>
              <w:right w:val="nil"/>
            </w:tcBorders>
            <w:shd w:val="clear" w:color="auto" w:fill="auto"/>
            <w:noWrap/>
            <w:vAlign w:val="center"/>
          </w:tcPr>
          <w:p>
            <w:pPr>
              <w:widowControl/>
              <w:autoSpaceDN w:val="0"/>
              <w:jc w:val="left"/>
              <w:rPr>
                <w:rFonts w:ascii="Times New Roman" w:cs="宋体" w:hAnsi="Times New Roman"/>
                <w:kern w:val="0"/>
                <w:sz w:val="16"/>
                <w:szCs w:val="16"/>
                <w:lang w:bidi="ar-SA"/>
              </w:rPr>
            </w:pPr>
          </w:p>
        </w:tc>
        <w:tc>
          <w:tcPr>
            <w:tcW w:w="1216" w:type="dxa"/>
            <w:tcBorders>
              <w:top w:val="nil"/>
              <w:left w:val="nil"/>
              <w:bottom w:val="single" w:sz="4" w:space="0" w:color="auto"/>
              <w:right w:val="nil"/>
            </w:tcBorders>
            <w:shd w:val="clear" w:color="auto" w:fill="auto"/>
            <w:vAlign w:val="center"/>
          </w:tcPr>
          <w:p>
            <w:pPr>
              <w:widowControl/>
              <w:autoSpaceDN w:val="0"/>
              <w:jc w:val="left"/>
              <w:rPr>
                <w:rFonts w:ascii="Times New Roman" w:cs="宋体" w:hAnsi="Times New Roman"/>
                <w:kern w:val="0"/>
                <w:sz w:val="16"/>
                <w:szCs w:val="16"/>
                <w:lang w:bidi="ar-SA"/>
              </w:rPr>
            </w:pPr>
            <w:r>
              <w:rPr>
                <w:rFonts w:ascii="Times New Roman" w:cs="宋体" w:hAnsi="Times New Roman" w:hint="eastAsia"/>
                <w:kern w:val="0"/>
                <w:sz w:val="16"/>
                <w:szCs w:val="16"/>
                <w:lang w:bidi="ar-SA"/>
              </w:rPr>
              <w:t>　</w:t>
            </w:r>
          </w:p>
        </w:tc>
        <w:tc>
          <w:tcPr>
            <w:tcW w:w="1029" w:type="dxa"/>
            <w:tcBorders>
              <w:top w:val="nil"/>
              <w:left w:val="nil"/>
              <w:bottom w:val="nil"/>
              <w:right w:val="nil"/>
            </w:tcBorders>
            <w:shd w:val="clear" w:color="auto" w:fill="auto"/>
            <w:noWrap/>
            <w:vAlign w:val="center"/>
          </w:tcPr>
          <w:p>
            <w:pPr>
              <w:widowControl/>
              <w:autoSpaceDN w:val="0"/>
              <w:jc w:val="right"/>
              <w:rPr>
                <w:rFonts w:ascii="Times New Roman" w:cs="宋体" w:hAnsi="Times New Roman"/>
                <w:kern w:val="0"/>
                <w:sz w:val="16"/>
                <w:szCs w:val="16"/>
                <w:lang w:bidi="ar-SA"/>
              </w:rPr>
            </w:pPr>
            <w:r>
              <w:rPr>
                <w:rFonts w:ascii="Times New Roman" w:cs="宋体" w:hAnsi="Times New Roman" w:hint="eastAsia"/>
                <w:kern w:val="0"/>
                <w:sz w:val="16"/>
                <w:szCs w:val="16"/>
                <w:lang w:bidi="ar-SA"/>
              </w:rPr>
              <w:t>单位：万元</w:t>
            </w:r>
          </w:p>
        </w:tc>
      </w:tr>
      <w:tr>
        <w:trPr>
          <w:trHeight w:val="255"/>
        </w:trPr>
        <w:tc>
          <w:tcPr>
            <w:tcW w:w="32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center"/>
              <w:rPr>
                <w:rFonts w:ascii="Times New Roman" w:cs="宋体" w:hAnsi="Times New Roman"/>
                <w:kern w:val="0"/>
                <w:sz w:val="16"/>
                <w:szCs w:val="16"/>
                <w:lang w:bidi="ar-SA"/>
              </w:rPr>
            </w:pPr>
            <w:r>
              <w:rPr>
                <w:rFonts w:ascii="Times New Roman" w:cs="宋体" w:hAnsi="Times New Roman" w:hint="eastAsia"/>
                <w:kern w:val="0"/>
                <w:sz w:val="16"/>
                <w:szCs w:val="16"/>
                <w:lang w:bidi="ar-SA"/>
              </w:rPr>
              <w:t>功能分类科目</w:t>
            </w:r>
          </w:p>
        </w:tc>
        <w:tc>
          <w:tcPr>
            <w:tcW w:w="2838" w:type="dxa"/>
            <w:gridSpan w:val="2"/>
            <w:tcBorders>
              <w:top w:val="single" w:sz="4" w:space="0" w:color="auto"/>
              <w:left w:val="nil"/>
              <w:bottom w:val="single" w:sz="4" w:space="0" w:color="auto"/>
              <w:right w:val="single" w:sz="4" w:space="0" w:color="000000"/>
            </w:tcBorders>
            <w:shd w:val="clear" w:color="auto" w:fill="auto"/>
            <w:vAlign w:val="center"/>
          </w:tcPr>
          <w:p>
            <w:pPr>
              <w:widowControl/>
              <w:autoSpaceDN w:val="0"/>
              <w:jc w:val="center"/>
              <w:rPr>
                <w:rFonts w:ascii="Times New Roman" w:cs="宋体" w:hAnsi="Times New Roman"/>
                <w:kern w:val="0"/>
                <w:sz w:val="16"/>
                <w:szCs w:val="16"/>
                <w:lang w:bidi="ar-SA"/>
              </w:rPr>
            </w:pPr>
            <w:r>
              <w:rPr>
                <w:rFonts w:ascii="Times New Roman" w:cs="宋体" w:hAnsi="Times New Roman"/>
                <w:kern w:val="0"/>
                <w:sz w:val="16"/>
                <w:szCs w:val="16"/>
                <w:lang w:bidi="ar-SA"/>
              </w:rPr>
              <w:t>2023</w:t>
            </w:r>
            <w:r>
              <w:rPr>
                <w:rFonts w:ascii="Times New Roman" w:cs="宋体" w:hAnsi="Times New Roman" w:hint="eastAsia"/>
                <w:kern w:val="0"/>
                <w:sz w:val="16"/>
                <w:szCs w:val="16"/>
                <w:lang w:bidi="ar-SA"/>
              </w:rPr>
              <w:t>年执行数</w:t>
            </w:r>
          </w:p>
        </w:tc>
        <w:tc>
          <w:tcPr>
            <w:tcW w:w="5480" w:type="dxa"/>
            <w:gridSpan w:val="4"/>
            <w:tcBorders>
              <w:top w:val="single" w:sz="4" w:space="0" w:color="auto"/>
              <w:left w:val="nil"/>
              <w:bottom w:val="single" w:sz="4" w:space="0" w:color="auto"/>
              <w:right w:val="single" w:sz="4" w:space="0" w:color="000000"/>
            </w:tcBorders>
            <w:shd w:val="clear" w:color="auto" w:fill="auto"/>
            <w:vAlign w:val="center"/>
          </w:tcPr>
          <w:p>
            <w:pPr>
              <w:widowControl/>
              <w:autoSpaceDN w:val="0"/>
              <w:jc w:val="center"/>
              <w:rPr>
                <w:rFonts w:ascii="Times New Roman" w:cs="宋体" w:hAnsi="Times New Roman"/>
                <w:kern w:val="0"/>
                <w:sz w:val="16"/>
                <w:szCs w:val="16"/>
                <w:lang w:bidi="ar-SA"/>
              </w:rPr>
            </w:pPr>
            <w:r>
              <w:rPr>
                <w:rFonts w:ascii="Times New Roman" w:cs="宋体" w:hAnsi="Times New Roman"/>
                <w:kern w:val="0"/>
                <w:sz w:val="16"/>
                <w:szCs w:val="16"/>
                <w:lang w:bidi="ar-SA"/>
              </w:rPr>
              <w:t>2024</w:t>
            </w:r>
            <w:r>
              <w:rPr>
                <w:rFonts w:ascii="Times New Roman" w:cs="宋体" w:hAnsi="Times New Roman" w:hint="eastAsia"/>
                <w:kern w:val="0"/>
                <w:sz w:val="16"/>
                <w:szCs w:val="16"/>
                <w:lang w:bidi="ar-SA"/>
              </w:rPr>
              <w:t>年预算数</w:t>
            </w:r>
          </w:p>
        </w:tc>
        <w:tc>
          <w:tcPr>
            <w:tcW w:w="2248" w:type="dxa"/>
            <w:gridSpan w:val="2"/>
            <w:tcBorders>
              <w:top w:val="single" w:sz="4" w:space="0" w:color="auto"/>
              <w:left w:val="nil"/>
              <w:bottom w:val="single" w:sz="4" w:space="0" w:color="auto"/>
              <w:right w:val="single" w:sz="4" w:space="0" w:color="auto"/>
            </w:tcBorders>
            <w:shd w:val="clear" w:color="auto" w:fill="auto"/>
            <w:vAlign w:val="center"/>
          </w:tcPr>
          <w:p>
            <w:pPr>
              <w:widowControl/>
              <w:autoSpaceDN w:val="0"/>
              <w:jc w:val="center"/>
              <w:rPr>
                <w:rFonts w:ascii="Times New Roman" w:cs="宋体" w:hAnsi="Times New Roman"/>
                <w:kern w:val="0"/>
                <w:sz w:val="16"/>
                <w:szCs w:val="16"/>
                <w:lang w:bidi="ar-SA"/>
              </w:rPr>
            </w:pPr>
            <w:r>
              <w:rPr>
                <w:rFonts w:ascii="Times New Roman" w:cs="宋体" w:hAnsi="Times New Roman"/>
                <w:kern w:val="0"/>
                <w:sz w:val="16"/>
                <w:szCs w:val="16"/>
                <w:lang w:bidi="ar-SA"/>
              </w:rPr>
              <w:t>2024</w:t>
            </w:r>
            <w:r>
              <w:rPr>
                <w:rFonts w:ascii="Times New Roman" w:cs="宋体" w:hAnsi="Times New Roman" w:hint="eastAsia"/>
                <w:kern w:val="0"/>
                <w:sz w:val="16"/>
                <w:szCs w:val="16"/>
                <w:lang w:bidi="ar-SA"/>
              </w:rPr>
              <w:t>年预算数比</w:t>
            </w:r>
          </w:p>
          <w:p>
            <w:pPr>
              <w:widowControl/>
              <w:autoSpaceDN w:val="0"/>
              <w:jc w:val="center"/>
              <w:rPr>
                <w:rFonts w:ascii="Times New Roman" w:cs="宋体" w:hAnsi="Times New Roman"/>
                <w:kern w:val="0"/>
                <w:sz w:val="16"/>
                <w:szCs w:val="16"/>
                <w:lang w:bidi="ar-SA"/>
                <w:highlight w:val="yellow"/>
              </w:rPr>
            </w:pPr>
            <w:r>
              <w:rPr>
                <w:rFonts w:ascii="Times New Roman" w:cs="宋体" w:hAnsi="Times New Roman"/>
                <w:kern w:val="0"/>
                <w:sz w:val="16"/>
                <w:szCs w:val="16"/>
                <w:lang w:bidi="ar-SA"/>
              </w:rPr>
              <w:t>2023</w:t>
            </w:r>
            <w:r>
              <w:rPr>
                <w:rFonts w:ascii="Times New Roman" w:cs="宋体" w:hAnsi="Times New Roman" w:hint="eastAsia"/>
                <w:kern w:val="0"/>
                <w:sz w:val="16"/>
                <w:szCs w:val="16"/>
                <w:lang w:bidi="ar-SA"/>
              </w:rPr>
              <w:t>年执行数</w:t>
            </w:r>
          </w:p>
        </w:tc>
        <w:tc>
          <w:tcPr>
            <w:tcW w:w="2245" w:type="dxa"/>
            <w:gridSpan w:val="2"/>
            <w:tcBorders>
              <w:top w:val="single" w:sz="4" w:space="0" w:color="auto"/>
              <w:left w:val="nil"/>
              <w:bottom w:val="single" w:sz="4" w:space="0" w:color="auto"/>
              <w:right w:val="single" w:sz="4" w:space="0" w:color="auto"/>
            </w:tcBorders>
            <w:shd w:val="clear" w:color="auto" w:fill="auto"/>
            <w:vAlign w:val="center"/>
          </w:tcPr>
          <w:p>
            <w:pPr>
              <w:widowControl/>
              <w:autoSpaceDN w:val="0"/>
              <w:jc w:val="center"/>
              <w:rPr>
                <w:rFonts w:ascii="Times New Roman" w:cs="宋体" w:hAnsi="Times New Roman"/>
                <w:kern w:val="0"/>
                <w:sz w:val="16"/>
                <w:szCs w:val="16"/>
                <w:lang w:bidi="ar-SA"/>
              </w:rPr>
            </w:pPr>
            <w:r>
              <w:rPr>
                <w:rFonts w:ascii="Times New Roman" w:cs="宋体" w:hAnsi="Times New Roman"/>
                <w:kern w:val="0"/>
                <w:sz w:val="16"/>
                <w:szCs w:val="16"/>
                <w:lang w:bidi="ar-SA"/>
              </w:rPr>
              <w:t>2024</w:t>
            </w:r>
            <w:r>
              <w:rPr>
                <w:rFonts w:ascii="Times New Roman" w:cs="宋体" w:hAnsi="Times New Roman" w:hint="eastAsia"/>
                <w:kern w:val="0"/>
                <w:sz w:val="16"/>
                <w:szCs w:val="16"/>
                <w:lang w:bidi="ar-SA"/>
              </w:rPr>
              <w:t>年预算数比</w:t>
            </w:r>
          </w:p>
          <w:p>
            <w:pPr>
              <w:widowControl/>
              <w:autoSpaceDN w:val="0"/>
              <w:jc w:val="center"/>
              <w:rPr>
                <w:rFonts w:ascii="Times New Roman" w:cs="宋体" w:hAnsi="Times New Roman"/>
                <w:kern w:val="0"/>
                <w:sz w:val="16"/>
                <w:szCs w:val="16"/>
                <w:lang w:bidi="ar-SA"/>
              </w:rPr>
            </w:pPr>
            <w:r>
              <w:rPr>
                <w:rFonts w:ascii="Times New Roman" w:cs="宋体" w:hAnsi="Times New Roman"/>
                <w:kern w:val="0"/>
                <w:sz w:val="16"/>
                <w:szCs w:val="16"/>
                <w:lang w:bidi="ar-SA"/>
              </w:rPr>
              <w:t>2023</w:t>
            </w:r>
            <w:r>
              <w:rPr>
                <w:rFonts w:ascii="Times New Roman" w:cs="宋体" w:hAnsi="Times New Roman" w:hint="eastAsia"/>
                <w:kern w:val="0"/>
                <w:sz w:val="16"/>
                <w:szCs w:val="16"/>
                <w:lang w:bidi="ar-SA"/>
              </w:rPr>
              <w:t>年执行数</w:t>
            </w:r>
          </w:p>
          <w:p>
            <w:pPr>
              <w:widowControl/>
              <w:autoSpaceDN w:val="0"/>
              <w:jc w:val="center"/>
              <w:rPr>
                <w:rFonts w:ascii="Times New Roman" w:cs="宋体" w:hAnsi="Times New Roman"/>
                <w:kern w:val="0"/>
                <w:sz w:val="16"/>
                <w:szCs w:val="16"/>
                <w:lang w:bidi="ar-SA"/>
                <w:highlight w:val="yellow"/>
              </w:rPr>
            </w:pPr>
            <w:r>
              <w:rPr>
                <w:rFonts w:ascii="Times New Roman" w:cs="宋体" w:hAnsi="Times New Roman" w:hint="eastAsia"/>
                <w:kern w:val="0"/>
                <w:sz w:val="16"/>
                <w:szCs w:val="16"/>
                <w:lang w:bidi="ar-SA"/>
              </w:rPr>
              <w:t>（扣除中央基建投资）</w:t>
            </w:r>
          </w:p>
        </w:tc>
      </w:tr>
      <w:tr>
        <w:trPr>
          <w:trHeight w:val="255"/>
        </w:trPr>
        <w:tc>
          <w:tcPr>
            <w:tcW w:w="96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center"/>
              <w:rPr>
                <w:rFonts w:ascii="Times New Roman" w:cs="宋体" w:hAnsi="Times New Roman"/>
                <w:kern w:val="0"/>
                <w:sz w:val="16"/>
                <w:szCs w:val="16"/>
                <w:lang w:bidi="ar-SA"/>
              </w:rPr>
            </w:pPr>
            <w:r>
              <w:rPr>
                <w:rFonts w:ascii="Times New Roman" w:cs="宋体" w:hAnsi="Times New Roman" w:hint="eastAsia"/>
                <w:kern w:val="0"/>
                <w:sz w:val="16"/>
                <w:szCs w:val="16"/>
                <w:lang w:bidi="ar-SA"/>
              </w:rPr>
              <w:t>科目编码</w:t>
            </w:r>
          </w:p>
        </w:tc>
        <w:tc>
          <w:tcPr>
            <w:tcW w:w="226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center"/>
              <w:rPr>
                <w:rFonts w:ascii="Times New Roman" w:cs="宋体" w:hAnsi="Times New Roman"/>
                <w:kern w:val="0"/>
                <w:sz w:val="16"/>
                <w:szCs w:val="16"/>
                <w:lang w:bidi="ar-SA"/>
              </w:rPr>
            </w:pPr>
            <w:r>
              <w:rPr>
                <w:rFonts w:ascii="Times New Roman" w:cs="宋体" w:hAnsi="Times New Roman" w:hint="eastAsia"/>
                <w:kern w:val="0"/>
                <w:sz w:val="16"/>
                <w:szCs w:val="16"/>
                <w:lang w:bidi="ar-SA"/>
              </w:rPr>
              <w:t>科目名称</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center"/>
              <w:rPr>
                <w:rFonts w:ascii="Times New Roman" w:cs="宋体" w:hAnsi="Times New Roman"/>
                <w:kern w:val="0"/>
                <w:sz w:val="16"/>
                <w:szCs w:val="16"/>
                <w:lang w:bidi="ar-SA"/>
              </w:rPr>
            </w:pPr>
            <w:r>
              <w:rPr>
                <w:rFonts w:ascii="Times New Roman" w:cs="宋体" w:hAnsi="Times New Roman" w:hint="eastAsia"/>
                <w:kern w:val="0"/>
                <w:sz w:val="16"/>
                <w:szCs w:val="16"/>
                <w:lang w:bidi="ar-SA"/>
              </w:rPr>
              <w:t>执行数</w:t>
            </w:r>
          </w:p>
        </w:tc>
        <w:tc>
          <w:tcPr>
            <w:tcW w:w="156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center"/>
              <w:rPr>
                <w:rFonts w:ascii="Times New Roman" w:cs="宋体" w:hAnsi="Times New Roman"/>
                <w:kern w:val="0"/>
                <w:sz w:val="16"/>
                <w:szCs w:val="16"/>
                <w:lang w:bidi="ar-SA"/>
              </w:rPr>
            </w:pPr>
            <w:r>
              <w:rPr>
                <w:rFonts w:ascii="Times New Roman" w:cs="宋体" w:hAnsi="Times New Roman" w:hint="eastAsia"/>
                <w:kern w:val="0"/>
                <w:sz w:val="16"/>
                <w:szCs w:val="16"/>
                <w:lang w:bidi="ar-SA"/>
              </w:rPr>
              <w:t>扣除中央基建投资后执行数</w:t>
            </w:r>
          </w:p>
        </w:tc>
        <w:tc>
          <w:tcPr>
            <w:tcW w:w="3850" w:type="dxa"/>
            <w:gridSpan w:val="3"/>
            <w:tcBorders>
              <w:top w:val="single" w:sz="4" w:space="0" w:color="auto"/>
              <w:left w:val="nil"/>
              <w:bottom w:val="single" w:sz="4" w:space="0" w:color="auto"/>
              <w:right w:val="single" w:sz="4" w:space="0" w:color="auto"/>
            </w:tcBorders>
            <w:shd w:val="clear" w:color="auto" w:fill="auto"/>
            <w:vAlign w:val="center"/>
          </w:tcPr>
          <w:p>
            <w:pPr>
              <w:widowControl/>
              <w:autoSpaceDN w:val="0"/>
              <w:jc w:val="center"/>
              <w:rPr>
                <w:rFonts w:ascii="Times New Roman" w:cs="宋体" w:hAnsi="Times New Roman"/>
                <w:kern w:val="0"/>
                <w:sz w:val="16"/>
                <w:szCs w:val="16"/>
                <w:lang w:bidi="ar-SA"/>
              </w:rPr>
            </w:pPr>
            <w:r>
              <w:rPr>
                <w:rFonts w:ascii="Times New Roman" w:cs="宋体" w:hAnsi="Times New Roman" w:hint="eastAsia"/>
                <w:kern w:val="0"/>
                <w:sz w:val="16"/>
                <w:szCs w:val="16"/>
                <w:lang w:bidi="ar-SA"/>
              </w:rPr>
              <w:t>年初预算数</w:t>
            </w:r>
          </w:p>
        </w:tc>
        <w:tc>
          <w:tcPr>
            <w:tcW w:w="163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center"/>
              <w:rPr>
                <w:rFonts w:ascii="Times New Roman" w:cs="宋体" w:hAnsi="Times New Roman"/>
                <w:kern w:val="0"/>
                <w:sz w:val="16"/>
                <w:szCs w:val="16"/>
                <w:lang w:bidi="ar-SA"/>
              </w:rPr>
            </w:pPr>
            <w:r>
              <w:rPr>
                <w:rFonts w:ascii="Times New Roman" w:cs="宋体" w:hAnsi="Times New Roman" w:hint="eastAsia"/>
                <w:kern w:val="0"/>
                <w:sz w:val="16"/>
                <w:szCs w:val="16"/>
                <w:lang w:bidi="ar-SA"/>
              </w:rPr>
              <w:t>扣除中央基建投资后预算数</w:t>
            </w:r>
          </w:p>
        </w:tc>
        <w:tc>
          <w:tcPr>
            <w:tcW w:w="128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center"/>
              <w:rPr>
                <w:rFonts w:ascii="Times New Roman" w:cs="宋体" w:hAnsi="Times New Roman"/>
                <w:kern w:val="0"/>
                <w:sz w:val="16"/>
                <w:szCs w:val="16"/>
                <w:lang w:bidi="ar-SA"/>
              </w:rPr>
            </w:pPr>
            <w:r>
              <w:rPr>
                <w:rFonts w:ascii="Times New Roman" w:cs="宋体" w:hAnsi="Times New Roman" w:hint="eastAsia"/>
                <w:kern w:val="0"/>
                <w:sz w:val="16"/>
                <w:szCs w:val="16"/>
                <w:lang w:bidi="ar-SA"/>
              </w:rPr>
              <w:t>增减额</w:t>
            </w:r>
          </w:p>
        </w:tc>
        <w:tc>
          <w:tcPr>
            <w:tcW w:w="9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center"/>
              <w:rPr>
                <w:rFonts w:ascii="Times New Roman" w:cs="宋体" w:hAnsi="Times New Roman"/>
                <w:kern w:val="0"/>
                <w:sz w:val="16"/>
                <w:szCs w:val="16"/>
                <w:lang w:bidi="ar-SA"/>
              </w:rPr>
            </w:pPr>
            <w:r>
              <w:rPr>
                <w:rFonts w:ascii="Times New Roman" w:cs="宋体" w:hAnsi="Times New Roman" w:hint="eastAsia"/>
                <w:kern w:val="0"/>
                <w:sz w:val="16"/>
                <w:szCs w:val="16"/>
                <w:lang w:bidi="ar-SA"/>
              </w:rPr>
              <w:t>增减</w:t>
            </w:r>
            <w:r>
              <w:rPr>
                <w:rFonts w:ascii="Times New Roman" w:cs="宋体" w:hAnsi="Times New Roman"/>
                <w:kern w:val="0"/>
                <w:sz w:val="16"/>
                <w:szCs w:val="16"/>
                <w:lang w:bidi="ar-SA"/>
              </w:rPr>
              <w:t>(%)</w:t>
            </w:r>
          </w:p>
        </w:tc>
        <w:tc>
          <w:tcPr>
            <w:tcW w:w="121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center"/>
              <w:rPr>
                <w:rFonts w:ascii="Times New Roman" w:cs="宋体" w:hAnsi="Times New Roman"/>
                <w:kern w:val="0"/>
                <w:sz w:val="16"/>
                <w:szCs w:val="16"/>
                <w:lang w:bidi="ar-SA"/>
              </w:rPr>
            </w:pPr>
            <w:r>
              <w:rPr>
                <w:rFonts w:ascii="Times New Roman" w:cs="宋体" w:hAnsi="Times New Roman" w:hint="eastAsia"/>
                <w:kern w:val="0"/>
                <w:sz w:val="16"/>
                <w:szCs w:val="16"/>
                <w:lang w:bidi="ar-SA"/>
              </w:rPr>
              <w:t>增减额</w:t>
            </w:r>
          </w:p>
        </w:tc>
        <w:tc>
          <w:tcPr>
            <w:tcW w:w="102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center"/>
              <w:rPr>
                <w:rFonts w:ascii="Times New Roman" w:cs="宋体" w:hAnsi="Times New Roman"/>
                <w:kern w:val="0"/>
                <w:sz w:val="16"/>
                <w:szCs w:val="16"/>
                <w:lang w:bidi="ar-SA"/>
              </w:rPr>
            </w:pPr>
            <w:r>
              <w:rPr>
                <w:rFonts w:ascii="Times New Roman" w:cs="宋体" w:hAnsi="Times New Roman" w:hint="eastAsia"/>
                <w:kern w:val="0"/>
                <w:sz w:val="16"/>
                <w:szCs w:val="16"/>
                <w:lang w:bidi="ar-SA"/>
              </w:rPr>
              <w:t>增减（</w:t>
            </w:r>
            <w:r>
              <w:rPr>
                <w:rFonts w:ascii="Times New Roman" w:cs="宋体" w:hAnsi="Times New Roman"/>
                <w:kern w:val="0"/>
                <w:sz w:val="16"/>
                <w:szCs w:val="16"/>
                <w:lang w:bidi="ar-SA"/>
              </w:rPr>
              <w:t>%)</w:t>
            </w:r>
          </w:p>
        </w:tc>
      </w:tr>
      <w:tr>
        <w:trPr>
          <w:trHeight w:val="255"/>
        </w:trPr>
        <w:tc>
          <w:tcPr>
            <w:tcW w:w="962" w:type="dxa"/>
            <w:vMerge/>
            <w:tcBorders>
              <w:top w:val="single" w:sz="4" w:space="0" w:color="auto"/>
              <w:left w:val="single" w:sz="4" w:space="0" w:color="auto"/>
              <w:bottom w:val="single" w:sz="4" w:space="0" w:color="auto"/>
              <w:right w:val="single" w:sz="4" w:space="0" w:color="auto"/>
            </w:tcBorders>
            <w:vAlign w:val="center"/>
          </w:tcPr>
          <w:p/>
        </w:tc>
        <w:tc>
          <w:tcPr>
            <w:tcW w:w="2265" w:type="dxa"/>
            <w:vMerge/>
            <w:tcBorders>
              <w:top w:val="single" w:sz="4" w:space="0" w:color="auto"/>
              <w:left w:val="single" w:sz="4" w:space="0" w:color="auto"/>
              <w:bottom w:val="single" w:sz="4" w:space="0" w:color="auto"/>
              <w:right w:val="single" w:sz="4" w:space="0" w:color="auto"/>
            </w:tcBorders>
            <w:vAlign w:val="center"/>
          </w:tcPr>
          <w:p/>
        </w:tc>
        <w:tc>
          <w:tcPr>
            <w:tcW w:w="1276" w:type="dxa"/>
            <w:vMerge/>
            <w:tcBorders>
              <w:top w:val="single" w:sz="4" w:space="0" w:color="auto"/>
              <w:left w:val="single" w:sz="4" w:space="0" w:color="auto"/>
              <w:bottom w:val="single" w:sz="4" w:space="0" w:color="auto"/>
              <w:right w:val="single" w:sz="4" w:space="0" w:color="auto"/>
            </w:tcBorders>
            <w:vAlign w:val="center"/>
          </w:tcPr>
          <w:p/>
        </w:tc>
        <w:tc>
          <w:tcPr>
            <w:tcW w:w="1562" w:type="dxa"/>
            <w:vMerge/>
            <w:tcBorders>
              <w:top w:val="single" w:sz="4" w:space="0" w:color="auto"/>
              <w:left w:val="single" w:sz="4" w:space="0" w:color="auto"/>
              <w:bottom w:val="single" w:sz="4" w:space="0" w:color="auto"/>
              <w:right w:val="single" w:sz="4" w:space="0" w:color="auto"/>
            </w:tcBorders>
            <w:vAlign w:val="center"/>
          </w:tcPr>
          <w:p/>
        </w:tc>
        <w:tc>
          <w:tcPr>
            <w:tcW w:w="1390" w:type="dxa"/>
            <w:tcBorders>
              <w:top w:val="single" w:sz="4" w:space="0" w:color="auto"/>
              <w:left w:val="nil"/>
              <w:bottom w:val="single" w:sz="4" w:space="0" w:color="auto"/>
              <w:right w:val="single" w:sz="4" w:space="0" w:color="auto"/>
            </w:tcBorders>
            <w:shd w:val="clear" w:color="auto" w:fill="auto"/>
            <w:vAlign w:val="center"/>
          </w:tcPr>
          <w:p>
            <w:pPr>
              <w:widowControl/>
              <w:autoSpaceDN w:val="0"/>
              <w:jc w:val="center"/>
              <w:rPr>
                <w:rFonts w:ascii="Times New Roman" w:cs="宋体" w:hAnsi="Times New Roman"/>
                <w:kern w:val="0"/>
                <w:sz w:val="16"/>
                <w:szCs w:val="16"/>
                <w:lang w:bidi="ar-SA"/>
              </w:rPr>
            </w:pPr>
            <w:r>
              <w:rPr>
                <w:rFonts w:ascii="Times New Roman" w:cs="宋体" w:hAnsi="Times New Roman" w:hint="eastAsia"/>
                <w:kern w:val="0"/>
                <w:sz w:val="16"/>
                <w:szCs w:val="16"/>
                <w:lang w:bidi="ar-SA"/>
              </w:rPr>
              <w:t>小计</w:t>
            </w:r>
          </w:p>
        </w:tc>
        <w:tc>
          <w:tcPr>
            <w:tcW w:w="1310" w:type="dxa"/>
            <w:tcBorders>
              <w:top w:val="single" w:sz="4" w:space="0" w:color="auto"/>
              <w:left w:val="nil"/>
              <w:bottom w:val="single" w:sz="4" w:space="0" w:color="auto"/>
              <w:right w:val="single" w:sz="4" w:space="0" w:color="auto"/>
            </w:tcBorders>
            <w:shd w:val="clear" w:color="auto" w:fill="auto"/>
            <w:vAlign w:val="center"/>
          </w:tcPr>
          <w:p>
            <w:pPr>
              <w:widowControl/>
              <w:autoSpaceDN w:val="0"/>
              <w:jc w:val="center"/>
              <w:rPr>
                <w:rFonts w:ascii="Times New Roman" w:cs="宋体" w:hAnsi="Times New Roman"/>
                <w:kern w:val="0"/>
                <w:sz w:val="16"/>
                <w:szCs w:val="16"/>
                <w:lang w:bidi="ar-SA"/>
              </w:rPr>
            </w:pPr>
            <w:r>
              <w:rPr>
                <w:rFonts w:ascii="Times New Roman" w:cs="宋体" w:hAnsi="Times New Roman" w:hint="eastAsia"/>
                <w:kern w:val="0"/>
                <w:sz w:val="16"/>
                <w:szCs w:val="16"/>
                <w:lang w:bidi="ar-SA"/>
              </w:rPr>
              <w:t>基本支出</w:t>
            </w:r>
          </w:p>
        </w:tc>
        <w:tc>
          <w:tcPr>
            <w:tcW w:w="1150" w:type="dxa"/>
            <w:tcBorders>
              <w:top w:val="single" w:sz="4" w:space="0" w:color="auto"/>
              <w:left w:val="nil"/>
              <w:bottom w:val="single" w:sz="4" w:space="0" w:color="auto"/>
              <w:right w:val="single" w:sz="4" w:space="0" w:color="auto"/>
            </w:tcBorders>
            <w:shd w:val="clear" w:color="auto" w:fill="auto"/>
            <w:vAlign w:val="center"/>
          </w:tcPr>
          <w:p>
            <w:pPr>
              <w:widowControl/>
              <w:autoSpaceDN w:val="0"/>
              <w:jc w:val="center"/>
              <w:rPr>
                <w:rFonts w:ascii="Times New Roman" w:cs="宋体" w:hAnsi="Times New Roman"/>
                <w:kern w:val="0"/>
                <w:sz w:val="16"/>
                <w:szCs w:val="16"/>
                <w:lang w:bidi="ar-SA"/>
              </w:rPr>
            </w:pPr>
            <w:r>
              <w:rPr>
                <w:rFonts w:ascii="Times New Roman" w:cs="宋体" w:hAnsi="Times New Roman" w:hint="eastAsia"/>
                <w:kern w:val="0"/>
                <w:sz w:val="16"/>
                <w:szCs w:val="16"/>
                <w:lang w:bidi="ar-SA"/>
              </w:rPr>
              <w:t>项目支出</w:t>
            </w:r>
          </w:p>
        </w:tc>
        <w:tc>
          <w:tcPr>
            <w:tcW w:w="1630" w:type="dxa"/>
            <w:vMerge/>
            <w:tcBorders>
              <w:top w:val="single" w:sz="4" w:space="0" w:color="auto"/>
              <w:left w:val="single" w:sz="4" w:space="0" w:color="auto"/>
              <w:bottom w:val="single" w:sz="4" w:space="0" w:color="auto"/>
              <w:right w:val="single" w:sz="4" w:space="0" w:color="auto"/>
            </w:tcBorders>
            <w:vAlign w:val="center"/>
          </w:tcPr>
          <w:p/>
        </w:tc>
        <w:tc>
          <w:tcPr>
            <w:tcW w:w="1284" w:type="dxa"/>
            <w:vMerge/>
            <w:tcBorders>
              <w:top w:val="single" w:sz="4" w:space="0" w:color="auto"/>
              <w:left w:val="single" w:sz="4" w:space="0" w:color="auto"/>
              <w:bottom w:val="single" w:sz="4" w:space="0" w:color="auto"/>
              <w:right w:val="single" w:sz="4" w:space="0" w:color="auto"/>
            </w:tcBorders>
            <w:vAlign w:val="center"/>
          </w:tcPr>
          <w:p/>
        </w:tc>
        <w:tc>
          <w:tcPr>
            <w:tcW w:w="964" w:type="dxa"/>
            <w:vMerge/>
            <w:tcBorders>
              <w:top w:val="single" w:sz="4" w:space="0" w:color="auto"/>
              <w:left w:val="single" w:sz="4" w:space="0" w:color="auto"/>
              <w:bottom w:val="single" w:sz="4" w:space="0" w:color="auto"/>
              <w:right w:val="single" w:sz="4" w:space="0" w:color="auto"/>
            </w:tcBorders>
            <w:vAlign w:val="center"/>
          </w:tcPr>
          <w:p/>
        </w:tc>
        <w:tc>
          <w:tcPr>
            <w:tcW w:w="1216" w:type="dxa"/>
            <w:vMerge/>
            <w:tcBorders>
              <w:top w:val="single" w:sz="4" w:space="0" w:color="auto"/>
              <w:left w:val="single" w:sz="4" w:space="0" w:color="auto"/>
              <w:bottom w:val="single" w:sz="4" w:space="0" w:color="auto"/>
              <w:right w:val="single" w:sz="4" w:space="0" w:color="auto"/>
            </w:tcBorders>
            <w:vAlign w:val="center"/>
          </w:tcPr>
          <w:p/>
        </w:tc>
        <w:tc>
          <w:tcPr>
            <w:tcW w:w="1029" w:type="dxa"/>
            <w:vMerge/>
            <w:tcBorders>
              <w:top w:val="single" w:sz="4" w:space="0" w:color="auto"/>
              <w:left w:val="single" w:sz="4" w:space="0" w:color="auto"/>
              <w:bottom w:val="single" w:sz="4" w:space="0" w:color="auto"/>
              <w:right w:val="single" w:sz="4" w:space="0" w:color="auto"/>
            </w:tcBorders>
            <w:vAlign w:val="center"/>
          </w:tcPr>
          <w:p/>
        </w:tc>
      </w:tr>
      <w:tr>
        <w:trPr>
          <w:trHeight w:val="255"/>
        </w:trPr>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b/>
                <w:bCs/>
                <w:color w:val="000000"/>
                <w:kern w:val="0"/>
                <w:sz w:val="16"/>
                <w:szCs w:val="16"/>
                <w:lang w:bidi="ar-SA"/>
              </w:rPr>
            </w:pPr>
            <w:r>
              <w:rPr>
                <w:rFonts w:ascii="Times New Roman" w:cs="宋体" w:hAnsi="Times New Roman"/>
                <w:b/>
                <w:bCs/>
                <w:color w:val="000000"/>
                <w:kern w:val="0"/>
                <w:sz w:val="16"/>
                <w:szCs w:val="16"/>
                <w:lang w:bidi="ar-SA"/>
              </w:rPr>
              <w:t>201</w:t>
            </w:r>
          </w:p>
        </w:tc>
        <w:tc>
          <w:tcPr>
            <w:tcW w:w="2265"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b/>
                <w:bCs/>
                <w:color w:val="000000"/>
                <w:kern w:val="0"/>
                <w:sz w:val="16"/>
                <w:szCs w:val="16"/>
                <w:lang w:bidi="ar-SA"/>
              </w:rPr>
            </w:pPr>
            <w:r>
              <w:rPr>
                <w:rFonts w:ascii="Times New Roman" w:cs="宋体" w:hAnsi="Times New Roman"/>
                <w:b/>
                <w:bCs/>
                <w:color w:val="000000"/>
                <w:kern w:val="0"/>
                <w:sz w:val="16"/>
                <w:szCs w:val="16"/>
                <w:lang w:bidi="ar-SA"/>
              </w:rPr>
              <w:t xml:space="preserve">  </w:t>
            </w:r>
            <w:r>
              <w:rPr>
                <w:rFonts w:ascii="Times New Roman" w:cs="宋体" w:hAnsi="Times New Roman" w:hint="eastAsia"/>
                <w:b/>
                <w:bCs/>
                <w:color w:val="000000"/>
                <w:kern w:val="0"/>
                <w:sz w:val="16"/>
                <w:szCs w:val="16"/>
                <w:lang w:bidi="ar-SA"/>
              </w:rPr>
              <w:t>一般公共服务支出</w:t>
            </w:r>
          </w:p>
        </w:tc>
        <w:tc>
          <w:tcPr>
            <w:tcW w:w="1276"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r>
              <w:rPr>
                <w:rFonts w:ascii="Times New Roman" w:cs="Times New Roman" w:hAnsi="Times New Roman" w:hint="eastAsia"/>
                <w:b/>
                <w:bCs/>
                <w:color w:val="000000"/>
                <w:kern w:val="0"/>
                <w:sz w:val="16"/>
                <w:szCs w:val="16"/>
                <w:lang w:bidi="ar-SA"/>
              </w:rPr>
              <w:t>880.31</w:t>
            </w:r>
          </w:p>
        </w:tc>
        <w:tc>
          <w:tcPr>
            <w:tcW w:w="1562"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r>
              <w:rPr>
                <w:rFonts w:ascii="Times New Roman" w:cs="Times New Roman" w:hAnsi="Times New Roman" w:hint="eastAsia"/>
                <w:b/>
                <w:bCs/>
                <w:color w:val="000000"/>
                <w:kern w:val="0"/>
                <w:sz w:val="16"/>
                <w:szCs w:val="16"/>
                <w:lang w:bidi="ar-SA"/>
              </w:rPr>
              <w:t>874.31</w:t>
            </w:r>
          </w:p>
        </w:tc>
        <w:tc>
          <w:tcPr>
            <w:tcW w:w="1390"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r>
              <w:rPr>
                <w:rFonts w:ascii="Times New Roman" w:cs="Times New Roman" w:hAnsi="Times New Roman" w:hint="eastAsia"/>
                <w:b/>
                <w:bCs/>
                <w:color w:val="000000"/>
                <w:kern w:val="0"/>
                <w:sz w:val="16"/>
                <w:szCs w:val="16"/>
                <w:lang w:bidi="ar-SA"/>
              </w:rPr>
              <w:t>678.45</w:t>
            </w:r>
          </w:p>
        </w:tc>
        <w:tc>
          <w:tcPr>
            <w:tcW w:w="1310"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r>
              <w:rPr>
                <w:rFonts w:ascii="Times New Roman" w:cs="Times New Roman" w:hAnsi="Times New Roman" w:hint="eastAsia"/>
                <w:b/>
                <w:bCs/>
                <w:color w:val="000000"/>
                <w:kern w:val="0"/>
                <w:sz w:val="16"/>
                <w:szCs w:val="16"/>
                <w:lang w:bidi="ar-SA"/>
              </w:rPr>
              <w:t>678.45</w:t>
            </w:r>
          </w:p>
        </w:tc>
        <w:tc>
          <w:tcPr>
            <w:tcW w:w="1150"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p>
        </w:tc>
        <w:tc>
          <w:tcPr>
            <w:tcW w:w="1630"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r>
              <w:rPr>
                <w:rFonts w:ascii="Times New Roman" w:cs="Times New Roman" w:hAnsi="Times New Roman" w:hint="eastAsia"/>
                <w:b/>
                <w:bCs/>
                <w:color w:val="000000"/>
                <w:kern w:val="0"/>
                <w:sz w:val="16"/>
                <w:szCs w:val="16"/>
                <w:lang w:bidi="ar-SA"/>
              </w:rPr>
              <w:t>678.45</w:t>
            </w:r>
          </w:p>
        </w:tc>
        <w:tc>
          <w:tcPr>
            <w:tcW w:w="1284" w:type="dxa"/>
            <w:tcBorders>
              <w:top w:val="single" w:sz="4" w:space="0" w:color="auto"/>
              <w:left w:val="nil"/>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b/>
                <w:bCs/>
                <w:color w:val="000000"/>
                <w:sz w:val="16"/>
                <w:szCs w:val="16"/>
                <w:lang w:bidi="ar-SA"/>
              </w:rPr>
            </w:pPr>
            <w:r>
              <w:rPr>
                <w:rFonts w:ascii="Times New Roman" w:cs="Times New Roman" w:hAnsi="Times New Roman" w:hint="eastAsia"/>
                <w:b/>
                <w:bCs/>
                <w:color w:val="000000"/>
                <w:sz w:val="16"/>
                <w:szCs w:val="16"/>
                <w:lang w:bidi="ar-SA"/>
              </w:rPr>
              <w:t>-201.86</w:t>
            </w:r>
          </w:p>
        </w:tc>
        <w:tc>
          <w:tcPr>
            <w:tcW w:w="964" w:type="dxa"/>
            <w:tcBorders>
              <w:top w:val="single" w:sz="4" w:space="0" w:color="auto"/>
              <w:left w:val="nil"/>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b/>
                <w:bCs/>
                <w:color w:val="000000"/>
                <w:sz w:val="16"/>
                <w:szCs w:val="16"/>
                <w:lang w:bidi="ar-SA"/>
              </w:rPr>
            </w:pPr>
            <w:r>
              <w:rPr>
                <w:rFonts w:ascii="Times New Roman" w:cs="Times New Roman" w:hAnsi="Times New Roman" w:hint="eastAsia"/>
                <w:b/>
                <w:bCs/>
                <w:color w:val="000000"/>
                <w:sz w:val="16"/>
                <w:szCs w:val="16"/>
                <w:lang w:bidi="ar-SA"/>
              </w:rPr>
              <w:t>-29.75%</w:t>
            </w:r>
          </w:p>
        </w:tc>
        <w:tc>
          <w:tcPr>
            <w:tcW w:w="1216" w:type="dxa"/>
            <w:tcBorders>
              <w:top w:val="single" w:sz="4" w:space="0" w:color="auto"/>
              <w:left w:val="nil"/>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b/>
                <w:bCs/>
                <w:color w:val="000000"/>
                <w:sz w:val="16"/>
                <w:szCs w:val="16"/>
                <w:lang w:bidi="ar-SA"/>
              </w:rPr>
            </w:pPr>
            <w:r>
              <w:rPr>
                <w:rFonts w:ascii="Times New Roman" w:cs="Times New Roman" w:hAnsi="Times New Roman" w:hint="eastAsia"/>
                <w:b/>
                <w:bCs/>
                <w:color w:val="000000"/>
                <w:sz w:val="16"/>
                <w:szCs w:val="16"/>
                <w:lang w:bidi="ar-SA"/>
              </w:rPr>
              <w:t>-195.86</w:t>
            </w:r>
          </w:p>
        </w:tc>
        <w:tc>
          <w:tcPr>
            <w:tcW w:w="1029" w:type="dxa"/>
            <w:tcBorders>
              <w:top w:val="single" w:sz="4" w:space="0" w:color="auto"/>
              <w:left w:val="nil"/>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b/>
                <w:bCs/>
                <w:color w:val="000000"/>
                <w:sz w:val="16"/>
                <w:szCs w:val="16"/>
                <w:lang w:bidi="ar-SA"/>
              </w:rPr>
            </w:pPr>
            <w:r>
              <w:rPr>
                <w:rFonts w:ascii="Times New Roman" w:cs="Times New Roman" w:hAnsi="Times New Roman" w:hint="eastAsia"/>
                <w:b/>
                <w:bCs/>
                <w:color w:val="000000"/>
                <w:sz w:val="16"/>
                <w:szCs w:val="16"/>
                <w:lang w:bidi="ar-SA"/>
              </w:rPr>
              <w:t>-22.40%</w:t>
            </w:r>
          </w:p>
        </w:tc>
      </w:tr>
      <w:tr>
        <w:trPr>
          <w:trHeight w:val="255"/>
        </w:trPr>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b/>
                <w:bCs/>
                <w:color w:val="000000"/>
                <w:kern w:val="0"/>
                <w:sz w:val="16"/>
                <w:szCs w:val="16"/>
                <w:lang w:bidi="ar-SA"/>
              </w:rPr>
            </w:pPr>
            <w:r>
              <w:rPr>
                <w:rFonts w:ascii="Times New Roman" w:cs="宋体" w:hAnsi="Times New Roman"/>
                <w:b/>
                <w:bCs/>
                <w:color w:val="000000"/>
                <w:kern w:val="0"/>
                <w:sz w:val="16"/>
                <w:szCs w:val="16"/>
                <w:lang w:bidi="ar-SA"/>
              </w:rPr>
              <w:t>20109</w:t>
            </w:r>
          </w:p>
        </w:tc>
        <w:tc>
          <w:tcPr>
            <w:tcW w:w="2265"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b/>
                <w:bCs/>
                <w:color w:val="000000"/>
                <w:kern w:val="0"/>
                <w:sz w:val="16"/>
                <w:szCs w:val="16"/>
                <w:lang w:bidi="ar-SA"/>
              </w:rPr>
            </w:pPr>
            <w:r>
              <w:rPr>
                <w:rFonts w:ascii="Times New Roman" w:cs="宋体" w:hAnsi="Times New Roman"/>
                <w:b/>
                <w:bCs/>
                <w:color w:val="000000"/>
                <w:kern w:val="0"/>
                <w:sz w:val="16"/>
                <w:szCs w:val="16"/>
                <w:lang w:bidi="ar-SA"/>
              </w:rPr>
              <w:t xml:space="preserve">    </w:t>
            </w:r>
            <w:r>
              <w:rPr>
                <w:rFonts w:ascii="Times New Roman" w:cs="宋体" w:hAnsi="Times New Roman" w:hint="eastAsia"/>
                <w:b/>
                <w:bCs/>
                <w:color w:val="000000"/>
                <w:kern w:val="0"/>
                <w:sz w:val="16"/>
                <w:szCs w:val="16"/>
                <w:lang w:bidi="ar-SA"/>
              </w:rPr>
              <w:t>海关事务</w:t>
            </w:r>
          </w:p>
        </w:tc>
        <w:tc>
          <w:tcPr>
            <w:tcW w:w="1276"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r>
              <w:rPr>
                <w:rFonts w:ascii="Times New Roman" w:cs="Times New Roman" w:hAnsi="Times New Roman" w:hint="eastAsia"/>
                <w:b/>
                <w:bCs/>
                <w:color w:val="000000"/>
                <w:kern w:val="0"/>
                <w:sz w:val="16"/>
                <w:szCs w:val="16"/>
                <w:lang w:bidi="ar-SA"/>
              </w:rPr>
              <w:t>880.31</w:t>
            </w:r>
          </w:p>
        </w:tc>
        <w:tc>
          <w:tcPr>
            <w:tcW w:w="1562"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r>
              <w:rPr>
                <w:rFonts w:ascii="Times New Roman" w:cs="Times New Roman" w:hAnsi="Times New Roman" w:hint="eastAsia"/>
                <w:b/>
                <w:bCs/>
                <w:color w:val="000000"/>
                <w:kern w:val="0"/>
                <w:sz w:val="16"/>
                <w:szCs w:val="16"/>
                <w:lang w:bidi="ar-SA"/>
              </w:rPr>
              <w:t>874.31</w:t>
            </w:r>
          </w:p>
        </w:tc>
        <w:tc>
          <w:tcPr>
            <w:tcW w:w="1390"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r>
              <w:rPr>
                <w:rFonts w:ascii="Times New Roman" w:cs="Times New Roman" w:hAnsi="Times New Roman" w:hint="eastAsia"/>
                <w:b/>
                <w:bCs/>
                <w:color w:val="000000"/>
                <w:kern w:val="0"/>
                <w:sz w:val="16"/>
                <w:szCs w:val="16"/>
                <w:lang w:bidi="ar-SA"/>
              </w:rPr>
              <w:t>678.45</w:t>
            </w:r>
          </w:p>
        </w:tc>
        <w:tc>
          <w:tcPr>
            <w:tcW w:w="1310"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r>
              <w:rPr>
                <w:rFonts w:ascii="Times New Roman" w:cs="Times New Roman" w:hAnsi="Times New Roman" w:hint="eastAsia"/>
                <w:b/>
                <w:bCs/>
                <w:color w:val="000000"/>
                <w:kern w:val="0"/>
                <w:sz w:val="16"/>
                <w:szCs w:val="16"/>
                <w:lang w:bidi="ar-SA"/>
              </w:rPr>
              <w:t>678.45</w:t>
            </w:r>
          </w:p>
        </w:tc>
        <w:tc>
          <w:tcPr>
            <w:tcW w:w="1150"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p>
        </w:tc>
        <w:tc>
          <w:tcPr>
            <w:tcW w:w="1630"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r>
              <w:rPr>
                <w:rFonts w:ascii="Times New Roman" w:cs="Times New Roman" w:hAnsi="Times New Roman" w:hint="eastAsia"/>
                <w:b/>
                <w:bCs/>
                <w:color w:val="000000"/>
                <w:kern w:val="0"/>
                <w:sz w:val="16"/>
                <w:szCs w:val="16"/>
                <w:lang w:bidi="ar-SA"/>
              </w:rPr>
              <w:t>678.45</w:t>
            </w:r>
          </w:p>
        </w:tc>
        <w:tc>
          <w:tcPr>
            <w:tcW w:w="1284" w:type="dxa"/>
            <w:tcBorders>
              <w:top w:val="single" w:sz="4" w:space="0" w:color="auto"/>
              <w:left w:val="nil"/>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b/>
                <w:bCs/>
                <w:color w:val="000000"/>
                <w:sz w:val="16"/>
                <w:szCs w:val="16"/>
                <w:lang w:bidi="ar-SA"/>
              </w:rPr>
            </w:pPr>
            <w:r>
              <w:rPr>
                <w:rFonts w:ascii="Times New Roman" w:cs="Times New Roman" w:hAnsi="Times New Roman" w:hint="eastAsia"/>
                <w:b/>
                <w:bCs/>
                <w:color w:val="000000"/>
                <w:sz w:val="16"/>
                <w:szCs w:val="16"/>
                <w:lang w:bidi="ar-SA"/>
              </w:rPr>
              <w:t>-201.86</w:t>
            </w:r>
          </w:p>
        </w:tc>
        <w:tc>
          <w:tcPr>
            <w:tcW w:w="964" w:type="dxa"/>
            <w:tcBorders>
              <w:top w:val="single" w:sz="4" w:space="0" w:color="auto"/>
              <w:left w:val="nil"/>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b/>
                <w:bCs/>
                <w:color w:val="000000"/>
                <w:sz w:val="16"/>
                <w:szCs w:val="16"/>
                <w:lang w:bidi="ar-SA"/>
              </w:rPr>
            </w:pPr>
            <w:r>
              <w:rPr>
                <w:rFonts w:ascii="Times New Roman" w:cs="Times New Roman" w:hAnsi="Times New Roman" w:hint="eastAsia"/>
                <w:b/>
                <w:bCs/>
                <w:color w:val="000000"/>
                <w:sz w:val="16"/>
                <w:szCs w:val="16"/>
                <w:lang w:bidi="ar-SA"/>
              </w:rPr>
              <w:t>-29.75%</w:t>
            </w:r>
          </w:p>
        </w:tc>
        <w:tc>
          <w:tcPr>
            <w:tcW w:w="1216" w:type="dxa"/>
            <w:tcBorders>
              <w:top w:val="single" w:sz="4" w:space="0" w:color="auto"/>
              <w:left w:val="nil"/>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b/>
                <w:bCs/>
                <w:color w:val="000000"/>
                <w:sz w:val="16"/>
                <w:szCs w:val="16"/>
                <w:lang w:bidi="ar-SA"/>
              </w:rPr>
            </w:pPr>
            <w:r>
              <w:rPr>
                <w:rFonts w:ascii="Times New Roman" w:cs="Times New Roman" w:hAnsi="Times New Roman" w:hint="eastAsia"/>
                <w:b/>
                <w:bCs/>
                <w:color w:val="000000"/>
                <w:sz w:val="16"/>
                <w:szCs w:val="16"/>
                <w:lang w:bidi="ar-SA"/>
              </w:rPr>
              <w:t>-195.86</w:t>
            </w:r>
          </w:p>
        </w:tc>
        <w:tc>
          <w:tcPr>
            <w:tcW w:w="1029" w:type="dxa"/>
            <w:tcBorders>
              <w:top w:val="single" w:sz="4" w:space="0" w:color="auto"/>
              <w:left w:val="nil"/>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b/>
                <w:bCs/>
                <w:color w:val="000000"/>
                <w:sz w:val="16"/>
                <w:szCs w:val="16"/>
                <w:lang w:bidi="ar-SA"/>
              </w:rPr>
            </w:pPr>
            <w:r>
              <w:rPr>
                <w:rFonts w:ascii="Times New Roman" w:cs="Times New Roman" w:hAnsi="Times New Roman" w:hint="eastAsia"/>
                <w:b/>
                <w:bCs/>
                <w:color w:val="000000"/>
                <w:sz w:val="16"/>
                <w:szCs w:val="16"/>
                <w:lang w:bidi="ar-SA"/>
              </w:rPr>
              <w:t>-22.40%</w:t>
            </w:r>
          </w:p>
        </w:tc>
      </w:tr>
      <w:tr>
        <w:trPr>
          <w:trHeight w:val="255"/>
        </w:trPr>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16"/>
                <w:szCs w:val="16"/>
                <w:lang w:bidi="ar-SA"/>
              </w:rPr>
            </w:pPr>
            <w:r>
              <w:rPr>
                <w:rFonts w:ascii="Times New Roman" w:cs="宋体" w:hAnsi="Times New Roman"/>
                <w:color w:val="000000"/>
                <w:kern w:val="0"/>
                <w:sz w:val="16"/>
                <w:szCs w:val="16"/>
                <w:lang w:bidi="ar-SA"/>
              </w:rPr>
              <w:t>2010901</w:t>
            </w:r>
          </w:p>
        </w:tc>
        <w:tc>
          <w:tcPr>
            <w:tcW w:w="2265"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16"/>
                <w:szCs w:val="16"/>
                <w:lang w:bidi="ar-SA"/>
              </w:rPr>
            </w:pPr>
            <w:r>
              <w:rPr>
                <w:rFonts w:ascii="Times New Roman" w:cs="宋体" w:hAnsi="Times New Roman" w:hint="eastAsia"/>
                <w:color w:val="000000"/>
                <w:kern w:val="0"/>
                <w:sz w:val="16"/>
                <w:szCs w:val="16"/>
                <w:lang w:bidi="ar-SA"/>
              </w:rPr>
              <w:t>行政运行</w:t>
            </w:r>
          </w:p>
        </w:tc>
        <w:tc>
          <w:tcPr>
            <w:tcW w:w="1276"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611.52</w:t>
            </w:r>
          </w:p>
        </w:tc>
        <w:tc>
          <w:tcPr>
            <w:tcW w:w="1562"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611.52</w:t>
            </w:r>
          </w:p>
        </w:tc>
        <w:tc>
          <w:tcPr>
            <w:tcW w:w="1390"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558.09</w:t>
            </w:r>
          </w:p>
        </w:tc>
        <w:tc>
          <w:tcPr>
            <w:tcW w:w="1310"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558.09</w:t>
            </w:r>
          </w:p>
        </w:tc>
        <w:tc>
          <w:tcPr>
            <w:tcW w:w="1150"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p>
        </w:tc>
        <w:tc>
          <w:tcPr>
            <w:tcW w:w="1630"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558.09</w:t>
            </w:r>
          </w:p>
        </w:tc>
        <w:tc>
          <w:tcPr>
            <w:tcW w:w="1284" w:type="dxa"/>
            <w:tcBorders>
              <w:top w:val="single" w:sz="4" w:space="0" w:color="auto"/>
              <w:left w:val="nil"/>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color w:val="000000"/>
                <w:sz w:val="16"/>
                <w:szCs w:val="16"/>
                <w:lang w:bidi="ar-SA"/>
              </w:rPr>
            </w:pPr>
            <w:r>
              <w:rPr>
                <w:rFonts w:ascii="Times New Roman" w:cs="Times New Roman" w:hAnsi="Times New Roman" w:hint="eastAsia"/>
                <w:color w:val="000000"/>
                <w:sz w:val="16"/>
                <w:szCs w:val="16"/>
                <w:lang w:bidi="ar-SA"/>
              </w:rPr>
              <w:t>-53.43</w:t>
            </w:r>
          </w:p>
        </w:tc>
        <w:tc>
          <w:tcPr>
            <w:tcW w:w="964" w:type="dxa"/>
            <w:tcBorders>
              <w:top w:val="single" w:sz="4" w:space="0" w:color="auto"/>
              <w:left w:val="nil"/>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color w:val="000000"/>
                <w:sz w:val="16"/>
                <w:szCs w:val="16"/>
                <w:lang w:bidi="ar-SA"/>
              </w:rPr>
            </w:pPr>
            <w:r>
              <w:rPr>
                <w:rFonts w:ascii="Times New Roman" w:cs="Times New Roman" w:hAnsi="Times New Roman" w:hint="eastAsia"/>
                <w:color w:val="000000"/>
                <w:sz w:val="16"/>
                <w:szCs w:val="16"/>
                <w:lang w:bidi="ar-SA"/>
              </w:rPr>
              <w:t>-8.74%</w:t>
            </w:r>
          </w:p>
        </w:tc>
        <w:tc>
          <w:tcPr>
            <w:tcW w:w="1216" w:type="dxa"/>
            <w:tcBorders>
              <w:top w:val="single" w:sz="4" w:space="0" w:color="auto"/>
              <w:left w:val="nil"/>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color w:val="000000"/>
                <w:sz w:val="16"/>
                <w:szCs w:val="16"/>
                <w:lang w:bidi="ar-SA"/>
              </w:rPr>
            </w:pPr>
            <w:r>
              <w:rPr>
                <w:rFonts w:ascii="Times New Roman" w:cs="Times New Roman" w:hAnsi="Times New Roman" w:hint="eastAsia"/>
                <w:color w:val="000000"/>
                <w:sz w:val="16"/>
                <w:szCs w:val="16"/>
                <w:lang w:bidi="ar-SA"/>
              </w:rPr>
              <w:t>-53.43</w:t>
            </w:r>
          </w:p>
        </w:tc>
        <w:tc>
          <w:tcPr>
            <w:tcW w:w="1029" w:type="dxa"/>
            <w:tcBorders>
              <w:top w:val="single" w:sz="4" w:space="0" w:color="auto"/>
              <w:left w:val="nil"/>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color w:val="000000"/>
                <w:sz w:val="16"/>
                <w:szCs w:val="16"/>
                <w:lang w:bidi="ar-SA"/>
              </w:rPr>
            </w:pPr>
            <w:r>
              <w:rPr>
                <w:rFonts w:ascii="Times New Roman" w:cs="Times New Roman" w:hAnsi="Times New Roman" w:hint="eastAsia"/>
                <w:color w:val="000000"/>
                <w:sz w:val="16"/>
                <w:szCs w:val="16"/>
                <w:lang w:bidi="ar-SA"/>
              </w:rPr>
              <w:t>-8.74%</w:t>
            </w:r>
          </w:p>
        </w:tc>
      </w:tr>
      <w:tr>
        <w:trPr>
          <w:trHeight w:val="255"/>
        </w:trPr>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16"/>
                <w:szCs w:val="16"/>
                <w:lang w:bidi="ar-SA"/>
              </w:rPr>
            </w:pPr>
            <w:r>
              <w:rPr>
                <w:rFonts w:ascii="Times New Roman" w:cs="宋体" w:hAnsi="Times New Roman" w:hint="eastAsia"/>
                <w:color w:val="000000"/>
                <w:kern w:val="0"/>
                <w:sz w:val="16"/>
                <w:szCs w:val="16"/>
                <w:lang w:bidi="ar-SA"/>
              </w:rPr>
              <w:t>2010902</w:t>
            </w:r>
          </w:p>
        </w:tc>
        <w:tc>
          <w:tcPr>
            <w:tcW w:w="2265"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16"/>
                <w:szCs w:val="16"/>
                <w:lang w:bidi="ar-SA"/>
              </w:rPr>
            </w:pPr>
            <w:r>
              <w:rPr>
                <w:rFonts w:ascii="Times New Roman" w:cs="宋体" w:hAnsi="Times New Roman" w:hint="eastAsia"/>
                <w:color w:val="000000"/>
                <w:kern w:val="0"/>
                <w:sz w:val="16"/>
                <w:szCs w:val="16"/>
                <w:lang w:bidi="ar-SA"/>
              </w:rPr>
              <w:t>一般行政管理事务</w:t>
            </w:r>
          </w:p>
        </w:tc>
        <w:tc>
          <w:tcPr>
            <w:tcW w:w="1276"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6.00</w:t>
            </w:r>
          </w:p>
        </w:tc>
        <w:tc>
          <w:tcPr>
            <w:tcW w:w="1562"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p>
        </w:tc>
        <w:tc>
          <w:tcPr>
            <w:tcW w:w="1390"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p>
        </w:tc>
        <w:tc>
          <w:tcPr>
            <w:tcW w:w="1310"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p>
        </w:tc>
        <w:tc>
          <w:tcPr>
            <w:tcW w:w="1150"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p>
        </w:tc>
        <w:tc>
          <w:tcPr>
            <w:tcW w:w="1630"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p>
        </w:tc>
        <w:tc>
          <w:tcPr>
            <w:tcW w:w="1284" w:type="dxa"/>
            <w:tcBorders>
              <w:top w:val="single" w:sz="4" w:space="0" w:color="auto"/>
              <w:left w:val="nil"/>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color w:val="000000"/>
                <w:sz w:val="16"/>
                <w:szCs w:val="16"/>
                <w:lang w:bidi="ar-SA"/>
              </w:rPr>
            </w:pPr>
            <w:r>
              <w:rPr>
                <w:rFonts w:ascii="Times New Roman" w:cs="Times New Roman" w:hAnsi="Times New Roman" w:hint="eastAsia"/>
                <w:color w:val="000000"/>
                <w:sz w:val="16"/>
                <w:szCs w:val="16"/>
                <w:lang w:bidi="ar-SA"/>
              </w:rPr>
              <w:t>-6.00</w:t>
            </w:r>
          </w:p>
        </w:tc>
        <w:tc>
          <w:tcPr>
            <w:tcW w:w="964" w:type="dxa"/>
            <w:tcBorders>
              <w:top w:val="single" w:sz="4" w:space="0" w:color="auto"/>
              <w:left w:val="nil"/>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color w:val="000000"/>
                <w:sz w:val="16"/>
                <w:szCs w:val="16"/>
                <w:lang w:bidi="ar-SA"/>
              </w:rPr>
            </w:pPr>
            <w:r>
              <w:rPr>
                <w:rFonts w:ascii="Times New Roman" w:cs="Times New Roman" w:hAnsi="Times New Roman" w:hint="eastAsia"/>
                <w:color w:val="000000"/>
                <w:sz w:val="16"/>
                <w:szCs w:val="16"/>
                <w:lang w:bidi="ar-SA"/>
              </w:rPr>
              <w:t>-100.00%</w:t>
            </w:r>
          </w:p>
        </w:tc>
        <w:tc>
          <w:tcPr>
            <w:tcW w:w="1216" w:type="dxa"/>
            <w:tcBorders>
              <w:top w:val="single" w:sz="4" w:space="0" w:color="auto"/>
              <w:left w:val="nil"/>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color w:val="000000"/>
                <w:sz w:val="16"/>
                <w:szCs w:val="16"/>
                <w:lang w:bidi="ar-SA"/>
              </w:rPr>
            </w:pPr>
            <w:r>
              <w:rPr>
                <w:rFonts w:ascii="Times New Roman" w:cs="Times New Roman" w:hAnsi="Times New Roman" w:hint="eastAsia"/>
                <w:color w:val="000000"/>
                <w:sz w:val="16"/>
                <w:szCs w:val="16"/>
                <w:lang w:bidi="ar-SA"/>
              </w:rPr>
              <w:t>0.00</w:t>
            </w:r>
          </w:p>
        </w:tc>
        <w:tc>
          <w:tcPr>
            <w:tcW w:w="1029" w:type="dxa"/>
            <w:tcBorders>
              <w:top w:val="single" w:sz="4" w:space="0" w:color="auto"/>
              <w:left w:val="nil"/>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color w:val="000000"/>
                <w:sz w:val="16"/>
                <w:szCs w:val="16"/>
                <w:lang w:bidi="ar-SA"/>
              </w:rPr>
            </w:pPr>
            <w:r>
              <w:rPr>
                <w:rFonts w:ascii="Times New Roman" w:cs="Times New Roman" w:hAnsi="Times New Roman" w:hint="eastAsia"/>
                <w:color w:val="000000"/>
                <w:sz w:val="16"/>
                <w:szCs w:val="16"/>
                <w:lang w:bidi="ar-SA"/>
              </w:rPr>
              <w:t>0.00%</w:t>
            </w:r>
          </w:p>
        </w:tc>
      </w:tr>
      <w:tr>
        <w:trPr>
          <w:trHeight w:val="255"/>
        </w:trPr>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16"/>
                <w:szCs w:val="16"/>
                <w:lang w:bidi="ar-SA"/>
              </w:rPr>
            </w:pPr>
            <w:r>
              <w:rPr>
                <w:rFonts w:ascii="Times New Roman" w:cs="宋体" w:hAnsi="Times New Roman"/>
                <w:color w:val="000000"/>
                <w:kern w:val="0"/>
                <w:sz w:val="16"/>
                <w:szCs w:val="16"/>
                <w:lang w:bidi="ar-SA"/>
              </w:rPr>
              <w:t>2010905</w:t>
            </w:r>
          </w:p>
        </w:tc>
        <w:tc>
          <w:tcPr>
            <w:tcW w:w="2265"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16"/>
                <w:szCs w:val="16"/>
                <w:lang w:bidi="ar-SA"/>
              </w:rPr>
            </w:pPr>
            <w:r>
              <w:rPr>
                <w:rFonts w:ascii="Times New Roman" w:cs="宋体" w:hAnsi="Times New Roman" w:hint="eastAsia"/>
                <w:color w:val="000000"/>
                <w:kern w:val="0"/>
                <w:sz w:val="16"/>
                <w:szCs w:val="16"/>
                <w:lang w:bidi="ar-SA"/>
              </w:rPr>
              <w:t>缉私办案</w:t>
            </w:r>
          </w:p>
        </w:tc>
        <w:tc>
          <w:tcPr>
            <w:tcW w:w="1276"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1.00</w:t>
            </w:r>
          </w:p>
        </w:tc>
        <w:tc>
          <w:tcPr>
            <w:tcW w:w="1562"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1.00</w:t>
            </w:r>
          </w:p>
        </w:tc>
        <w:tc>
          <w:tcPr>
            <w:tcW w:w="1390"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2.00</w:t>
            </w:r>
          </w:p>
        </w:tc>
        <w:tc>
          <w:tcPr>
            <w:tcW w:w="1310"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p>
        </w:tc>
        <w:tc>
          <w:tcPr>
            <w:tcW w:w="1150"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2.00</w:t>
            </w:r>
          </w:p>
        </w:tc>
        <w:tc>
          <w:tcPr>
            <w:tcW w:w="1630"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2.00</w:t>
            </w:r>
          </w:p>
        </w:tc>
        <w:tc>
          <w:tcPr>
            <w:tcW w:w="1284" w:type="dxa"/>
            <w:tcBorders>
              <w:top w:val="single" w:sz="4" w:space="0" w:color="auto"/>
              <w:left w:val="nil"/>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color w:val="000000"/>
                <w:sz w:val="16"/>
                <w:szCs w:val="16"/>
                <w:lang w:bidi="ar-SA"/>
              </w:rPr>
            </w:pPr>
            <w:r>
              <w:rPr>
                <w:rFonts w:ascii="Times New Roman" w:cs="Times New Roman" w:hAnsi="Times New Roman" w:hint="eastAsia"/>
                <w:color w:val="000000"/>
                <w:sz w:val="16"/>
                <w:szCs w:val="16"/>
                <w:lang w:bidi="ar-SA"/>
              </w:rPr>
              <w:t>1.00</w:t>
            </w:r>
          </w:p>
        </w:tc>
        <w:tc>
          <w:tcPr>
            <w:tcW w:w="964" w:type="dxa"/>
            <w:tcBorders>
              <w:top w:val="single" w:sz="4" w:space="0" w:color="auto"/>
              <w:left w:val="nil"/>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color w:val="000000"/>
                <w:sz w:val="16"/>
                <w:szCs w:val="16"/>
                <w:lang w:bidi="ar-SA"/>
              </w:rPr>
            </w:pPr>
            <w:r>
              <w:rPr>
                <w:rFonts w:ascii="Times New Roman" w:cs="Times New Roman" w:hAnsi="Times New Roman" w:hint="eastAsia"/>
                <w:color w:val="000000"/>
                <w:sz w:val="16"/>
                <w:szCs w:val="16"/>
                <w:lang w:bidi="ar-SA"/>
              </w:rPr>
              <w:t>100.00%</w:t>
            </w:r>
          </w:p>
        </w:tc>
        <w:tc>
          <w:tcPr>
            <w:tcW w:w="1216" w:type="dxa"/>
            <w:tcBorders>
              <w:top w:val="single" w:sz="4" w:space="0" w:color="auto"/>
              <w:left w:val="nil"/>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color w:val="000000"/>
                <w:sz w:val="16"/>
                <w:szCs w:val="16"/>
                <w:lang w:bidi="ar-SA"/>
              </w:rPr>
            </w:pPr>
            <w:r>
              <w:rPr>
                <w:rFonts w:ascii="Times New Roman" w:cs="Times New Roman" w:hAnsi="Times New Roman" w:hint="eastAsia"/>
                <w:color w:val="000000"/>
                <w:sz w:val="16"/>
                <w:szCs w:val="16"/>
                <w:lang w:bidi="ar-SA"/>
              </w:rPr>
              <w:t>1.00</w:t>
            </w:r>
          </w:p>
        </w:tc>
        <w:tc>
          <w:tcPr>
            <w:tcW w:w="1029" w:type="dxa"/>
            <w:tcBorders>
              <w:top w:val="single" w:sz="4" w:space="0" w:color="auto"/>
              <w:left w:val="nil"/>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color w:val="000000"/>
                <w:sz w:val="16"/>
                <w:szCs w:val="16"/>
                <w:lang w:bidi="ar-SA"/>
              </w:rPr>
            </w:pPr>
            <w:r>
              <w:rPr>
                <w:rFonts w:ascii="Times New Roman" w:cs="Times New Roman" w:hAnsi="Times New Roman" w:hint="eastAsia"/>
                <w:color w:val="000000"/>
                <w:sz w:val="16"/>
                <w:szCs w:val="16"/>
                <w:lang w:bidi="ar-SA"/>
              </w:rPr>
              <w:t>100.00%</w:t>
            </w:r>
          </w:p>
        </w:tc>
      </w:tr>
      <w:tr>
        <w:trPr>
          <w:trHeight w:val="255"/>
        </w:trPr>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16"/>
                <w:szCs w:val="16"/>
                <w:lang w:bidi="ar-SA"/>
              </w:rPr>
            </w:pPr>
            <w:r>
              <w:rPr>
                <w:rFonts w:ascii="Times New Roman" w:cs="宋体" w:hAnsi="Times New Roman" w:hint="eastAsia"/>
                <w:color w:val="000000"/>
                <w:kern w:val="0"/>
                <w:sz w:val="16"/>
                <w:szCs w:val="16"/>
                <w:lang w:bidi="ar-SA"/>
              </w:rPr>
              <w:t>2010908</w:t>
            </w:r>
          </w:p>
        </w:tc>
        <w:tc>
          <w:tcPr>
            <w:tcW w:w="2265"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16"/>
                <w:szCs w:val="16"/>
                <w:lang w:bidi="ar-SA"/>
              </w:rPr>
            </w:pPr>
            <w:r>
              <w:rPr>
                <w:rFonts w:ascii="Times New Roman" w:cs="宋体" w:hAnsi="Times New Roman" w:hint="eastAsia"/>
                <w:color w:val="000000"/>
                <w:kern w:val="0"/>
                <w:sz w:val="16"/>
                <w:szCs w:val="16"/>
                <w:lang w:bidi="ar-SA"/>
              </w:rPr>
              <w:t>信息化建设</w:t>
            </w:r>
          </w:p>
        </w:tc>
        <w:tc>
          <w:tcPr>
            <w:tcW w:w="1276"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10.00</w:t>
            </w:r>
          </w:p>
        </w:tc>
        <w:tc>
          <w:tcPr>
            <w:tcW w:w="1562"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10.00</w:t>
            </w:r>
          </w:p>
        </w:tc>
        <w:tc>
          <w:tcPr>
            <w:tcW w:w="1390"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p>
        </w:tc>
        <w:tc>
          <w:tcPr>
            <w:tcW w:w="1310"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p>
        </w:tc>
        <w:tc>
          <w:tcPr>
            <w:tcW w:w="1150"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p>
        </w:tc>
        <w:tc>
          <w:tcPr>
            <w:tcW w:w="1630"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p>
        </w:tc>
        <w:tc>
          <w:tcPr>
            <w:tcW w:w="1284" w:type="dxa"/>
            <w:tcBorders>
              <w:top w:val="single" w:sz="4" w:space="0" w:color="auto"/>
              <w:left w:val="nil"/>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color w:val="000000"/>
                <w:sz w:val="16"/>
                <w:szCs w:val="16"/>
                <w:lang w:bidi="ar-SA"/>
              </w:rPr>
            </w:pPr>
            <w:r>
              <w:rPr>
                <w:rFonts w:ascii="Times New Roman" w:cs="Times New Roman" w:hAnsi="Times New Roman" w:hint="eastAsia"/>
                <w:color w:val="000000"/>
                <w:sz w:val="16"/>
                <w:szCs w:val="16"/>
                <w:lang w:bidi="ar-SA"/>
              </w:rPr>
              <w:t>-10.00</w:t>
            </w:r>
          </w:p>
        </w:tc>
        <w:tc>
          <w:tcPr>
            <w:tcW w:w="964" w:type="dxa"/>
            <w:tcBorders>
              <w:top w:val="single" w:sz="4" w:space="0" w:color="auto"/>
              <w:left w:val="nil"/>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color w:val="000000"/>
                <w:sz w:val="16"/>
                <w:szCs w:val="16"/>
                <w:lang w:bidi="ar-SA"/>
              </w:rPr>
            </w:pPr>
            <w:r>
              <w:rPr>
                <w:rFonts w:ascii="Times New Roman" w:cs="Times New Roman" w:hAnsi="Times New Roman" w:hint="eastAsia"/>
                <w:color w:val="000000"/>
                <w:sz w:val="16"/>
                <w:szCs w:val="16"/>
                <w:lang w:bidi="ar-SA"/>
              </w:rPr>
              <w:t>-100.00%</w:t>
            </w:r>
          </w:p>
        </w:tc>
        <w:tc>
          <w:tcPr>
            <w:tcW w:w="1216" w:type="dxa"/>
            <w:tcBorders>
              <w:top w:val="single" w:sz="4" w:space="0" w:color="auto"/>
              <w:left w:val="nil"/>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color w:val="000000"/>
                <w:sz w:val="16"/>
                <w:szCs w:val="16"/>
                <w:lang w:bidi="ar-SA"/>
              </w:rPr>
            </w:pPr>
            <w:r>
              <w:rPr>
                <w:rFonts w:ascii="Times New Roman" w:cs="Times New Roman" w:hAnsi="Times New Roman" w:hint="eastAsia"/>
                <w:color w:val="000000"/>
                <w:sz w:val="16"/>
                <w:szCs w:val="16"/>
                <w:lang w:bidi="ar-SA"/>
              </w:rPr>
              <w:t>-10.00</w:t>
            </w:r>
          </w:p>
        </w:tc>
        <w:tc>
          <w:tcPr>
            <w:tcW w:w="1029" w:type="dxa"/>
            <w:tcBorders>
              <w:top w:val="single" w:sz="4" w:space="0" w:color="auto"/>
              <w:left w:val="nil"/>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color w:val="000000"/>
                <w:sz w:val="16"/>
                <w:szCs w:val="16"/>
                <w:lang w:bidi="ar-SA"/>
              </w:rPr>
            </w:pPr>
            <w:r>
              <w:rPr>
                <w:rFonts w:ascii="Times New Roman" w:cs="Times New Roman" w:hAnsi="Times New Roman" w:hint="eastAsia"/>
                <w:color w:val="000000"/>
                <w:sz w:val="16"/>
                <w:szCs w:val="16"/>
                <w:lang w:bidi="ar-SA"/>
              </w:rPr>
              <w:t>-100.00%</w:t>
            </w:r>
          </w:p>
        </w:tc>
      </w:tr>
      <w:tr>
        <w:trPr>
          <w:trHeight w:val="255"/>
        </w:trPr>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16"/>
                <w:szCs w:val="16"/>
                <w:lang w:bidi="ar-SA"/>
              </w:rPr>
            </w:pPr>
            <w:r>
              <w:rPr>
                <w:rFonts w:ascii="Times New Roman" w:cs="宋体" w:hAnsi="Times New Roman"/>
                <w:color w:val="000000"/>
                <w:kern w:val="0"/>
                <w:sz w:val="16"/>
                <w:szCs w:val="16"/>
                <w:lang w:bidi="ar-SA"/>
              </w:rPr>
              <w:t>2010909</w:t>
            </w:r>
          </w:p>
        </w:tc>
        <w:tc>
          <w:tcPr>
            <w:tcW w:w="2265"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16"/>
                <w:szCs w:val="16"/>
                <w:lang w:bidi="ar-SA"/>
              </w:rPr>
            </w:pPr>
            <w:r>
              <w:rPr>
                <w:rFonts w:ascii="Times New Roman" w:cs="宋体" w:hAnsi="Times New Roman" w:hint="eastAsia"/>
                <w:color w:val="000000"/>
                <w:kern w:val="0"/>
                <w:sz w:val="16"/>
                <w:szCs w:val="16"/>
                <w:lang w:bidi="ar-SA"/>
              </w:rPr>
              <w:t>海关关务</w:t>
            </w:r>
          </w:p>
        </w:tc>
        <w:tc>
          <w:tcPr>
            <w:tcW w:w="1276"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96.12</w:t>
            </w:r>
          </w:p>
        </w:tc>
        <w:tc>
          <w:tcPr>
            <w:tcW w:w="1562"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96.12</w:t>
            </w:r>
          </w:p>
        </w:tc>
        <w:tc>
          <w:tcPr>
            <w:tcW w:w="1390"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103.27</w:t>
            </w:r>
          </w:p>
        </w:tc>
        <w:tc>
          <w:tcPr>
            <w:tcW w:w="1310"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p>
        </w:tc>
        <w:tc>
          <w:tcPr>
            <w:tcW w:w="1150"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103.27</w:t>
            </w:r>
          </w:p>
        </w:tc>
        <w:tc>
          <w:tcPr>
            <w:tcW w:w="1630"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103.27</w:t>
            </w:r>
          </w:p>
        </w:tc>
        <w:tc>
          <w:tcPr>
            <w:tcW w:w="1284" w:type="dxa"/>
            <w:tcBorders>
              <w:top w:val="single" w:sz="4" w:space="0" w:color="auto"/>
              <w:left w:val="nil"/>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color w:val="000000"/>
                <w:sz w:val="16"/>
                <w:szCs w:val="16"/>
                <w:lang w:bidi="ar-SA"/>
              </w:rPr>
            </w:pPr>
            <w:r>
              <w:rPr>
                <w:rFonts w:ascii="Times New Roman" w:cs="Times New Roman" w:hAnsi="Times New Roman" w:hint="eastAsia"/>
                <w:color w:val="000000"/>
                <w:sz w:val="16"/>
                <w:szCs w:val="16"/>
                <w:lang w:bidi="ar-SA"/>
              </w:rPr>
              <w:t>7.15</w:t>
            </w:r>
          </w:p>
        </w:tc>
        <w:tc>
          <w:tcPr>
            <w:tcW w:w="964" w:type="dxa"/>
            <w:tcBorders>
              <w:top w:val="single" w:sz="4" w:space="0" w:color="auto"/>
              <w:left w:val="nil"/>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color w:val="000000"/>
                <w:sz w:val="16"/>
                <w:szCs w:val="16"/>
                <w:lang w:bidi="ar-SA"/>
              </w:rPr>
            </w:pPr>
            <w:r>
              <w:rPr>
                <w:rFonts w:ascii="Times New Roman" w:cs="Times New Roman" w:hAnsi="Times New Roman" w:hint="eastAsia"/>
                <w:color w:val="000000"/>
                <w:sz w:val="16"/>
                <w:szCs w:val="16"/>
                <w:lang w:bidi="ar-SA"/>
              </w:rPr>
              <w:t>7.44%</w:t>
            </w:r>
          </w:p>
        </w:tc>
        <w:tc>
          <w:tcPr>
            <w:tcW w:w="1216" w:type="dxa"/>
            <w:tcBorders>
              <w:top w:val="single" w:sz="4" w:space="0" w:color="auto"/>
              <w:left w:val="nil"/>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color w:val="000000"/>
                <w:sz w:val="16"/>
                <w:szCs w:val="16"/>
                <w:lang w:bidi="ar-SA"/>
              </w:rPr>
            </w:pPr>
            <w:r>
              <w:rPr>
                <w:rFonts w:ascii="Times New Roman" w:cs="Times New Roman" w:hAnsi="Times New Roman" w:hint="eastAsia"/>
                <w:color w:val="000000"/>
                <w:sz w:val="16"/>
                <w:szCs w:val="16"/>
                <w:lang w:bidi="ar-SA"/>
              </w:rPr>
              <w:t>7.15</w:t>
            </w:r>
          </w:p>
        </w:tc>
        <w:tc>
          <w:tcPr>
            <w:tcW w:w="1029" w:type="dxa"/>
            <w:tcBorders>
              <w:top w:val="single" w:sz="4" w:space="0" w:color="auto"/>
              <w:left w:val="nil"/>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color w:val="000000"/>
                <w:sz w:val="16"/>
                <w:szCs w:val="16"/>
                <w:lang w:bidi="ar-SA"/>
              </w:rPr>
            </w:pPr>
            <w:r>
              <w:rPr>
                <w:rFonts w:ascii="Times New Roman" w:cs="Times New Roman" w:hAnsi="Times New Roman" w:hint="eastAsia"/>
                <w:color w:val="000000"/>
                <w:sz w:val="16"/>
                <w:szCs w:val="16"/>
                <w:lang w:bidi="ar-SA"/>
              </w:rPr>
              <w:t>7.44%</w:t>
            </w:r>
          </w:p>
        </w:tc>
      </w:tr>
      <w:tr>
        <w:trPr>
          <w:trHeight w:val="255"/>
        </w:trPr>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16"/>
                <w:szCs w:val="16"/>
                <w:lang w:bidi="ar-SA"/>
              </w:rPr>
            </w:pPr>
            <w:r>
              <w:rPr>
                <w:rFonts w:ascii="Times New Roman" w:cs="宋体" w:hAnsi="Times New Roman"/>
                <w:color w:val="000000"/>
                <w:kern w:val="0"/>
                <w:sz w:val="16"/>
                <w:szCs w:val="16"/>
                <w:lang w:bidi="ar-SA"/>
              </w:rPr>
              <w:t>2010911</w:t>
            </w:r>
          </w:p>
        </w:tc>
        <w:tc>
          <w:tcPr>
            <w:tcW w:w="2265"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16"/>
                <w:szCs w:val="16"/>
                <w:lang w:bidi="ar-SA"/>
              </w:rPr>
            </w:pPr>
            <w:r>
              <w:rPr>
                <w:rFonts w:ascii="Times New Roman" w:cs="宋体" w:hAnsi="Times New Roman" w:hint="eastAsia"/>
                <w:color w:val="000000"/>
                <w:kern w:val="0"/>
                <w:sz w:val="16"/>
                <w:szCs w:val="16"/>
                <w:lang w:bidi="ar-SA"/>
              </w:rPr>
              <w:t>海关监管</w:t>
            </w:r>
          </w:p>
        </w:tc>
        <w:tc>
          <w:tcPr>
            <w:tcW w:w="1276"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4.00</w:t>
            </w:r>
          </w:p>
        </w:tc>
        <w:tc>
          <w:tcPr>
            <w:tcW w:w="1562"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4.00</w:t>
            </w:r>
          </w:p>
        </w:tc>
        <w:tc>
          <w:tcPr>
            <w:tcW w:w="1390"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5.79</w:t>
            </w:r>
          </w:p>
        </w:tc>
        <w:tc>
          <w:tcPr>
            <w:tcW w:w="1310"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p>
        </w:tc>
        <w:tc>
          <w:tcPr>
            <w:tcW w:w="1150"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5.79</w:t>
            </w:r>
          </w:p>
        </w:tc>
        <w:tc>
          <w:tcPr>
            <w:tcW w:w="1630"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5.79</w:t>
            </w:r>
          </w:p>
        </w:tc>
        <w:tc>
          <w:tcPr>
            <w:tcW w:w="1284" w:type="dxa"/>
            <w:tcBorders>
              <w:top w:val="single" w:sz="4" w:space="0" w:color="auto"/>
              <w:left w:val="nil"/>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color w:val="000000"/>
                <w:sz w:val="16"/>
                <w:szCs w:val="16"/>
                <w:lang w:bidi="ar-SA"/>
              </w:rPr>
            </w:pPr>
            <w:r>
              <w:rPr>
                <w:rFonts w:ascii="Times New Roman" w:cs="Times New Roman" w:hAnsi="Times New Roman" w:hint="eastAsia"/>
                <w:color w:val="000000"/>
                <w:sz w:val="16"/>
                <w:szCs w:val="16"/>
                <w:lang w:bidi="ar-SA"/>
              </w:rPr>
              <w:t>1.79</w:t>
            </w:r>
          </w:p>
        </w:tc>
        <w:tc>
          <w:tcPr>
            <w:tcW w:w="964" w:type="dxa"/>
            <w:tcBorders>
              <w:top w:val="single" w:sz="4" w:space="0" w:color="auto"/>
              <w:left w:val="nil"/>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color w:val="000000"/>
                <w:sz w:val="16"/>
                <w:szCs w:val="16"/>
                <w:lang w:bidi="ar-SA"/>
              </w:rPr>
            </w:pPr>
            <w:r>
              <w:rPr>
                <w:rFonts w:ascii="Times New Roman" w:cs="Times New Roman" w:hAnsi="Times New Roman" w:hint="eastAsia"/>
                <w:color w:val="000000"/>
                <w:sz w:val="16"/>
                <w:szCs w:val="16"/>
                <w:lang w:bidi="ar-SA"/>
              </w:rPr>
              <w:t>44.75%</w:t>
            </w:r>
          </w:p>
        </w:tc>
        <w:tc>
          <w:tcPr>
            <w:tcW w:w="1216" w:type="dxa"/>
            <w:tcBorders>
              <w:top w:val="single" w:sz="4" w:space="0" w:color="auto"/>
              <w:left w:val="nil"/>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color w:val="000000"/>
                <w:sz w:val="16"/>
                <w:szCs w:val="16"/>
                <w:lang w:bidi="ar-SA"/>
              </w:rPr>
            </w:pPr>
            <w:r>
              <w:rPr>
                <w:rFonts w:ascii="Times New Roman" w:cs="Times New Roman" w:hAnsi="Times New Roman" w:hint="eastAsia"/>
                <w:color w:val="000000"/>
                <w:sz w:val="16"/>
                <w:szCs w:val="16"/>
                <w:lang w:bidi="ar-SA"/>
              </w:rPr>
              <w:t>1.79</w:t>
            </w:r>
          </w:p>
        </w:tc>
        <w:tc>
          <w:tcPr>
            <w:tcW w:w="1029" w:type="dxa"/>
            <w:tcBorders>
              <w:top w:val="single" w:sz="4" w:space="0" w:color="auto"/>
              <w:left w:val="nil"/>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color w:val="000000"/>
                <w:sz w:val="16"/>
                <w:szCs w:val="16"/>
                <w:lang w:bidi="ar-SA"/>
              </w:rPr>
            </w:pPr>
            <w:r>
              <w:rPr>
                <w:rFonts w:ascii="Times New Roman" w:cs="Times New Roman" w:hAnsi="Times New Roman" w:hint="eastAsia"/>
                <w:color w:val="000000"/>
                <w:sz w:val="16"/>
                <w:szCs w:val="16"/>
                <w:lang w:bidi="ar-SA"/>
              </w:rPr>
              <w:t>44.75%</w:t>
            </w:r>
          </w:p>
        </w:tc>
      </w:tr>
      <w:tr>
        <w:trPr>
          <w:trHeight w:val="255"/>
        </w:trPr>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16"/>
                <w:szCs w:val="16"/>
                <w:lang w:bidi="ar-SA"/>
              </w:rPr>
            </w:pPr>
            <w:r>
              <w:rPr>
                <w:rFonts w:ascii="Times New Roman" w:cs="宋体" w:hAnsi="Times New Roman"/>
                <w:color w:val="000000"/>
                <w:kern w:val="0"/>
                <w:sz w:val="16"/>
                <w:szCs w:val="16"/>
                <w:lang w:bidi="ar-SA"/>
              </w:rPr>
              <w:t>2010912</w:t>
            </w:r>
          </w:p>
        </w:tc>
        <w:tc>
          <w:tcPr>
            <w:tcW w:w="2265"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16"/>
                <w:szCs w:val="16"/>
                <w:lang w:bidi="ar-SA"/>
              </w:rPr>
            </w:pPr>
            <w:r>
              <w:rPr>
                <w:rFonts w:ascii="Times New Roman" w:cs="宋体" w:hAnsi="Times New Roman" w:hint="eastAsia"/>
                <w:color w:val="000000"/>
                <w:kern w:val="0"/>
                <w:sz w:val="16"/>
                <w:szCs w:val="16"/>
                <w:lang w:bidi="ar-SA"/>
              </w:rPr>
              <w:t>检验检疫</w:t>
            </w:r>
          </w:p>
        </w:tc>
        <w:tc>
          <w:tcPr>
            <w:tcW w:w="1276"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151.67</w:t>
            </w:r>
          </w:p>
        </w:tc>
        <w:tc>
          <w:tcPr>
            <w:tcW w:w="1562"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151.67</w:t>
            </w:r>
          </w:p>
        </w:tc>
        <w:tc>
          <w:tcPr>
            <w:tcW w:w="1390"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9.30</w:t>
            </w:r>
          </w:p>
        </w:tc>
        <w:tc>
          <w:tcPr>
            <w:tcW w:w="1310"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p>
        </w:tc>
        <w:tc>
          <w:tcPr>
            <w:tcW w:w="1150"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9.30</w:t>
            </w:r>
          </w:p>
        </w:tc>
        <w:tc>
          <w:tcPr>
            <w:tcW w:w="1630"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9.30</w:t>
            </w:r>
          </w:p>
        </w:tc>
        <w:tc>
          <w:tcPr>
            <w:tcW w:w="1284" w:type="dxa"/>
            <w:tcBorders>
              <w:top w:val="single" w:sz="4" w:space="0" w:color="auto"/>
              <w:left w:val="nil"/>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color w:val="000000"/>
                <w:sz w:val="16"/>
                <w:szCs w:val="16"/>
                <w:lang w:bidi="ar-SA"/>
              </w:rPr>
            </w:pPr>
            <w:r>
              <w:rPr>
                <w:rFonts w:ascii="Times New Roman" w:cs="Times New Roman" w:hAnsi="Times New Roman" w:hint="eastAsia"/>
                <w:color w:val="000000"/>
                <w:sz w:val="16"/>
                <w:szCs w:val="16"/>
                <w:lang w:bidi="ar-SA"/>
              </w:rPr>
              <w:t>-142.37</w:t>
            </w:r>
          </w:p>
        </w:tc>
        <w:tc>
          <w:tcPr>
            <w:tcW w:w="964" w:type="dxa"/>
            <w:tcBorders>
              <w:top w:val="single" w:sz="4" w:space="0" w:color="auto"/>
              <w:left w:val="nil"/>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color w:val="000000"/>
                <w:sz w:val="16"/>
                <w:szCs w:val="16"/>
                <w:lang w:bidi="ar-SA"/>
              </w:rPr>
            </w:pPr>
            <w:r>
              <w:rPr>
                <w:rFonts w:ascii="Times New Roman" w:cs="Times New Roman" w:hAnsi="Times New Roman" w:hint="eastAsia"/>
                <w:color w:val="000000"/>
                <w:sz w:val="16"/>
                <w:szCs w:val="16"/>
                <w:lang w:bidi="ar-SA"/>
              </w:rPr>
              <w:t>-93.87%</w:t>
            </w:r>
          </w:p>
        </w:tc>
        <w:tc>
          <w:tcPr>
            <w:tcW w:w="1216" w:type="dxa"/>
            <w:tcBorders>
              <w:top w:val="single" w:sz="4" w:space="0" w:color="auto"/>
              <w:left w:val="nil"/>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color w:val="000000"/>
                <w:sz w:val="16"/>
                <w:szCs w:val="16"/>
                <w:lang w:bidi="ar-SA"/>
              </w:rPr>
            </w:pPr>
            <w:r>
              <w:rPr>
                <w:rFonts w:ascii="Times New Roman" w:cs="Times New Roman" w:hAnsi="Times New Roman" w:hint="eastAsia"/>
                <w:color w:val="000000"/>
                <w:sz w:val="16"/>
                <w:szCs w:val="16"/>
                <w:lang w:bidi="ar-SA"/>
              </w:rPr>
              <w:t>-142.37</w:t>
            </w:r>
          </w:p>
        </w:tc>
        <w:tc>
          <w:tcPr>
            <w:tcW w:w="1029" w:type="dxa"/>
            <w:tcBorders>
              <w:top w:val="single" w:sz="4" w:space="0" w:color="auto"/>
              <w:left w:val="nil"/>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color w:val="000000"/>
                <w:sz w:val="16"/>
                <w:szCs w:val="16"/>
                <w:lang w:bidi="ar-SA"/>
              </w:rPr>
            </w:pPr>
            <w:r>
              <w:rPr>
                <w:rFonts w:ascii="Times New Roman" w:cs="Times New Roman" w:hAnsi="Times New Roman" w:hint="eastAsia"/>
                <w:color w:val="000000"/>
                <w:sz w:val="16"/>
                <w:szCs w:val="16"/>
                <w:lang w:bidi="ar-SA"/>
              </w:rPr>
              <w:t>-93.87%</w:t>
            </w:r>
          </w:p>
        </w:tc>
      </w:tr>
      <w:tr>
        <w:trPr>
          <w:trHeight w:val="255"/>
        </w:trPr>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b/>
                <w:bCs/>
                <w:color w:val="000000"/>
                <w:kern w:val="0"/>
                <w:sz w:val="16"/>
                <w:szCs w:val="16"/>
                <w:lang w:bidi="ar-SA"/>
              </w:rPr>
            </w:pPr>
            <w:r>
              <w:rPr>
                <w:rFonts w:ascii="Times New Roman" w:cs="宋体" w:hAnsi="Times New Roman"/>
                <w:b/>
                <w:bCs/>
                <w:color w:val="000000"/>
                <w:kern w:val="0"/>
                <w:sz w:val="16"/>
                <w:szCs w:val="16"/>
                <w:lang w:bidi="ar-SA"/>
              </w:rPr>
              <w:t>208</w:t>
            </w:r>
          </w:p>
        </w:tc>
        <w:tc>
          <w:tcPr>
            <w:tcW w:w="2265"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b/>
                <w:bCs/>
                <w:color w:val="000000"/>
                <w:kern w:val="0"/>
                <w:sz w:val="16"/>
                <w:szCs w:val="16"/>
                <w:lang w:bidi="ar-SA"/>
              </w:rPr>
            </w:pPr>
            <w:r>
              <w:rPr>
                <w:rFonts w:ascii="Times New Roman" w:cs="宋体" w:hAnsi="Times New Roman"/>
                <w:b/>
                <w:bCs/>
                <w:color w:val="000000"/>
                <w:kern w:val="0"/>
                <w:sz w:val="16"/>
                <w:szCs w:val="16"/>
                <w:lang w:bidi="ar-SA"/>
              </w:rPr>
              <w:t xml:space="preserve">  </w:t>
            </w:r>
            <w:r>
              <w:rPr>
                <w:rFonts w:ascii="Times New Roman" w:cs="宋体" w:hAnsi="Times New Roman" w:hint="eastAsia"/>
                <w:b/>
                <w:bCs/>
                <w:color w:val="000000"/>
                <w:kern w:val="0"/>
                <w:sz w:val="16"/>
                <w:szCs w:val="16"/>
                <w:lang w:bidi="ar-SA"/>
              </w:rPr>
              <w:t>社会保障和就业支出</w:t>
            </w:r>
          </w:p>
        </w:tc>
        <w:tc>
          <w:tcPr>
            <w:tcW w:w="1276"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r>
              <w:rPr>
                <w:rFonts w:ascii="Times New Roman" w:cs="Times New Roman" w:hAnsi="Times New Roman" w:hint="eastAsia"/>
                <w:b/>
                <w:bCs/>
                <w:color w:val="000000"/>
                <w:kern w:val="0"/>
                <w:sz w:val="16"/>
                <w:szCs w:val="16"/>
                <w:lang w:bidi="ar-SA"/>
              </w:rPr>
              <w:t>66.66</w:t>
            </w:r>
          </w:p>
        </w:tc>
        <w:tc>
          <w:tcPr>
            <w:tcW w:w="1562"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r>
              <w:rPr>
                <w:rFonts w:ascii="Times New Roman" w:cs="Times New Roman" w:hAnsi="Times New Roman" w:hint="eastAsia"/>
                <w:b/>
                <w:bCs/>
                <w:color w:val="000000"/>
                <w:kern w:val="0"/>
                <w:sz w:val="16"/>
                <w:szCs w:val="16"/>
                <w:lang w:bidi="ar-SA"/>
              </w:rPr>
              <w:t>66.66</w:t>
            </w:r>
          </w:p>
        </w:tc>
        <w:tc>
          <w:tcPr>
            <w:tcW w:w="1390"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r>
              <w:rPr>
                <w:rFonts w:ascii="Times New Roman" w:cs="Times New Roman" w:hAnsi="Times New Roman" w:hint="eastAsia"/>
                <w:b/>
                <w:bCs/>
                <w:color w:val="000000"/>
                <w:kern w:val="0"/>
                <w:sz w:val="16"/>
                <w:szCs w:val="16"/>
                <w:lang w:bidi="ar-SA"/>
              </w:rPr>
              <w:t>66.84</w:t>
            </w:r>
          </w:p>
        </w:tc>
        <w:tc>
          <w:tcPr>
            <w:tcW w:w="1310"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r>
              <w:rPr>
                <w:rFonts w:ascii="Times New Roman" w:cs="Times New Roman" w:hAnsi="Times New Roman" w:hint="eastAsia"/>
                <w:b/>
                <w:bCs/>
                <w:color w:val="000000"/>
                <w:kern w:val="0"/>
                <w:sz w:val="16"/>
                <w:szCs w:val="16"/>
                <w:lang w:bidi="ar-SA"/>
              </w:rPr>
              <w:t>66.84</w:t>
            </w:r>
          </w:p>
        </w:tc>
        <w:tc>
          <w:tcPr>
            <w:tcW w:w="1150"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p>
        </w:tc>
        <w:tc>
          <w:tcPr>
            <w:tcW w:w="1630"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r>
              <w:rPr>
                <w:rFonts w:ascii="Times New Roman" w:cs="Times New Roman" w:hAnsi="Times New Roman" w:hint="eastAsia"/>
                <w:b/>
                <w:bCs/>
                <w:color w:val="000000"/>
                <w:kern w:val="0"/>
                <w:sz w:val="16"/>
                <w:szCs w:val="16"/>
                <w:lang w:bidi="ar-SA"/>
              </w:rPr>
              <w:t>66.84</w:t>
            </w:r>
          </w:p>
        </w:tc>
        <w:tc>
          <w:tcPr>
            <w:tcW w:w="1284" w:type="dxa"/>
            <w:tcBorders>
              <w:top w:val="single" w:sz="4" w:space="0" w:color="auto"/>
              <w:left w:val="nil"/>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b/>
                <w:bCs/>
                <w:color w:val="000000"/>
                <w:sz w:val="16"/>
                <w:szCs w:val="16"/>
                <w:lang w:bidi="ar-SA"/>
              </w:rPr>
            </w:pPr>
            <w:r>
              <w:rPr>
                <w:rFonts w:ascii="Times New Roman" w:cs="Times New Roman" w:hAnsi="Times New Roman" w:hint="eastAsia"/>
                <w:b/>
                <w:bCs/>
                <w:color w:val="000000"/>
                <w:sz w:val="16"/>
                <w:szCs w:val="16"/>
                <w:lang w:bidi="ar-SA"/>
              </w:rPr>
              <w:t>0.18</w:t>
            </w:r>
          </w:p>
        </w:tc>
        <w:tc>
          <w:tcPr>
            <w:tcW w:w="964" w:type="dxa"/>
            <w:tcBorders>
              <w:top w:val="single" w:sz="4" w:space="0" w:color="auto"/>
              <w:left w:val="nil"/>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b/>
                <w:bCs/>
                <w:color w:val="000000"/>
                <w:sz w:val="16"/>
                <w:szCs w:val="16"/>
                <w:lang w:bidi="ar-SA"/>
              </w:rPr>
            </w:pPr>
            <w:r>
              <w:rPr>
                <w:rFonts w:ascii="Times New Roman" w:cs="Times New Roman" w:hAnsi="Times New Roman" w:hint="eastAsia"/>
                <w:b/>
                <w:bCs/>
                <w:color w:val="000000"/>
                <w:sz w:val="16"/>
                <w:szCs w:val="16"/>
                <w:lang w:bidi="ar-SA"/>
              </w:rPr>
              <w:t>0.27%</w:t>
            </w:r>
          </w:p>
        </w:tc>
        <w:tc>
          <w:tcPr>
            <w:tcW w:w="1216" w:type="dxa"/>
            <w:tcBorders>
              <w:top w:val="single" w:sz="4" w:space="0" w:color="auto"/>
              <w:left w:val="nil"/>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b/>
                <w:bCs/>
                <w:color w:val="000000"/>
                <w:sz w:val="16"/>
                <w:szCs w:val="16"/>
                <w:lang w:bidi="ar-SA"/>
              </w:rPr>
            </w:pPr>
            <w:r>
              <w:rPr>
                <w:rFonts w:ascii="Times New Roman" w:cs="Times New Roman" w:hAnsi="Times New Roman" w:hint="eastAsia"/>
                <w:b/>
                <w:bCs/>
                <w:color w:val="000000"/>
                <w:sz w:val="16"/>
                <w:szCs w:val="16"/>
                <w:lang w:bidi="ar-SA"/>
              </w:rPr>
              <w:t>0.18</w:t>
            </w:r>
          </w:p>
        </w:tc>
        <w:tc>
          <w:tcPr>
            <w:tcW w:w="1029" w:type="dxa"/>
            <w:tcBorders>
              <w:top w:val="single" w:sz="4" w:space="0" w:color="auto"/>
              <w:left w:val="nil"/>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b/>
                <w:bCs/>
                <w:color w:val="000000"/>
                <w:sz w:val="16"/>
                <w:szCs w:val="16"/>
                <w:lang w:bidi="ar-SA"/>
              </w:rPr>
            </w:pPr>
            <w:r>
              <w:rPr>
                <w:rFonts w:ascii="Times New Roman" w:cs="Times New Roman" w:hAnsi="Times New Roman" w:hint="eastAsia"/>
                <w:b/>
                <w:bCs/>
                <w:color w:val="000000"/>
                <w:sz w:val="16"/>
                <w:szCs w:val="16"/>
                <w:lang w:bidi="ar-SA"/>
              </w:rPr>
              <w:t>0.27%</w:t>
            </w:r>
          </w:p>
        </w:tc>
      </w:tr>
      <w:tr>
        <w:trPr>
          <w:trHeight w:val="255"/>
        </w:trPr>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b/>
                <w:bCs/>
                <w:color w:val="000000"/>
                <w:kern w:val="0"/>
                <w:sz w:val="16"/>
                <w:szCs w:val="16"/>
                <w:lang w:bidi="ar-SA"/>
              </w:rPr>
            </w:pPr>
            <w:r>
              <w:rPr>
                <w:rFonts w:ascii="Times New Roman" w:cs="宋体" w:hAnsi="Times New Roman"/>
                <w:b/>
                <w:bCs/>
                <w:color w:val="000000"/>
                <w:kern w:val="0"/>
                <w:sz w:val="16"/>
                <w:szCs w:val="16"/>
                <w:lang w:bidi="ar-SA"/>
              </w:rPr>
              <w:t>20805</w:t>
            </w:r>
          </w:p>
        </w:tc>
        <w:tc>
          <w:tcPr>
            <w:tcW w:w="2265"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b/>
                <w:bCs/>
                <w:color w:val="000000"/>
                <w:kern w:val="0"/>
                <w:sz w:val="16"/>
                <w:szCs w:val="16"/>
                <w:lang w:bidi="ar-SA"/>
              </w:rPr>
            </w:pPr>
            <w:r>
              <w:rPr>
                <w:rFonts w:ascii="Times New Roman" w:cs="宋体" w:hAnsi="Times New Roman"/>
                <w:b/>
                <w:bCs/>
                <w:color w:val="000000"/>
                <w:kern w:val="0"/>
                <w:sz w:val="16"/>
                <w:szCs w:val="16"/>
                <w:lang w:bidi="ar-SA"/>
              </w:rPr>
              <w:t xml:space="preserve">    </w:t>
            </w:r>
            <w:r>
              <w:rPr>
                <w:rFonts w:ascii="Times New Roman" w:cs="宋体" w:hAnsi="Times New Roman" w:hint="eastAsia"/>
                <w:b/>
                <w:bCs/>
                <w:color w:val="000000"/>
                <w:kern w:val="0"/>
                <w:sz w:val="16"/>
                <w:szCs w:val="16"/>
                <w:lang w:bidi="ar-SA"/>
              </w:rPr>
              <w:t>行政事业单位养老支出</w:t>
            </w:r>
          </w:p>
        </w:tc>
        <w:tc>
          <w:tcPr>
            <w:tcW w:w="1276"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r>
              <w:rPr>
                <w:rFonts w:ascii="Times New Roman" w:cs="Times New Roman" w:hAnsi="Times New Roman" w:hint="eastAsia"/>
                <w:b/>
                <w:bCs/>
                <w:color w:val="000000"/>
                <w:kern w:val="0"/>
                <w:sz w:val="16"/>
                <w:szCs w:val="16"/>
                <w:lang w:bidi="ar-SA"/>
              </w:rPr>
              <w:t>66.66</w:t>
            </w:r>
          </w:p>
        </w:tc>
        <w:tc>
          <w:tcPr>
            <w:tcW w:w="1562"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r>
              <w:rPr>
                <w:rFonts w:ascii="Times New Roman" w:cs="Times New Roman" w:hAnsi="Times New Roman" w:hint="eastAsia"/>
                <w:b/>
                <w:bCs/>
                <w:color w:val="000000"/>
                <w:kern w:val="0"/>
                <w:sz w:val="16"/>
                <w:szCs w:val="16"/>
                <w:lang w:bidi="ar-SA"/>
              </w:rPr>
              <w:t>66.66</w:t>
            </w:r>
          </w:p>
        </w:tc>
        <w:tc>
          <w:tcPr>
            <w:tcW w:w="1390"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r>
              <w:rPr>
                <w:rFonts w:ascii="Times New Roman" w:cs="Times New Roman" w:hAnsi="Times New Roman" w:hint="eastAsia"/>
                <w:b/>
                <w:bCs/>
                <w:color w:val="000000"/>
                <w:kern w:val="0"/>
                <w:sz w:val="16"/>
                <w:szCs w:val="16"/>
                <w:lang w:bidi="ar-SA"/>
              </w:rPr>
              <w:t>66.84</w:t>
            </w:r>
          </w:p>
        </w:tc>
        <w:tc>
          <w:tcPr>
            <w:tcW w:w="1310"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r>
              <w:rPr>
                <w:rFonts w:ascii="Times New Roman" w:cs="Times New Roman" w:hAnsi="Times New Roman" w:hint="eastAsia"/>
                <w:b/>
                <w:bCs/>
                <w:color w:val="000000"/>
                <w:kern w:val="0"/>
                <w:sz w:val="16"/>
                <w:szCs w:val="16"/>
                <w:lang w:bidi="ar-SA"/>
              </w:rPr>
              <w:t>66.84</w:t>
            </w:r>
          </w:p>
        </w:tc>
        <w:tc>
          <w:tcPr>
            <w:tcW w:w="1150"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p>
        </w:tc>
        <w:tc>
          <w:tcPr>
            <w:tcW w:w="1630"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r>
              <w:rPr>
                <w:rFonts w:ascii="Times New Roman" w:cs="Times New Roman" w:hAnsi="Times New Roman" w:hint="eastAsia"/>
                <w:b/>
                <w:bCs/>
                <w:color w:val="000000"/>
                <w:kern w:val="0"/>
                <w:sz w:val="16"/>
                <w:szCs w:val="16"/>
                <w:lang w:bidi="ar-SA"/>
              </w:rPr>
              <w:t>66.84</w:t>
            </w:r>
          </w:p>
        </w:tc>
        <w:tc>
          <w:tcPr>
            <w:tcW w:w="1284" w:type="dxa"/>
            <w:tcBorders>
              <w:top w:val="single" w:sz="4" w:space="0" w:color="auto"/>
              <w:left w:val="nil"/>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b/>
                <w:bCs/>
                <w:color w:val="000000"/>
                <w:sz w:val="16"/>
                <w:szCs w:val="16"/>
                <w:lang w:bidi="ar-SA"/>
              </w:rPr>
            </w:pPr>
            <w:r>
              <w:rPr>
                <w:rFonts w:ascii="Times New Roman" w:cs="Times New Roman" w:hAnsi="Times New Roman" w:hint="eastAsia"/>
                <w:b/>
                <w:bCs/>
                <w:color w:val="000000"/>
                <w:sz w:val="16"/>
                <w:szCs w:val="16"/>
                <w:lang w:bidi="ar-SA"/>
              </w:rPr>
              <w:t>0.18</w:t>
            </w:r>
          </w:p>
        </w:tc>
        <w:tc>
          <w:tcPr>
            <w:tcW w:w="964" w:type="dxa"/>
            <w:tcBorders>
              <w:top w:val="single" w:sz="4" w:space="0" w:color="auto"/>
              <w:left w:val="nil"/>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b/>
                <w:bCs/>
                <w:color w:val="000000"/>
                <w:sz w:val="16"/>
                <w:szCs w:val="16"/>
                <w:lang w:bidi="ar-SA"/>
              </w:rPr>
            </w:pPr>
            <w:r>
              <w:rPr>
                <w:rFonts w:ascii="Times New Roman" w:cs="Times New Roman" w:hAnsi="Times New Roman" w:hint="eastAsia"/>
                <w:b/>
                <w:bCs/>
                <w:color w:val="000000"/>
                <w:sz w:val="16"/>
                <w:szCs w:val="16"/>
                <w:lang w:bidi="ar-SA"/>
              </w:rPr>
              <w:t>0.27%</w:t>
            </w:r>
          </w:p>
        </w:tc>
        <w:tc>
          <w:tcPr>
            <w:tcW w:w="1216" w:type="dxa"/>
            <w:tcBorders>
              <w:top w:val="single" w:sz="4" w:space="0" w:color="auto"/>
              <w:left w:val="nil"/>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b/>
                <w:bCs/>
                <w:color w:val="000000"/>
                <w:sz w:val="16"/>
                <w:szCs w:val="16"/>
                <w:lang w:bidi="ar-SA"/>
              </w:rPr>
            </w:pPr>
            <w:r>
              <w:rPr>
                <w:rFonts w:ascii="Times New Roman" w:cs="Times New Roman" w:hAnsi="Times New Roman" w:hint="eastAsia"/>
                <w:b/>
                <w:bCs/>
                <w:color w:val="000000"/>
                <w:sz w:val="16"/>
                <w:szCs w:val="16"/>
                <w:lang w:bidi="ar-SA"/>
              </w:rPr>
              <w:t>0.18</w:t>
            </w:r>
          </w:p>
        </w:tc>
        <w:tc>
          <w:tcPr>
            <w:tcW w:w="1029" w:type="dxa"/>
            <w:tcBorders>
              <w:top w:val="single" w:sz="4" w:space="0" w:color="auto"/>
              <w:left w:val="nil"/>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b/>
                <w:bCs/>
                <w:color w:val="000000"/>
                <w:sz w:val="16"/>
                <w:szCs w:val="16"/>
                <w:lang w:bidi="ar-SA"/>
              </w:rPr>
            </w:pPr>
            <w:r>
              <w:rPr>
                <w:rFonts w:ascii="Times New Roman" w:cs="Times New Roman" w:hAnsi="Times New Roman" w:hint="eastAsia"/>
                <w:b/>
                <w:bCs/>
                <w:color w:val="000000"/>
                <w:sz w:val="16"/>
                <w:szCs w:val="16"/>
                <w:lang w:bidi="ar-SA"/>
              </w:rPr>
              <w:t>0.27%</w:t>
            </w:r>
          </w:p>
        </w:tc>
      </w:tr>
      <w:tr>
        <w:trPr>
          <w:trHeight w:val="255"/>
        </w:trPr>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16"/>
                <w:szCs w:val="16"/>
                <w:lang w:bidi="ar-SA"/>
              </w:rPr>
            </w:pPr>
            <w:r>
              <w:rPr>
                <w:rFonts w:ascii="Times New Roman" w:cs="宋体" w:hAnsi="Times New Roman"/>
                <w:color w:val="000000"/>
                <w:kern w:val="0"/>
                <w:sz w:val="16"/>
                <w:szCs w:val="16"/>
                <w:lang w:bidi="ar-SA"/>
              </w:rPr>
              <w:t>2080501</w:t>
            </w:r>
          </w:p>
        </w:tc>
        <w:tc>
          <w:tcPr>
            <w:tcW w:w="2265"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16"/>
                <w:szCs w:val="16"/>
                <w:lang w:bidi="ar-SA"/>
              </w:rPr>
            </w:pPr>
            <w:r>
              <w:rPr>
                <w:rFonts w:ascii="Times New Roman" w:cs="宋体" w:hAnsi="Times New Roman" w:hint="eastAsia"/>
                <w:color w:val="000000"/>
                <w:kern w:val="0"/>
                <w:sz w:val="16"/>
                <w:szCs w:val="16"/>
                <w:lang w:bidi="ar-SA"/>
              </w:rPr>
              <w:t>行政单位离退休</w:t>
            </w:r>
          </w:p>
        </w:tc>
        <w:tc>
          <w:tcPr>
            <w:tcW w:w="1276"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0.63</w:t>
            </w:r>
          </w:p>
        </w:tc>
        <w:tc>
          <w:tcPr>
            <w:tcW w:w="1562"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0.63</w:t>
            </w:r>
          </w:p>
        </w:tc>
        <w:tc>
          <w:tcPr>
            <w:tcW w:w="1390"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0.48</w:t>
            </w:r>
          </w:p>
        </w:tc>
        <w:tc>
          <w:tcPr>
            <w:tcW w:w="1310"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0.48</w:t>
            </w:r>
          </w:p>
        </w:tc>
        <w:tc>
          <w:tcPr>
            <w:tcW w:w="1150"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p>
        </w:tc>
        <w:tc>
          <w:tcPr>
            <w:tcW w:w="1630"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0.48</w:t>
            </w:r>
          </w:p>
        </w:tc>
        <w:tc>
          <w:tcPr>
            <w:tcW w:w="1284" w:type="dxa"/>
            <w:tcBorders>
              <w:top w:val="single" w:sz="4" w:space="0" w:color="auto"/>
              <w:left w:val="nil"/>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color w:val="000000"/>
                <w:sz w:val="16"/>
                <w:szCs w:val="16"/>
                <w:lang w:bidi="ar-SA"/>
              </w:rPr>
            </w:pPr>
            <w:r>
              <w:rPr>
                <w:rFonts w:ascii="Times New Roman" w:cs="Times New Roman" w:hAnsi="Times New Roman" w:hint="eastAsia"/>
                <w:color w:val="000000"/>
                <w:sz w:val="16"/>
                <w:szCs w:val="16"/>
                <w:lang w:bidi="ar-SA"/>
              </w:rPr>
              <w:t>-0.15</w:t>
            </w:r>
          </w:p>
        </w:tc>
        <w:tc>
          <w:tcPr>
            <w:tcW w:w="964" w:type="dxa"/>
            <w:tcBorders>
              <w:top w:val="single" w:sz="4" w:space="0" w:color="auto"/>
              <w:left w:val="nil"/>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color w:val="000000"/>
                <w:sz w:val="16"/>
                <w:szCs w:val="16"/>
                <w:lang w:bidi="ar-SA"/>
              </w:rPr>
            </w:pPr>
            <w:r>
              <w:rPr>
                <w:rFonts w:ascii="Times New Roman" w:cs="Times New Roman" w:hAnsi="Times New Roman" w:hint="eastAsia"/>
                <w:color w:val="000000"/>
                <w:sz w:val="16"/>
                <w:szCs w:val="16"/>
                <w:lang w:bidi="ar-SA"/>
              </w:rPr>
              <w:t>-23.81%</w:t>
            </w:r>
          </w:p>
        </w:tc>
        <w:tc>
          <w:tcPr>
            <w:tcW w:w="1216" w:type="dxa"/>
            <w:tcBorders>
              <w:top w:val="single" w:sz="4" w:space="0" w:color="auto"/>
              <w:left w:val="nil"/>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color w:val="000000"/>
                <w:sz w:val="16"/>
                <w:szCs w:val="16"/>
                <w:lang w:bidi="ar-SA"/>
              </w:rPr>
            </w:pPr>
            <w:r>
              <w:rPr>
                <w:rFonts w:ascii="Times New Roman" w:cs="Times New Roman" w:hAnsi="Times New Roman" w:hint="eastAsia"/>
                <w:color w:val="000000"/>
                <w:sz w:val="16"/>
                <w:szCs w:val="16"/>
                <w:lang w:bidi="ar-SA"/>
              </w:rPr>
              <w:t>-0.15</w:t>
            </w:r>
          </w:p>
        </w:tc>
        <w:tc>
          <w:tcPr>
            <w:tcW w:w="1029" w:type="dxa"/>
            <w:tcBorders>
              <w:top w:val="single" w:sz="4" w:space="0" w:color="auto"/>
              <w:left w:val="nil"/>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color w:val="000000"/>
                <w:sz w:val="16"/>
                <w:szCs w:val="16"/>
                <w:lang w:bidi="ar-SA"/>
              </w:rPr>
            </w:pPr>
            <w:r>
              <w:rPr>
                <w:rFonts w:ascii="Times New Roman" w:cs="Times New Roman" w:hAnsi="Times New Roman" w:hint="eastAsia"/>
                <w:color w:val="000000"/>
                <w:sz w:val="16"/>
                <w:szCs w:val="16"/>
                <w:lang w:bidi="ar-SA"/>
              </w:rPr>
              <w:t>-23.81%</w:t>
            </w:r>
          </w:p>
        </w:tc>
      </w:tr>
      <w:tr>
        <w:trPr>
          <w:trHeight w:val="255"/>
        </w:trPr>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16"/>
                <w:szCs w:val="16"/>
                <w:lang w:bidi="ar-SA"/>
              </w:rPr>
            </w:pPr>
            <w:r>
              <w:rPr>
                <w:rFonts w:ascii="Times New Roman" w:cs="宋体" w:hAnsi="Times New Roman"/>
                <w:color w:val="000000"/>
                <w:kern w:val="0"/>
                <w:sz w:val="16"/>
                <w:szCs w:val="16"/>
                <w:lang w:bidi="ar-SA"/>
              </w:rPr>
              <w:t>2080505</w:t>
            </w:r>
          </w:p>
        </w:tc>
        <w:tc>
          <w:tcPr>
            <w:tcW w:w="2265"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16"/>
                <w:szCs w:val="16"/>
                <w:lang w:bidi="ar-SA"/>
              </w:rPr>
            </w:pPr>
            <w:r>
              <w:rPr>
                <w:rFonts w:ascii="Times New Roman" w:cs="宋体" w:hAnsi="Times New Roman" w:hint="eastAsia"/>
                <w:color w:val="000000"/>
                <w:kern w:val="0"/>
                <w:sz w:val="16"/>
                <w:szCs w:val="16"/>
                <w:lang w:bidi="ar-SA"/>
              </w:rPr>
              <w:t>机关事业单位基本养老保险缴费支出</w:t>
            </w:r>
          </w:p>
        </w:tc>
        <w:tc>
          <w:tcPr>
            <w:tcW w:w="1276"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43.91</w:t>
            </w:r>
          </w:p>
        </w:tc>
        <w:tc>
          <w:tcPr>
            <w:tcW w:w="1562"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43.91</w:t>
            </w:r>
          </w:p>
        </w:tc>
        <w:tc>
          <w:tcPr>
            <w:tcW w:w="1390"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44.24</w:t>
            </w:r>
          </w:p>
        </w:tc>
        <w:tc>
          <w:tcPr>
            <w:tcW w:w="1310"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44.24</w:t>
            </w:r>
          </w:p>
        </w:tc>
        <w:tc>
          <w:tcPr>
            <w:tcW w:w="1150"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p>
        </w:tc>
        <w:tc>
          <w:tcPr>
            <w:tcW w:w="1630"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44.24</w:t>
            </w:r>
          </w:p>
        </w:tc>
        <w:tc>
          <w:tcPr>
            <w:tcW w:w="1284" w:type="dxa"/>
            <w:tcBorders>
              <w:top w:val="single" w:sz="4" w:space="0" w:color="auto"/>
              <w:left w:val="nil"/>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color w:val="000000"/>
                <w:sz w:val="16"/>
                <w:szCs w:val="16"/>
                <w:lang w:bidi="ar-SA"/>
              </w:rPr>
            </w:pPr>
            <w:r>
              <w:rPr>
                <w:rFonts w:ascii="Times New Roman" w:cs="Times New Roman" w:hAnsi="Times New Roman" w:hint="eastAsia"/>
                <w:color w:val="000000"/>
                <w:sz w:val="16"/>
                <w:szCs w:val="16"/>
                <w:lang w:bidi="ar-SA"/>
              </w:rPr>
              <w:t>0.33</w:t>
            </w:r>
          </w:p>
        </w:tc>
        <w:tc>
          <w:tcPr>
            <w:tcW w:w="964" w:type="dxa"/>
            <w:tcBorders>
              <w:top w:val="single" w:sz="4" w:space="0" w:color="auto"/>
              <w:left w:val="nil"/>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color w:val="000000"/>
                <w:sz w:val="16"/>
                <w:szCs w:val="16"/>
                <w:lang w:bidi="ar-SA"/>
              </w:rPr>
            </w:pPr>
            <w:r>
              <w:rPr>
                <w:rFonts w:ascii="Times New Roman" w:cs="Times New Roman" w:hAnsi="Times New Roman" w:hint="eastAsia"/>
                <w:color w:val="000000"/>
                <w:sz w:val="16"/>
                <w:szCs w:val="16"/>
                <w:lang w:bidi="ar-SA"/>
              </w:rPr>
              <w:t>0.75%</w:t>
            </w:r>
          </w:p>
        </w:tc>
        <w:tc>
          <w:tcPr>
            <w:tcW w:w="1216" w:type="dxa"/>
            <w:tcBorders>
              <w:top w:val="single" w:sz="4" w:space="0" w:color="auto"/>
              <w:left w:val="nil"/>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color w:val="000000"/>
                <w:sz w:val="16"/>
                <w:szCs w:val="16"/>
                <w:lang w:bidi="ar-SA"/>
              </w:rPr>
            </w:pPr>
            <w:r>
              <w:rPr>
                <w:rFonts w:ascii="Times New Roman" w:cs="Times New Roman" w:hAnsi="Times New Roman" w:hint="eastAsia"/>
                <w:color w:val="000000"/>
                <w:sz w:val="16"/>
                <w:szCs w:val="16"/>
                <w:lang w:bidi="ar-SA"/>
              </w:rPr>
              <w:t>0.33</w:t>
            </w:r>
          </w:p>
        </w:tc>
        <w:tc>
          <w:tcPr>
            <w:tcW w:w="1029" w:type="dxa"/>
            <w:tcBorders>
              <w:top w:val="single" w:sz="4" w:space="0" w:color="auto"/>
              <w:left w:val="nil"/>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color w:val="000000"/>
                <w:sz w:val="16"/>
                <w:szCs w:val="16"/>
                <w:lang w:bidi="ar-SA"/>
              </w:rPr>
            </w:pPr>
            <w:r>
              <w:rPr>
                <w:rFonts w:ascii="Times New Roman" w:cs="Times New Roman" w:hAnsi="Times New Roman" w:hint="eastAsia"/>
                <w:color w:val="000000"/>
                <w:sz w:val="16"/>
                <w:szCs w:val="16"/>
                <w:lang w:bidi="ar-SA"/>
              </w:rPr>
              <w:t>0.75%</w:t>
            </w:r>
          </w:p>
        </w:tc>
      </w:tr>
      <w:tr>
        <w:trPr>
          <w:trHeight w:val="255"/>
        </w:trPr>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16"/>
                <w:szCs w:val="16"/>
                <w:lang w:bidi="ar-SA"/>
              </w:rPr>
            </w:pPr>
            <w:r>
              <w:rPr>
                <w:rFonts w:ascii="Times New Roman" w:cs="宋体" w:hAnsi="Times New Roman"/>
                <w:color w:val="000000"/>
                <w:kern w:val="0"/>
                <w:sz w:val="16"/>
                <w:szCs w:val="16"/>
                <w:lang w:bidi="ar-SA"/>
              </w:rPr>
              <w:t>2080506</w:t>
            </w:r>
          </w:p>
        </w:tc>
        <w:tc>
          <w:tcPr>
            <w:tcW w:w="2265"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16"/>
                <w:szCs w:val="16"/>
                <w:lang w:bidi="ar-SA"/>
              </w:rPr>
            </w:pPr>
            <w:r>
              <w:rPr>
                <w:rFonts w:ascii="Times New Roman" w:cs="宋体" w:hAnsi="Times New Roman" w:hint="eastAsia"/>
                <w:color w:val="000000"/>
                <w:kern w:val="0"/>
                <w:sz w:val="16"/>
                <w:szCs w:val="16"/>
                <w:lang w:bidi="ar-SA"/>
              </w:rPr>
              <w:t>机关事业单位职业年金缴费支出</w:t>
            </w:r>
          </w:p>
        </w:tc>
        <w:tc>
          <w:tcPr>
            <w:tcW w:w="1276"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22.12</w:t>
            </w:r>
          </w:p>
        </w:tc>
        <w:tc>
          <w:tcPr>
            <w:tcW w:w="1562"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22.12</w:t>
            </w:r>
          </w:p>
        </w:tc>
        <w:tc>
          <w:tcPr>
            <w:tcW w:w="1390"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22.12</w:t>
            </w:r>
          </w:p>
        </w:tc>
        <w:tc>
          <w:tcPr>
            <w:tcW w:w="1310"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22.12</w:t>
            </w:r>
          </w:p>
        </w:tc>
        <w:tc>
          <w:tcPr>
            <w:tcW w:w="1150"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p>
        </w:tc>
        <w:tc>
          <w:tcPr>
            <w:tcW w:w="1630"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22.12</w:t>
            </w:r>
          </w:p>
        </w:tc>
        <w:tc>
          <w:tcPr>
            <w:tcW w:w="1284" w:type="dxa"/>
            <w:tcBorders>
              <w:top w:val="single" w:sz="4" w:space="0" w:color="auto"/>
              <w:left w:val="nil"/>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color w:val="000000"/>
                <w:sz w:val="16"/>
                <w:szCs w:val="16"/>
                <w:lang w:bidi="ar-SA"/>
              </w:rPr>
            </w:pPr>
            <w:r>
              <w:rPr>
                <w:rFonts w:ascii="Times New Roman" w:cs="Times New Roman" w:hAnsi="Times New Roman" w:hint="eastAsia"/>
                <w:color w:val="000000"/>
                <w:sz w:val="16"/>
                <w:szCs w:val="16"/>
                <w:lang w:bidi="ar-SA"/>
              </w:rPr>
              <w:t>0.00</w:t>
            </w:r>
          </w:p>
        </w:tc>
        <w:tc>
          <w:tcPr>
            <w:tcW w:w="964" w:type="dxa"/>
            <w:tcBorders>
              <w:top w:val="single" w:sz="4" w:space="0" w:color="auto"/>
              <w:left w:val="nil"/>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color w:val="000000"/>
                <w:sz w:val="16"/>
                <w:szCs w:val="16"/>
                <w:lang w:bidi="ar-SA"/>
              </w:rPr>
            </w:pPr>
            <w:r>
              <w:rPr>
                <w:rFonts w:ascii="Times New Roman" w:cs="Times New Roman" w:hAnsi="Times New Roman" w:hint="eastAsia"/>
                <w:color w:val="000000"/>
                <w:sz w:val="16"/>
                <w:szCs w:val="16"/>
                <w:lang w:bidi="ar-SA"/>
              </w:rPr>
              <w:t>0.00%</w:t>
            </w:r>
          </w:p>
        </w:tc>
        <w:tc>
          <w:tcPr>
            <w:tcW w:w="1216" w:type="dxa"/>
            <w:tcBorders>
              <w:top w:val="single" w:sz="4" w:space="0" w:color="auto"/>
              <w:left w:val="nil"/>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color w:val="000000"/>
                <w:sz w:val="16"/>
                <w:szCs w:val="16"/>
                <w:lang w:bidi="ar-SA"/>
              </w:rPr>
            </w:pPr>
            <w:r>
              <w:rPr>
                <w:rFonts w:ascii="Times New Roman" w:cs="Times New Roman" w:hAnsi="Times New Roman" w:hint="eastAsia"/>
                <w:color w:val="000000"/>
                <w:sz w:val="16"/>
                <w:szCs w:val="16"/>
                <w:lang w:bidi="ar-SA"/>
              </w:rPr>
              <w:t>0.00</w:t>
            </w:r>
          </w:p>
        </w:tc>
        <w:tc>
          <w:tcPr>
            <w:tcW w:w="1029" w:type="dxa"/>
            <w:tcBorders>
              <w:top w:val="single" w:sz="4" w:space="0" w:color="auto"/>
              <w:left w:val="nil"/>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color w:val="000000"/>
                <w:sz w:val="16"/>
                <w:szCs w:val="16"/>
                <w:lang w:bidi="ar-SA"/>
              </w:rPr>
            </w:pPr>
            <w:r>
              <w:rPr>
                <w:rFonts w:ascii="Times New Roman" w:cs="Times New Roman" w:hAnsi="Times New Roman" w:hint="eastAsia"/>
                <w:color w:val="000000"/>
                <w:sz w:val="16"/>
                <w:szCs w:val="16"/>
                <w:lang w:bidi="ar-SA"/>
              </w:rPr>
              <w:t>0.00%</w:t>
            </w:r>
          </w:p>
        </w:tc>
      </w:tr>
      <w:tr>
        <w:trPr>
          <w:trHeight w:val="255"/>
        </w:trPr>
        <w:tc>
          <w:tcPr>
            <w:tcW w:w="962" w:type="dxa"/>
            <w:tcBorders>
              <w:top w:val="single" w:sz="4" w:space="0" w:color="auto"/>
            </w:tcBorders>
            <w:shd w:val="clear" w:color="auto" w:fill="auto"/>
            <w:noWrap/>
            <w:vAlign w:val="center"/>
          </w:tcPr>
          <w:p>
            <w:pPr>
              <w:widowControl/>
              <w:autoSpaceDN w:val="0"/>
              <w:jc w:val="left"/>
              <w:rPr>
                <w:rFonts w:ascii="Times New Roman" w:cs="宋体" w:hAnsi="Times New Roman"/>
                <w:b/>
                <w:bCs/>
                <w:color w:val="000000"/>
                <w:kern w:val="0"/>
                <w:sz w:val="16"/>
                <w:szCs w:val="16"/>
                <w:lang w:bidi="ar-SA"/>
              </w:rPr>
            </w:pPr>
          </w:p>
        </w:tc>
        <w:tc>
          <w:tcPr>
            <w:tcW w:w="2265" w:type="dxa"/>
            <w:tcBorders>
              <w:top w:val="single" w:sz="4" w:space="0" w:color="auto"/>
            </w:tcBorders>
            <w:shd w:val="clear" w:color="auto" w:fill="auto"/>
            <w:noWrap/>
            <w:vAlign w:val="center"/>
          </w:tcPr>
          <w:p>
            <w:pPr>
              <w:widowControl/>
              <w:autoSpaceDN w:val="0"/>
              <w:jc w:val="left"/>
              <w:rPr>
                <w:rFonts w:ascii="Times New Roman" w:cs="宋体" w:hAnsi="Times New Roman"/>
                <w:b/>
                <w:bCs/>
                <w:color w:val="000000"/>
                <w:kern w:val="0"/>
                <w:sz w:val="16"/>
                <w:szCs w:val="16"/>
                <w:lang w:bidi="ar-SA"/>
              </w:rPr>
            </w:pPr>
          </w:p>
        </w:tc>
        <w:tc>
          <w:tcPr>
            <w:tcW w:w="1276" w:type="dxa"/>
            <w:tcBorders>
              <w:top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p>
        </w:tc>
        <w:tc>
          <w:tcPr>
            <w:tcW w:w="1562" w:type="dxa"/>
            <w:tcBorders>
              <w:top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p>
        </w:tc>
        <w:tc>
          <w:tcPr>
            <w:tcW w:w="1390" w:type="dxa"/>
            <w:tcBorders>
              <w:top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p>
        </w:tc>
        <w:tc>
          <w:tcPr>
            <w:tcW w:w="1310" w:type="dxa"/>
            <w:tcBorders>
              <w:top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p>
        </w:tc>
        <w:tc>
          <w:tcPr>
            <w:tcW w:w="1150" w:type="dxa"/>
            <w:tcBorders>
              <w:top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p>
        </w:tc>
        <w:tc>
          <w:tcPr>
            <w:tcW w:w="1630" w:type="dxa"/>
            <w:tcBorders>
              <w:top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p>
        </w:tc>
        <w:tc>
          <w:tcPr>
            <w:tcW w:w="1284" w:type="dxa"/>
            <w:tcBorders>
              <w:top w:val="single" w:sz="4" w:space="0" w:color="auto"/>
            </w:tcBorders>
            <w:shd w:val="clear" w:color="auto" w:fill="auto"/>
            <w:noWrap/>
            <w:vAlign w:val="bottom"/>
          </w:tcPr>
          <w:p>
            <w:pPr>
              <w:autoSpaceDN w:val="0"/>
              <w:jc w:val="right"/>
              <w:rPr>
                <w:rFonts w:ascii="Times New Roman" w:cs="Times New Roman" w:hAnsi="Times New Roman"/>
                <w:b/>
                <w:bCs/>
                <w:color w:val="000000"/>
                <w:sz w:val="16"/>
                <w:szCs w:val="16"/>
                <w:lang w:bidi="ar-SA"/>
              </w:rPr>
            </w:pPr>
          </w:p>
        </w:tc>
        <w:tc>
          <w:tcPr>
            <w:tcW w:w="964" w:type="dxa"/>
            <w:tcBorders>
              <w:top w:val="single" w:sz="4" w:space="0" w:color="auto"/>
            </w:tcBorders>
            <w:shd w:val="clear" w:color="auto" w:fill="auto"/>
            <w:noWrap/>
            <w:vAlign w:val="bottom"/>
          </w:tcPr>
          <w:p>
            <w:pPr>
              <w:autoSpaceDN w:val="0"/>
              <w:jc w:val="right"/>
              <w:rPr>
                <w:rFonts w:ascii="Times New Roman" w:cs="Times New Roman" w:hAnsi="Times New Roman"/>
                <w:b/>
                <w:bCs/>
                <w:color w:val="000000"/>
                <w:sz w:val="16"/>
                <w:szCs w:val="16"/>
                <w:lang w:bidi="ar-SA"/>
              </w:rPr>
            </w:pPr>
          </w:p>
        </w:tc>
        <w:tc>
          <w:tcPr>
            <w:tcW w:w="1216" w:type="dxa"/>
            <w:tcBorders>
              <w:top w:val="single" w:sz="4" w:space="0" w:color="auto"/>
            </w:tcBorders>
            <w:shd w:val="clear" w:color="auto" w:fill="auto"/>
            <w:noWrap/>
            <w:vAlign w:val="bottom"/>
          </w:tcPr>
          <w:p>
            <w:pPr>
              <w:autoSpaceDN w:val="0"/>
              <w:jc w:val="right"/>
              <w:rPr>
                <w:rFonts w:ascii="Times New Roman" w:cs="Times New Roman" w:hAnsi="Times New Roman"/>
                <w:b/>
                <w:bCs/>
                <w:color w:val="000000"/>
                <w:sz w:val="16"/>
                <w:szCs w:val="16"/>
                <w:lang w:bidi="ar-SA"/>
              </w:rPr>
            </w:pPr>
          </w:p>
        </w:tc>
        <w:tc>
          <w:tcPr>
            <w:tcW w:w="1029" w:type="dxa"/>
            <w:tcBorders>
              <w:top w:val="single" w:sz="4" w:space="0" w:color="auto"/>
            </w:tcBorders>
            <w:shd w:val="clear" w:color="auto" w:fill="auto"/>
            <w:noWrap/>
            <w:vAlign w:val="bottom"/>
          </w:tcPr>
          <w:p>
            <w:pPr>
              <w:autoSpaceDN w:val="0"/>
              <w:jc w:val="right"/>
              <w:rPr>
                <w:rFonts w:ascii="Times New Roman" w:cs="Times New Roman" w:hAnsi="Times New Roman"/>
                <w:b/>
                <w:bCs/>
                <w:color w:val="000000"/>
                <w:sz w:val="16"/>
                <w:szCs w:val="16"/>
                <w:lang w:bidi="ar-SA"/>
              </w:rPr>
            </w:pPr>
          </w:p>
        </w:tc>
      </w:tr>
      <w:tr>
        <w:trPr>
          <w:trHeight w:val="255"/>
        </w:trPr>
        <w:tc>
          <w:tcPr>
            <w:tcW w:w="962" w:type="dxa"/>
            <w:shd w:val="clear" w:color="auto" w:fill="auto"/>
            <w:noWrap/>
            <w:vAlign w:val="center"/>
          </w:tcPr>
          <w:p>
            <w:pPr>
              <w:widowControl/>
              <w:autoSpaceDN w:val="0"/>
              <w:jc w:val="left"/>
              <w:rPr>
                <w:rFonts w:ascii="Times New Roman" w:cs="宋体" w:hAnsi="Times New Roman"/>
                <w:b/>
                <w:bCs/>
                <w:color w:val="000000"/>
                <w:kern w:val="0"/>
                <w:sz w:val="16"/>
                <w:szCs w:val="16"/>
                <w:lang w:bidi="ar-SA"/>
              </w:rPr>
            </w:pPr>
          </w:p>
        </w:tc>
        <w:tc>
          <w:tcPr>
            <w:tcW w:w="2265" w:type="dxa"/>
            <w:shd w:val="clear" w:color="auto" w:fill="auto"/>
            <w:noWrap/>
            <w:vAlign w:val="center"/>
          </w:tcPr>
          <w:p>
            <w:pPr>
              <w:widowControl/>
              <w:autoSpaceDN w:val="0"/>
              <w:jc w:val="left"/>
              <w:rPr>
                <w:rFonts w:ascii="Times New Roman" w:cs="宋体" w:hAnsi="Times New Roman"/>
                <w:b/>
                <w:bCs/>
                <w:color w:val="000000"/>
                <w:kern w:val="0"/>
                <w:sz w:val="16"/>
                <w:szCs w:val="16"/>
                <w:lang w:bidi="ar-SA"/>
              </w:rPr>
            </w:pPr>
          </w:p>
        </w:tc>
        <w:tc>
          <w:tcPr>
            <w:tcW w:w="1276" w:type="dxa"/>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p>
        </w:tc>
        <w:tc>
          <w:tcPr>
            <w:tcW w:w="1562" w:type="dxa"/>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p>
        </w:tc>
        <w:tc>
          <w:tcPr>
            <w:tcW w:w="1390" w:type="dxa"/>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p>
        </w:tc>
        <w:tc>
          <w:tcPr>
            <w:tcW w:w="1310" w:type="dxa"/>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p>
        </w:tc>
        <w:tc>
          <w:tcPr>
            <w:tcW w:w="1150" w:type="dxa"/>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p>
        </w:tc>
        <w:tc>
          <w:tcPr>
            <w:tcW w:w="1630" w:type="dxa"/>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p>
        </w:tc>
        <w:tc>
          <w:tcPr>
            <w:tcW w:w="1284" w:type="dxa"/>
            <w:shd w:val="clear" w:color="auto" w:fill="auto"/>
            <w:noWrap/>
            <w:vAlign w:val="bottom"/>
          </w:tcPr>
          <w:p>
            <w:pPr>
              <w:autoSpaceDN w:val="0"/>
              <w:jc w:val="right"/>
              <w:rPr>
                <w:rFonts w:ascii="Times New Roman" w:cs="Times New Roman" w:hAnsi="Times New Roman"/>
                <w:b/>
                <w:bCs/>
                <w:color w:val="000000"/>
                <w:sz w:val="16"/>
                <w:szCs w:val="16"/>
                <w:lang w:bidi="ar-SA"/>
              </w:rPr>
            </w:pPr>
          </w:p>
        </w:tc>
        <w:tc>
          <w:tcPr>
            <w:tcW w:w="964" w:type="dxa"/>
            <w:shd w:val="clear" w:color="auto" w:fill="auto"/>
            <w:noWrap/>
            <w:vAlign w:val="bottom"/>
          </w:tcPr>
          <w:p>
            <w:pPr>
              <w:autoSpaceDN w:val="0"/>
              <w:jc w:val="right"/>
              <w:rPr>
                <w:rFonts w:ascii="Times New Roman" w:cs="Times New Roman" w:hAnsi="Times New Roman"/>
                <w:b/>
                <w:bCs/>
                <w:color w:val="000000"/>
                <w:sz w:val="16"/>
                <w:szCs w:val="16"/>
                <w:lang w:bidi="ar-SA"/>
              </w:rPr>
            </w:pPr>
          </w:p>
        </w:tc>
        <w:tc>
          <w:tcPr>
            <w:tcW w:w="1216" w:type="dxa"/>
            <w:shd w:val="clear" w:color="auto" w:fill="auto"/>
            <w:noWrap/>
            <w:vAlign w:val="bottom"/>
          </w:tcPr>
          <w:p>
            <w:pPr>
              <w:autoSpaceDN w:val="0"/>
              <w:jc w:val="right"/>
              <w:rPr>
                <w:rFonts w:ascii="Times New Roman" w:cs="Times New Roman" w:hAnsi="Times New Roman"/>
                <w:b/>
                <w:bCs/>
                <w:color w:val="000000"/>
                <w:sz w:val="16"/>
                <w:szCs w:val="16"/>
                <w:lang w:bidi="ar-SA"/>
              </w:rPr>
            </w:pPr>
          </w:p>
        </w:tc>
        <w:tc>
          <w:tcPr>
            <w:tcW w:w="1029" w:type="dxa"/>
            <w:shd w:val="clear" w:color="auto" w:fill="auto"/>
            <w:noWrap/>
            <w:vAlign w:val="bottom"/>
          </w:tcPr>
          <w:p>
            <w:pPr>
              <w:autoSpaceDN w:val="0"/>
              <w:jc w:val="right"/>
              <w:rPr>
                <w:rFonts w:ascii="Times New Roman" w:cs="Times New Roman" w:hAnsi="Times New Roman"/>
                <w:b/>
                <w:bCs/>
                <w:color w:val="000000"/>
                <w:sz w:val="16"/>
                <w:szCs w:val="16"/>
                <w:lang w:bidi="ar-SA"/>
              </w:rPr>
            </w:pPr>
          </w:p>
        </w:tc>
      </w:tr>
      <w:tr>
        <w:trPr>
          <w:trHeight w:val="255"/>
        </w:trPr>
        <w:tc>
          <w:tcPr>
            <w:tcW w:w="962" w:type="dxa"/>
            <w:tcBorders>
              <w:bottom w:val="single" w:sz="4" w:space="0" w:color="auto"/>
            </w:tcBorders>
            <w:shd w:val="clear" w:color="auto" w:fill="auto"/>
            <w:noWrap/>
            <w:vAlign w:val="center"/>
          </w:tcPr>
          <w:p>
            <w:pPr>
              <w:widowControl/>
              <w:autoSpaceDN w:val="0"/>
              <w:jc w:val="left"/>
              <w:rPr>
                <w:rFonts w:ascii="Times New Roman" w:cs="宋体" w:hAnsi="Times New Roman"/>
                <w:b/>
                <w:bCs/>
                <w:color w:val="000000"/>
                <w:kern w:val="0"/>
                <w:sz w:val="16"/>
                <w:szCs w:val="16"/>
                <w:lang w:bidi="ar-SA"/>
              </w:rPr>
            </w:pPr>
          </w:p>
        </w:tc>
        <w:tc>
          <w:tcPr>
            <w:tcW w:w="2265" w:type="dxa"/>
            <w:tcBorders>
              <w:bottom w:val="single" w:sz="4" w:space="0" w:color="auto"/>
            </w:tcBorders>
            <w:shd w:val="clear" w:color="auto" w:fill="auto"/>
            <w:noWrap/>
            <w:vAlign w:val="center"/>
          </w:tcPr>
          <w:p>
            <w:pPr>
              <w:widowControl/>
              <w:autoSpaceDN w:val="0"/>
              <w:jc w:val="left"/>
              <w:rPr>
                <w:rFonts w:ascii="Times New Roman" w:cs="宋体" w:hAnsi="Times New Roman"/>
                <w:b/>
                <w:bCs/>
                <w:color w:val="000000"/>
                <w:kern w:val="0"/>
                <w:sz w:val="16"/>
                <w:szCs w:val="16"/>
                <w:lang w:bidi="ar-SA"/>
              </w:rPr>
            </w:pPr>
          </w:p>
        </w:tc>
        <w:tc>
          <w:tcPr>
            <w:tcW w:w="1276" w:type="dxa"/>
            <w:tcBorders>
              <w:bottom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p>
        </w:tc>
        <w:tc>
          <w:tcPr>
            <w:tcW w:w="1562" w:type="dxa"/>
            <w:tcBorders>
              <w:bottom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p>
        </w:tc>
        <w:tc>
          <w:tcPr>
            <w:tcW w:w="1390" w:type="dxa"/>
            <w:tcBorders>
              <w:bottom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p>
        </w:tc>
        <w:tc>
          <w:tcPr>
            <w:tcW w:w="1310" w:type="dxa"/>
            <w:tcBorders>
              <w:bottom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p>
        </w:tc>
        <w:tc>
          <w:tcPr>
            <w:tcW w:w="1150" w:type="dxa"/>
            <w:tcBorders>
              <w:bottom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p>
        </w:tc>
        <w:tc>
          <w:tcPr>
            <w:tcW w:w="1630" w:type="dxa"/>
            <w:tcBorders>
              <w:bottom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p>
        </w:tc>
        <w:tc>
          <w:tcPr>
            <w:tcW w:w="1284" w:type="dxa"/>
            <w:tcBorders>
              <w:bottom w:val="single" w:sz="4" w:space="0" w:color="auto"/>
            </w:tcBorders>
            <w:shd w:val="clear" w:color="auto" w:fill="auto"/>
            <w:noWrap/>
            <w:vAlign w:val="bottom"/>
          </w:tcPr>
          <w:p>
            <w:pPr>
              <w:autoSpaceDN w:val="0"/>
              <w:jc w:val="right"/>
              <w:rPr>
                <w:rFonts w:ascii="Times New Roman" w:cs="Times New Roman" w:hAnsi="Times New Roman"/>
                <w:b/>
                <w:bCs/>
                <w:color w:val="000000"/>
                <w:sz w:val="16"/>
                <w:szCs w:val="16"/>
                <w:lang w:bidi="ar-SA"/>
              </w:rPr>
            </w:pPr>
          </w:p>
        </w:tc>
        <w:tc>
          <w:tcPr>
            <w:tcW w:w="964" w:type="dxa"/>
            <w:tcBorders>
              <w:bottom w:val="single" w:sz="4" w:space="0" w:color="auto"/>
            </w:tcBorders>
            <w:shd w:val="clear" w:color="auto" w:fill="auto"/>
            <w:noWrap/>
            <w:vAlign w:val="bottom"/>
          </w:tcPr>
          <w:p>
            <w:pPr>
              <w:autoSpaceDN w:val="0"/>
              <w:jc w:val="right"/>
              <w:rPr>
                <w:rFonts w:ascii="Times New Roman" w:cs="Times New Roman" w:hAnsi="Times New Roman"/>
                <w:b/>
                <w:bCs/>
                <w:color w:val="000000"/>
                <w:sz w:val="16"/>
                <w:szCs w:val="16"/>
                <w:lang w:bidi="ar-SA"/>
              </w:rPr>
            </w:pPr>
          </w:p>
        </w:tc>
        <w:tc>
          <w:tcPr>
            <w:tcW w:w="1216" w:type="dxa"/>
            <w:tcBorders>
              <w:bottom w:val="single" w:sz="4" w:space="0" w:color="auto"/>
            </w:tcBorders>
            <w:shd w:val="clear" w:color="auto" w:fill="auto"/>
            <w:noWrap/>
            <w:vAlign w:val="bottom"/>
          </w:tcPr>
          <w:p>
            <w:pPr>
              <w:autoSpaceDN w:val="0"/>
              <w:jc w:val="right"/>
              <w:rPr>
                <w:rFonts w:ascii="Times New Roman" w:cs="Times New Roman" w:hAnsi="Times New Roman"/>
                <w:b/>
                <w:bCs/>
                <w:color w:val="000000"/>
                <w:sz w:val="16"/>
                <w:szCs w:val="16"/>
                <w:lang w:bidi="ar-SA"/>
              </w:rPr>
            </w:pPr>
          </w:p>
        </w:tc>
        <w:tc>
          <w:tcPr>
            <w:tcW w:w="1029" w:type="dxa"/>
            <w:tcBorders>
              <w:bottom w:val="single" w:sz="4" w:space="0" w:color="auto"/>
            </w:tcBorders>
            <w:shd w:val="clear" w:color="auto" w:fill="auto"/>
            <w:noWrap/>
            <w:vAlign w:val="bottom"/>
          </w:tcPr>
          <w:p>
            <w:pPr>
              <w:autoSpaceDN w:val="0"/>
              <w:jc w:val="right"/>
              <w:rPr>
                <w:rFonts w:ascii="Times New Roman" w:cs="Times New Roman" w:hAnsi="Times New Roman"/>
                <w:b/>
                <w:bCs/>
                <w:color w:val="000000"/>
                <w:sz w:val="16"/>
                <w:szCs w:val="16"/>
                <w:lang w:bidi="ar-SA"/>
              </w:rPr>
            </w:pPr>
          </w:p>
        </w:tc>
      </w:tr>
      <w:tr>
        <w:trPr>
          <w:trHeight w:val="255"/>
        </w:trPr>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b/>
                <w:bCs/>
                <w:color w:val="000000"/>
                <w:kern w:val="0"/>
                <w:sz w:val="16"/>
                <w:szCs w:val="16"/>
                <w:lang w:bidi="ar-SA"/>
              </w:rPr>
            </w:pPr>
            <w:r>
              <w:rPr>
                <w:rFonts w:ascii="Times New Roman" w:cs="宋体" w:hAnsi="Times New Roman"/>
                <w:b/>
                <w:bCs/>
                <w:color w:val="000000"/>
                <w:kern w:val="0"/>
                <w:sz w:val="16"/>
                <w:szCs w:val="16"/>
                <w:lang w:bidi="ar-SA"/>
              </w:rPr>
              <w:t>210</w:t>
            </w:r>
          </w:p>
        </w:tc>
        <w:tc>
          <w:tcPr>
            <w:tcW w:w="2265"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b/>
                <w:bCs/>
                <w:color w:val="000000"/>
                <w:kern w:val="0"/>
                <w:sz w:val="16"/>
                <w:szCs w:val="16"/>
                <w:lang w:bidi="ar-SA"/>
              </w:rPr>
            </w:pPr>
            <w:r>
              <w:rPr>
                <w:rFonts w:ascii="Times New Roman" w:cs="宋体" w:hAnsi="Times New Roman"/>
                <w:b/>
                <w:bCs/>
                <w:color w:val="000000"/>
                <w:kern w:val="0"/>
                <w:sz w:val="16"/>
                <w:szCs w:val="16"/>
                <w:lang w:bidi="ar-SA"/>
              </w:rPr>
              <w:t xml:space="preserve">  </w:t>
            </w:r>
            <w:r>
              <w:rPr>
                <w:rFonts w:ascii="Times New Roman" w:cs="宋体" w:hAnsi="Times New Roman" w:hint="eastAsia"/>
                <w:b/>
                <w:bCs/>
                <w:color w:val="000000"/>
                <w:kern w:val="0"/>
                <w:sz w:val="16"/>
                <w:szCs w:val="16"/>
                <w:lang w:bidi="ar-SA"/>
              </w:rPr>
              <w:t>卫生健康支出</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r>
              <w:rPr>
                <w:rFonts w:ascii="Times New Roman" w:cs="Times New Roman" w:hAnsi="Times New Roman" w:hint="eastAsia"/>
                <w:b/>
                <w:bCs/>
                <w:color w:val="000000"/>
                <w:kern w:val="0"/>
                <w:sz w:val="16"/>
                <w:szCs w:val="16"/>
                <w:lang w:bidi="ar-SA"/>
              </w:rPr>
              <w:t>24.06</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r>
              <w:rPr>
                <w:rFonts w:ascii="Times New Roman" w:cs="Times New Roman" w:hAnsi="Times New Roman" w:hint="eastAsia"/>
                <w:b/>
                <w:bCs/>
                <w:color w:val="000000"/>
                <w:kern w:val="0"/>
                <w:sz w:val="16"/>
                <w:szCs w:val="16"/>
                <w:lang w:bidi="ar-SA"/>
              </w:rPr>
              <w:t>24.06</w:t>
            </w:r>
          </w:p>
        </w:tc>
        <w:tc>
          <w:tcPr>
            <w:tcW w:w="1390"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r>
              <w:rPr>
                <w:rFonts w:ascii="Times New Roman" w:cs="Times New Roman" w:hAnsi="Times New Roman" w:hint="eastAsia"/>
                <w:b/>
                <w:bCs/>
                <w:color w:val="000000"/>
                <w:kern w:val="0"/>
                <w:sz w:val="16"/>
                <w:szCs w:val="16"/>
                <w:lang w:bidi="ar-SA"/>
              </w:rPr>
              <w:t>24.05</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r>
              <w:rPr>
                <w:rFonts w:ascii="Times New Roman" w:cs="Times New Roman" w:hAnsi="Times New Roman" w:hint="eastAsia"/>
                <w:b/>
                <w:bCs/>
                <w:color w:val="000000"/>
                <w:kern w:val="0"/>
                <w:sz w:val="16"/>
                <w:szCs w:val="16"/>
                <w:lang w:bidi="ar-SA"/>
              </w:rPr>
              <w:t>24.05</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p>
        </w:tc>
        <w:tc>
          <w:tcPr>
            <w:tcW w:w="1630"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r>
              <w:rPr>
                <w:rFonts w:ascii="Times New Roman" w:cs="Times New Roman" w:hAnsi="Times New Roman" w:hint="eastAsia"/>
                <w:b/>
                <w:bCs/>
                <w:color w:val="000000"/>
                <w:kern w:val="0"/>
                <w:sz w:val="16"/>
                <w:szCs w:val="16"/>
                <w:lang w:bidi="ar-SA"/>
              </w:rPr>
              <w:t>24.05</w:t>
            </w:r>
          </w:p>
        </w:tc>
        <w:tc>
          <w:tcPr>
            <w:tcW w:w="1284" w:type="dxa"/>
            <w:tcBorders>
              <w:top w:val="single" w:sz="4" w:space="0" w:color="auto"/>
              <w:left w:val="single" w:sz="4" w:space="0" w:color="auto"/>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b/>
                <w:bCs/>
                <w:color w:val="000000"/>
                <w:sz w:val="16"/>
                <w:szCs w:val="16"/>
                <w:lang w:bidi="ar-SA"/>
              </w:rPr>
            </w:pPr>
            <w:r>
              <w:rPr>
                <w:rFonts w:ascii="Times New Roman" w:cs="Times New Roman" w:hAnsi="Times New Roman" w:hint="eastAsia"/>
                <w:b/>
                <w:bCs/>
                <w:color w:val="000000"/>
                <w:sz w:val="16"/>
                <w:szCs w:val="16"/>
                <w:lang w:bidi="ar-SA"/>
              </w:rPr>
              <w:t>-0.01</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b/>
                <w:bCs/>
                <w:color w:val="000000"/>
                <w:sz w:val="16"/>
                <w:szCs w:val="16"/>
                <w:lang w:bidi="ar-SA"/>
              </w:rPr>
            </w:pPr>
            <w:r>
              <w:rPr>
                <w:rFonts w:ascii="Times New Roman" w:cs="Times New Roman" w:hAnsi="Times New Roman" w:hint="eastAsia"/>
                <w:b/>
                <w:bCs/>
                <w:color w:val="000000"/>
                <w:sz w:val="16"/>
                <w:szCs w:val="16"/>
                <w:lang w:bidi="ar-SA"/>
              </w:rPr>
              <w:t>-0.04%</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b/>
                <w:bCs/>
                <w:color w:val="000000"/>
                <w:sz w:val="16"/>
                <w:szCs w:val="16"/>
                <w:lang w:bidi="ar-SA"/>
              </w:rPr>
            </w:pPr>
            <w:r>
              <w:rPr>
                <w:rFonts w:ascii="Times New Roman" w:cs="Times New Roman" w:hAnsi="Times New Roman" w:hint="eastAsia"/>
                <w:b/>
                <w:bCs/>
                <w:color w:val="000000"/>
                <w:sz w:val="16"/>
                <w:szCs w:val="16"/>
                <w:lang w:bidi="ar-SA"/>
              </w:rPr>
              <w:t>-0.01</w:t>
            </w:r>
          </w:p>
        </w:tc>
        <w:tc>
          <w:tcPr>
            <w:tcW w:w="1029" w:type="dxa"/>
            <w:tcBorders>
              <w:top w:val="single" w:sz="4" w:space="0" w:color="auto"/>
              <w:left w:val="single" w:sz="4" w:space="0" w:color="auto"/>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b/>
                <w:bCs/>
                <w:color w:val="000000"/>
                <w:sz w:val="16"/>
                <w:szCs w:val="16"/>
                <w:lang w:bidi="ar-SA"/>
              </w:rPr>
            </w:pPr>
            <w:r>
              <w:rPr>
                <w:rFonts w:ascii="Times New Roman" w:cs="Times New Roman" w:hAnsi="Times New Roman" w:hint="eastAsia"/>
                <w:b/>
                <w:bCs/>
                <w:color w:val="000000"/>
                <w:sz w:val="16"/>
                <w:szCs w:val="16"/>
                <w:lang w:bidi="ar-SA"/>
              </w:rPr>
              <w:t>-0.04%</w:t>
            </w:r>
          </w:p>
        </w:tc>
      </w:tr>
      <w:tr>
        <w:trPr>
          <w:trHeight w:val="255"/>
        </w:trPr>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b/>
                <w:bCs/>
                <w:color w:val="000000"/>
                <w:kern w:val="0"/>
                <w:sz w:val="16"/>
                <w:szCs w:val="16"/>
                <w:lang w:bidi="ar-SA"/>
              </w:rPr>
            </w:pPr>
            <w:r>
              <w:rPr>
                <w:rFonts w:ascii="Times New Roman" w:cs="宋体" w:hAnsi="Times New Roman"/>
                <w:b/>
                <w:bCs/>
                <w:color w:val="000000"/>
                <w:kern w:val="0"/>
                <w:sz w:val="16"/>
                <w:szCs w:val="16"/>
                <w:lang w:bidi="ar-SA"/>
              </w:rPr>
              <w:t>21011</w:t>
            </w:r>
          </w:p>
        </w:tc>
        <w:tc>
          <w:tcPr>
            <w:tcW w:w="2265"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b/>
                <w:bCs/>
                <w:color w:val="000000"/>
                <w:kern w:val="0"/>
                <w:sz w:val="16"/>
                <w:szCs w:val="16"/>
                <w:lang w:bidi="ar-SA"/>
              </w:rPr>
            </w:pPr>
            <w:r>
              <w:rPr>
                <w:rFonts w:ascii="Times New Roman" w:cs="宋体" w:hAnsi="Times New Roman"/>
                <w:b/>
                <w:bCs/>
                <w:color w:val="000000"/>
                <w:kern w:val="0"/>
                <w:sz w:val="16"/>
                <w:szCs w:val="16"/>
                <w:lang w:bidi="ar-SA"/>
              </w:rPr>
              <w:t xml:space="preserve">    </w:t>
            </w:r>
            <w:r>
              <w:rPr>
                <w:rFonts w:ascii="Times New Roman" w:cs="宋体" w:hAnsi="Times New Roman" w:hint="eastAsia"/>
                <w:b/>
                <w:bCs/>
                <w:color w:val="000000"/>
                <w:kern w:val="0"/>
                <w:sz w:val="16"/>
                <w:szCs w:val="16"/>
                <w:lang w:bidi="ar-SA"/>
              </w:rPr>
              <w:t>行政事业单位医疗</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r>
              <w:rPr>
                <w:rFonts w:ascii="Times New Roman" w:cs="Times New Roman" w:hAnsi="Times New Roman" w:hint="eastAsia"/>
                <w:b/>
                <w:bCs/>
                <w:color w:val="000000"/>
                <w:kern w:val="0"/>
                <w:sz w:val="16"/>
                <w:szCs w:val="16"/>
                <w:lang w:bidi="ar-SA"/>
              </w:rPr>
              <w:t>24.06</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r>
              <w:rPr>
                <w:rFonts w:ascii="Times New Roman" w:cs="Times New Roman" w:hAnsi="Times New Roman" w:hint="eastAsia"/>
                <w:b/>
                <w:bCs/>
                <w:color w:val="000000"/>
                <w:kern w:val="0"/>
                <w:sz w:val="16"/>
                <w:szCs w:val="16"/>
                <w:lang w:bidi="ar-SA"/>
              </w:rPr>
              <w:t>24.06</w:t>
            </w:r>
          </w:p>
        </w:tc>
        <w:tc>
          <w:tcPr>
            <w:tcW w:w="1390"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r>
              <w:rPr>
                <w:rFonts w:ascii="Times New Roman" w:cs="Times New Roman" w:hAnsi="Times New Roman" w:hint="eastAsia"/>
                <w:b/>
                <w:bCs/>
                <w:color w:val="000000"/>
                <w:kern w:val="0"/>
                <w:sz w:val="16"/>
                <w:szCs w:val="16"/>
                <w:lang w:bidi="ar-SA"/>
              </w:rPr>
              <w:t>24.05</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r>
              <w:rPr>
                <w:rFonts w:ascii="Times New Roman" w:cs="Times New Roman" w:hAnsi="Times New Roman" w:hint="eastAsia"/>
                <w:b/>
                <w:bCs/>
                <w:color w:val="000000"/>
                <w:kern w:val="0"/>
                <w:sz w:val="16"/>
                <w:szCs w:val="16"/>
                <w:lang w:bidi="ar-SA"/>
              </w:rPr>
              <w:t>24.05</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p>
        </w:tc>
        <w:tc>
          <w:tcPr>
            <w:tcW w:w="1630"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r>
              <w:rPr>
                <w:rFonts w:ascii="Times New Roman" w:cs="Times New Roman" w:hAnsi="Times New Roman" w:hint="eastAsia"/>
                <w:b/>
                <w:bCs/>
                <w:color w:val="000000"/>
                <w:kern w:val="0"/>
                <w:sz w:val="16"/>
                <w:szCs w:val="16"/>
                <w:lang w:bidi="ar-SA"/>
              </w:rPr>
              <w:t>24.05</w:t>
            </w:r>
          </w:p>
        </w:tc>
        <w:tc>
          <w:tcPr>
            <w:tcW w:w="1284" w:type="dxa"/>
            <w:tcBorders>
              <w:top w:val="single" w:sz="4" w:space="0" w:color="auto"/>
              <w:left w:val="single" w:sz="4" w:space="0" w:color="auto"/>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b/>
                <w:bCs/>
                <w:color w:val="000000"/>
                <w:sz w:val="16"/>
                <w:szCs w:val="16"/>
                <w:lang w:bidi="ar-SA"/>
              </w:rPr>
            </w:pPr>
            <w:r>
              <w:rPr>
                <w:rFonts w:ascii="Times New Roman" w:cs="Times New Roman" w:hAnsi="Times New Roman" w:hint="eastAsia"/>
                <w:b/>
                <w:bCs/>
                <w:color w:val="000000"/>
                <w:sz w:val="16"/>
                <w:szCs w:val="16"/>
                <w:lang w:bidi="ar-SA"/>
              </w:rPr>
              <w:t>-0.01</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b/>
                <w:bCs/>
                <w:color w:val="000000"/>
                <w:sz w:val="16"/>
                <w:szCs w:val="16"/>
                <w:lang w:bidi="ar-SA"/>
              </w:rPr>
            </w:pPr>
            <w:r>
              <w:rPr>
                <w:rFonts w:ascii="Times New Roman" w:cs="Times New Roman" w:hAnsi="Times New Roman" w:hint="eastAsia"/>
                <w:b/>
                <w:bCs/>
                <w:color w:val="000000"/>
                <w:sz w:val="16"/>
                <w:szCs w:val="16"/>
                <w:lang w:bidi="ar-SA"/>
              </w:rPr>
              <w:t>-0.04%</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b/>
                <w:bCs/>
                <w:color w:val="000000"/>
                <w:sz w:val="16"/>
                <w:szCs w:val="16"/>
                <w:lang w:bidi="ar-SA"/>
              </w:rPr>
            </w:pPr>
            <w:r>
              <w:rPr>
                <w:rFonts w:ascii="Times New Roman" w:cs="Times New Roman" w:hAnsi="Times New Roman" w:hint="eastAsia"/>
                <w:b/>
                <w:bCs/>
                <w:color w:val="000000"/>
                <w:sz w:val="16"/>
                <w:szCs w:val="16"/>
                <w:lang w:bidi="ar-SA"/>
              </w:rPr>
              <w:t>-0.01</w:t>
            </w:r>
          </w:p>
        </w:tc>
        <w:tc>
          <w:tcPr>
            <w:tcW w:w="1029" w:type="dxa"/>
            <w:tcBorders>
              <w:top w:val="single" w:sz="4" w:space="0" w:color="auto"/>
              <w:left w:val="single" w:sz="4" w:space="0" w:color="auto"/>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b/>
                <w:bCs/>
                <w:color w:val="000000"/>
                <w:sz w:val="16"/>
                <w:szCs w:val="16"/>
                <w:lang w:bidi="ar-SA"/>
              </w:rPr>
            </w:pPr>
            <w:r>
              <w:rPr>
                <w:rFonts w:ascii="Times New Roman" w:cs="Times New Roman" w:hAnsi="Times New Roman" w:hint="eastAsia"/>
                <w:b/>
                <w:bCs/>
                <w:color w:val="000000"/>
                <w:sz w:val="16"/>
                <w:szCs w:val="16"/>
                <w:lang w:bidi="ar-SA"/>
              </w:rPr>
              <w:t>-0.04%</w:t>
            </w:r>
          </w:p>
        </w:tc>
      </w:tr>
      <w:tr>
        <w:trPr>
          <w:trHeight w:val="255"/>
        </w:trPr>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16"/>
                <w:szCs w:val="16"/>
                <w:lang w:bidi="ar-SA"/>
              </w:rPr>
            </w:pPr>
            <w:r>
              <w:rPr>
                <w:rFonts w:ascii="Times New Roman" w:cs="宋体" w:hAnsi="Times New Roman"/>
                <w:color w:val="000000"/>
                <w:kern w:val="0"/>
                <w:sz w:val="16"/>
                <w:szCs w:val="16"/>
                <w:lang w:bidi="ar-SA"/>
              </w:rPr>
              <w:t>2101101</w:t>
            </w:r>
          </w:p>
        </w:tc>
        <w:tc>
          <w:tcPr>
            <w:tcW w:w="2265"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16"/>
                <w:szCs w:val="16"/>
                <w:lang w:bidi="ar-SA"/>
              </w:rPr>
            </w:pPr>
            <w:r>
              <w:rPr>
                <w:rFonts w:ascii="Times New Roman" w:cs="宋体" w:hAnsi="Times New Roman" w:hint="eastAsia"/>
                <w:color w:val="000000"/>
                <w:kern w:val="0"/>
                <w:sz w:val="16"/>
                <w:szCs w:val="16"/>
                <w:lang w:bidi="ar-SA"/>
              </w:rPr>
              <w:t>行政单位医疗</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17.46</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17.46</w:t>
            </w:r>
          </w:p>
        </w:tc>
        <w:tc>
          <w:tcPr>
            <w:tcW w:w="1390"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17.76</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17.76</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p>
        </w:tc>
        <w:tc>
          <w:tcPr>
            <w:tcW w:w="1630"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17.76</w:t>
            </w:r>
          </w:p>
        </w:tc>
        <w:tc>
          <w:tcPr>
            <w:tcW w:w="1284" w:type="dxa"/>
            <w:tcBorders>
              <w:top w:val="single" w:sz="4" w:space="0" w:color="auto"/>
              <w:left w:val="single" w:sz="4" w:space="0" w:color="auto"/>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color w:val="000000"/>
                <w:sz w:val="16"/>
                <w:szCs w:val="16"/>
                <w:lang w:bidi="ar-SA"/>
              </w:rPr>
            </w:pPr>
            <w:r>
              <w:rPr>
                <w:rFonts w:ascii="Times New Roman" w:cs="Times New Roman" w:hAnsi="Times New Roman" w:hint="eastAsia"/>
                <w:color w:val="000000"/>
                <w:sz w:val="16"/>
                <w:szCs w:val="16"/>
                <w:lang w:bidi="ar-SA"/>
              </w:rPr>
              <w:t>0.30</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color w:val="000000"/>
                <w:sz w:val="16"/>
                <w:szCs w:val="16"/>
                <w:lang w:bidi="ar-SA"/>
              </w:rPr>
            </w:pPr>
            <w:r>
              <w:rPr>
                <w:rFonts w:ascii="Times New Roman" w:cs="Times New Roman" w:hAnsi="Times New Roman" w:hint="eastAsia"/>
                <w:color w:val="000000"/>
                <w:sz w:val="16"/>
                <w:szCs w:val="16"/>
                <w:lang w:bidi="ar-SA"/>
              </w:rPr>
              <w:t>1.72%</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color w:val="000000"/>
                <w:sz w:val="16"/>
                <w:szCs w:val="16"/>
                <w:lang w:bidi="ar-SA"/>
              </w:rPr>
            </w:pPr>
            <w:r>
              <w:rPr>
                <w:rFonts w:ascii="Times New Roman" w:cs="Times New Roman" w:hAnsi="Times New Roman" w:hint="eastAsia"/>
                <w:color w:val="000000"/>
                <w:sz w:val="16"/>
                <w:szCs w:val="16"/>
                <w:lang w:bidi="ar-SA"/>
              </w:rPr>
              <w:t>0.30</w:t>
            </w:r>
          </w:p>
        </w:tc>
        <w:tc>
          <w:tcPr>
            <w:tcW w:w="1029" w:type="dxa"/>
            <w:tcBorders>
              <w:top w:val="single" w:sz="4" w:space="0" w:color="auto"/>
              <w:left w:val="single" w:sz="4" w:space="0" w:color="auto"/>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color w:val="000000"/>
                <w:sz w:val="16"/>
                <w:szCs w:val="16"/>
                <w:lang w:bidi="ar-SA"/>
              </w:rPr>
            </w:pPr>
            <w:r>
              <w:rPr>
                <w:rFonts w:ascii="Times New Roman" w:cs="Times New Roman" w:hAnsi="Times New Roman" w:hint="eastAsia"/>
                <w:color w:val="000000"/>
                <w:sz w:val="16"/>
                <w:szCs w:val="16"/>
                <w:lang w:bidi="ar-SA"/>
              </w:rPr>
              <w:t>1.72%</w:t>
            </w:r>
          </w:p>
        </w:tc>
      </w:tr>
      <w:tr>
        <w:trPr>
          <w:trHeight w:val="255"/>
        </w:trPr>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16"/>
                <w:szCs w:val="16"/>
                <w:lang w:bidi="ar-SA"/>
              </w:rPr>
            </w:pPr>
            <w:r>
              <w:rPr>
                <w:rFonts w:ascii="Times New Roman" w:cs="宋体" w:hAnsi="Times New Roman"/>
                <w:color w:val="000000"/>
                <w:kern w:val="0"/>
                <w:sz w:val="16"/>
                <w:szCs w:val="16"/>
                <w:lang w:bidi="ar-SA"/>
              </w:rPr>
              <w:t>2101103</w:t>
            </w:r>
          </w:p>
        </w:tc>
        <w:tc>
          <w:tcPr>
            <w:tcW w:w="2265"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16"/>
                <w:szCs w:val="16"/>
                <w:lang w:bidi="ar-SA"/>
              </w:rPr>
            </w:pPr>
            <w:r>
              <w:rPr>
                <w:rFonts w:ascii="Times New Roman" w:cs="宋体" w:hAnsi="Times New Roman" w:hint="eastAsia"/>
                <w:color w:val="000000"/>
                <w:kern w:val="0"/>
                <w:sz w:val="16"/>
                <w:szCs w:val="16"/>
                <w:lang w:bidi="ar-SA"/>
              </w:rPr>
              <w:t>公务员医疗补助</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6.00</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6.00</w:t>
            </w:r>
          </w:p>
        </w:tc>
        <w:tc>
          <w:tcPr>
            <w:tcW w:w="1390"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5.74</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5.74</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p>
        </w:tc>
        <w:tc>
          <w:tcPr>
            <w:tcW w:w="1630"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5.74</w:t>
            </w:r>
          </w:p>
        </w:tc>
        <w:tc>
          <w:tcPr>
            <w:tcW w:w="1284" w:type="dxa"/>
            <w:tcBorders>
              <w:top w:val="single" w:sz="4" w:space="0" w:color="auto"/>
              <w:left w:val="single" w:sz="4" w:space="0" w:color="auto"/>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color w:val="000000"/>
                <w:sz w:val="16"/>
                <w:szCs w:val="16"/>
                <w:lang w:bidi="ar-SA"/>
              </w:rPr>
            </w:pPr>
            <w:r>
              <w:rPr>
                <w:rFonts w:ascii="Times New Roman" w:cs="Times New Roman" w:hAnsi="Times New Roman" w:hint="eastAsia"/>
                <w:color w:val="000000"/>
                <w:sz w:val="16"/>
                <w:szCs w:val="16"/>
                <w:lang w:bidi="ar-SA"/>
              </w:rPr>
              <w:t>-0.26</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color w:val="000000"/>
                <w:sz w:val="16"/>
                <w:szCs w:val="16"/>
                <w:lang w:bidi="ar-SA"/>
              </w:rPr>
            </w:pPr>
            <w:r>
              <w:rPr>
                <w:rFonts w:ascii="Times New Roman" w:cs="Times New Roman" w:hAnsi="Times New Roman" w:hint="eastAsia"/>
                <w:color w:val="000000"/>
                <w:sz w:val="16"/>
                <w:szCs w:val="16"/>
                <w:lang w:bidi="ar-SA"/>
              </w:rPr>
              <w:t>-4.33%</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color w:val="000000"/>
                <w:sz w:val="16"/>
                <w:szCs w:val="16"/>
                <w:lang w:bidi="ar-SA"/>
              </w:rPr>
            </w:pPr>
            <w:r>
              <w:rPr>
                <w:rFonts w:ascii="Times New Roman" w:cs="Times New Roman" w:hAnsi="Times New Roman" w:hint="eastAsia"/>
                <w:color w:val="000000"/>
                <w:sz w:val="16"/>
                <w:szCs w:val="16"/>
                <w:lang w:bidi="ar-SA"/>
              </w:rPr>
              <w:t>-0.26</w:t>
            </w:r>
          </w:p>
        </w:tc>
        <w:tc>
          <w:tcPr>
            <w:tcW w:w="1029" w:type="dxa"/>
            <w:tcBorders>
              <w:top w:val="single" w:sz="4" w:space="0" w:color="auto"/>
              <w:left w:val="single" w:sz="4" w:space="0" w:color="auto"/>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color w:val="000000"/>
                <w:sz w:val="16"/>
                <w:szCs w:val="16"/>
                <w:lang w:bidi="ar-SA"/>
              </w:rPr>
            </w:pPr>
            <w:r>
              <w:rPr>
                <w:rFonts w:ascii="Times New Roman" w:cs="Times New Roman" w:hAnsi="Times New Roman" w:hint="eastAsia"/>
                <w:color w:val="000000"/>
                <w:sz w:val="16"/>
                <w:szCs w:val="16"/>
                <w:lang w:bidi="ar-SA"/>
              </w:rPr>
              <w:t>-4.33%</w:t>
            </w:r>
          </w:p>
        </w:tc>
      </w:tr>
      <w:tr>
        <w:trPr>
          <w:trHeight w:val="486"/>
        </w:trPr>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16"/>
                <w:szCs w:val="16"/>
                <w:lang w:bidi="ar-SA"/>
              </w:rPr>
            </w:pPr>
            <w:r>
              <w:rPr>
                <w:rFonts w:ascii="Times New Roman" w:cs="宋体" w:hAnsi="Times New Roman"/>
                <w:color w:val="000000"/>
                <w:kern w:val="0"/>
                <w:sz w:val="16"/>
                <w:szCs w:val="16"/>
                <w:lang w:bidi="ar-SA"/>
              </w:rPr>
              <w:t>2101199</w:t>
            </w:r>
          </w:p>
        </w:tc>
        <w:tc>
          <w:tcPr>
            <w:tcW w:w="2265"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16"/>
                <w:szCs w:val="16"/>
                <w:lang w:bidi="ar-SA"/>
              </w:rPr>
            </w:pPr>
            <w:r>
              <w:rPr>
                <w:rFonts w:ascii="Times New Roman" w:cs="宋体" w:hAnsi="Times New Roman" w:hint="eastAsia"/>
                <w:color w:val="000000"/>
                <w:kern w:val="0"/>
                <w:sz w:val="16"/>
                <w:szCs w:val="16"/>
                <w:lang w:bidi="ar-SA"/>
              </w:rPr>
              <w:t>其他行政事业单位医疗支出</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0.60</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0.60</w:t>
            </w:r>
          </w:p>
        </w:tc>
        <w:tc>
          <w:tcPr>
            <w:tcW w:w="1390"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0.55</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0.55</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p>
        </w:tc>
        <w:tc>
          <w:tcPr>
            <w:tcW w:w="1630"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0.55</w:t>
            </w:r>
          </w:p>
        </w:tc>
        <w:tc>
          <w:tcPr>
            <w:tcW w:w="1284" w:type="dxa"/>
            <w:tcBorders>
              <w:top w:val="single" w:sz="4" w:space="0" w:color="auto"/>
              <w:left w:val="single" w:sz="4" w:space="0" w:color="auto"/>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color w:val="000000"/>
                <w:sz w:val="16"/>
                <w:szCs w:val="16"/>
                <w:lang w:bidi="ar-SA"/>
              </w:rPr>
            </w:pPr>
            <w:r>
              <w:rPr>
                <w:rFonts w:ascii="Times New Roman" w:cs="Times New Roman" w:hAnsi="Times New Roman" w:hint="eastAsia"/>
                <w:color w:val="000000"/>
                <w:sz w:val="16"/>
                <w:szCs w:val="16"/>
                <w:lang w:bidi="ar-SA"/>
              </w:rPr>
              <w:t>-0.05</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color w:val="000000"/>
                <w:sz w:val="16"/>
                <w:szCs w:val="16"/>
                <w:lang w:bidi="ar-SA"/>
              </w:rPr>
            </w:pPr>
            <w:r>
              <w:rPr>
                <w:rFonts w:ascii="Times New Roman" w:cs="Times New Roman" w:hAnsi="Times New Roman" w:hint="eastAsia"/>
                <w:color w:val="000000"/>
                <w:sz w:val="16"/>
                <w:szCs w:val="16"/>
                <w:lang w:bidi="ar-SA"/>
              </w:rPr>
              <w:t>-8.33%</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color w:val="000000"/>
                <w:sz w:val="16"/>
                <w:szCs w:val="16"/>
                <w:lang w:bidi="ar-SA"/>
              </w:rPr>
            </w:pPr>
            <w:r>
              <w:rPr>
                <w:rFonts w:ascii="Times New Roman" w:cs="Times New Roman" w:hAnsi="Times New Roman" w:hint="eastAsia"/>
                <w:color w:val="000000"/>
                <w:sz w:val="16"/>
                <w:szCs w:val="16"/>
                <w:lang w:bidi="ar-SA"/>
              </w:rPr>
              <w:t>-0.05</w:t>
            </w:r>
          </w:p>
        </w:tc>
        <w:tc>
          <w:tcPr>
            <w:tcW w:w="1029" w:type="dxa"/>
            <w:tcBorders>
              <w:top w:val="single" w:sz="4" w:space="0" w:color="auto"/>
              <w:left w:val="single" w:sz="4" w:space="0" w:color="auto"/>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color w:val="000000"/>
                <w:sz w:val="16"/>
                <w:szCs w:val="16"/>
                <w:lang w:bidi="ar-SA"/>
              </w:rPr>
            </w:pPr>
            <w:r>
              <w:rPr>
                <w:rFonts w:ascii="Times New Roman" w:cs="Times New Roman" w:hAnsi="Times New Roman" w:hint="eastAsia"/>
                <w:color w:val="000000"/>
                <w:sz w:val="16"/>
                <w:szCs w:val="16"/>
                <w:lang w:bidi="ar-SA"/>
              </w:rPr>
              <w:t>-8.33%</w:t>
            </w:r>
          </w:p>
        </w:tc>
      </w:tr>
      <w:tr>
        <w:trPr>
          <w:trHeight w:val="255"/>
        </w:trPr>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b/>
                <w:bCs/>
                <w:color w:val="000000"/>
                <w:kern w:val="0"/>
                <w:sz w:val="16"/>
                <w:szCs w:val="16"/>
                <w:lang w:bidi="ar-SA"/>
              </w:rPr>
            </w:pPr>
            <w:r>
              <w:rPr>
                <w:rFonts w:ascii="Times New Roman" w:cs="宋体" w:hAnsi="Times New Roman"/>
                <w:b/>
                <w:bCs/>
                <w:color w:val="000000"/>
                <w:kern w:val="0"/>
                <w:sz w:val="16"/>
                <w:szCs w:val="16"/>
                <w:lang w:bidi="ar-SA"/>
              </w:rPr>
              <w:t>221</w:t>
            </w:r>
          </w:p>
        </w:tc>
        <w:tc>
          <w:tcPr>
            <w:tcW w:w="2265"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b/>
                <w:bCs/>
                <w:color w:val="000000"/>
                <w:kern w:val="0"/>
                <w:sz w:val="16"/>
                <w:szCs w:val="16"/>
                <w:lang w:bidi="ar-SA"/>
              </w:rPr>
            </w:pPr>
            <w:r>
              <w:rPr>
                <w:rFonts w:ascii="Times New Roman" w:cs="宋体" w:hAnsi="Times New Roman"/>
                <w:b/>
                <w:bCs/>
                <w:color w:val="000000"/>
                <w:kern w:val="0"/>
                <w:sz w:val="16"/>
                <w:szCs w:val="16"/>
                <w:lang w:bidi="ar-SA"/>
              </w:rPr>
              <w:t xml:space="preserve">  </w:t>
            </w:r>
            <w:r>
              <w:rPr>
                <w:rFonts w:ascii="Times New Roman" w:cs="宋体" w:hAnsi="Times New Roman" w:hint="eastAsia"/>
                <w:b/>
                <w:bCs/>
                <w:color w:val="000000"/>
                <w:kern w:val="0"/>
                <w:sz w:val="16"/>
                <w:szCs w:val="16"/>
                <w:lang w:bidi="ar-SA"/>
              </w:rPr>
              <w:t>住房保障支出</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r>
              <w:rPr>
                <w:rFonts w:ascii="Times New Roman" w:cs="Times New Roman" w:hAnsi="Times New Roman" w:hint="eastAsia"/>
                <w:b/>
                <w:bCs/>
                <w:color w:val="000000"/>
                <w:kern w:val="0"/>
                <w:sz w:val="16"/>
                <w:szCs w:val="16"/>
                <w:lang w:bidi="ar-SA"/>
              </w:rPr>
              <w:t>60.36</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r>
              <w:rPr>
                <w:rFonts w:ascii="Times New Roman" w:cs="Times New Roman" w:hAnsi="Times New Roman" w:hint="eastAsia"/>
                <w:b/>
                <w:bCs/>
                <w:color w:val="000000"/>
                <w:kern w:val="0"/>
                <w:sz w:val="16"/>
                <w:szCs w:val="16"/>
                <w:lang w:bidi="ar-SA"/>
              </w:rPr>
              <w:t>60.36</w:t>
            </w:r>
          </w:p>
        </w:tc>
        <w:tc>
          <w:tcPr>
            <w:tcW w:w="1390"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r>
              <w:rPr>
                <w:rFonts w:ascii="Times New Roman" w:cs="Times New Roman" w:hAnsi="Times New Roman" w:hint="eastAsia"/>
                <w:b/>
                <w:bCs/>
                <w:color w:val="000000"/>
                <w:kern w:val="0"/>
                <w:sz w:val="16"/>
                <w:szCs w:val="16"/>
                <w:lang w:bidi="ar-SA"/>
              </w:rPr>
              <w:t>68.31</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r>
              <w:rPr>
                <w:rFonts w:ascii="Times New Roman" w:cs="Times New Roman" w:hAnsi="Times New Roman" w:hint="eastAsia"/>
                <w:b/>
                <w:bCs/>
                <w:color w:val="000000"/>
                <w:kern w:val="0"/>
                <w:sz w:val="16"/>
                <w:szCs w:val="16"/>
                <w:lang w:bidi="ar-SA"/>
              </w:rPr>
              <w:t>68.31</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p>
        </w:tc>
        <w:tc>
          <w:tcPr>
            <w:tcW w:w="1630"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r>
              <w:rPr>
                <w:rFonts w:ascii="Times New Roman" w:cs="Times New Roman" w:hAnsi="Times New Roman" w:hint="eastAsia"/>
                <w:b/>
                <w:bCs/>
                <w:color w:val="000000"/>
                <w:kern w:val="0"/>
                <w:sz w:val="16"/>
                <w:szCs w:val="16"/>
                <w:lang w:bidi="ar-SA"/>
              </w:rPr>
              <w:t>68.31</w:t>
            </w:r>
          </w:p>
        </w:tc>
        <w:tc>
          <w:tcPr>
            <w:tcW w:w="1284" w:type="dxa"/>
            <w:tcBorders>
              <w:top w:val="single" w:sz="4" w:space="0" w:color="auto"/>
              <w:left w:val="single" w:sz="4" w:space="0" w:color="auto"/>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b/>
                <w:bCs/>
                <w:color w:val="000000"/>
                <w:sz w:val="16"/>
                <w:szCs w:val="16"/>
                <w:lang w:bidi="ar-SA"/>
              </w:rPr>
            </w:pPr>
            <w:r>
              <w:rPr>
                <w:rFonts w:ascii="Times New Roman" w:cs="Times New Roman" w:hAnsi="Times New Roman" w:hint="eastAsia"/>
                <w:b/>
                <w:bCs/>
                <w:color w:val="000000"/>
                <w:sz w:val="16"/>
                <w:szCs w:val="16"/>
                <w:lang w:bidi="ar-SA"/>
              </w:rPr>
              <w:t>7.95</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b/>
                <w:bCs/>
                <w:color w:val="000000"/>
                <w:sz w:val="16"/>
                <w:szCs w:val="16"/>
                <w:lang w:bidi="ar-SA"/>
              </w:rPr>
            </w:pPr>
            <w:r>
              <w:rPr>
                <w:rFonts w:ascii="Times New Roman" w:cs="Times New Roman" w:hAnsi="Times New Roman" w:hint="eastAsia"/>
                <w:b/>
                <w:bCs/>
                <w:color w:val="000000"/>
                <w:sz w:val="16"/>
                <w:szCs w:val="16"/>
                <w:lang w:bidi="ar-SA"/>
              </w:rPr>
              <w:t>13.17%</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b/>
                <w:bCs/>
                <w:color w:val="000000"/>
                <w:sz w:val="16"/>
                <w:szCs w:val="16"/>
                <w:lang w:bidi="ar-SA"/>
              </w:rPr>
            </w:pPr>
            <w:r>
              <w:rPr>
                <w:rFonts w:ascii="Times New Roman" w:cs="Times New Roman" w:hAnsi="Times New Roman" w:hint="eastAsia"/>
                <w:b/>
                <w:bCs/>
                <w:color w:val="000000"/>
                <w:sz w:val="16"/>
                <w:szCs w:val="16"/>
                <w:lang w:bidi="ar-SA"/>
              </w:rPr>
              <w:t>7.95</w:t>
            </w:r>
          </w:p>
        </w:tc>
        <w:tc>
          <w:tcPr>
            <w:tcW w:w="1029" w:type="dxa"/>
            <w:tcBorders>
              <w:top w:val="single" w:sz="4" w:space="0" w:color="auto"/>
              <w:left w:val="single" w:sz="4" w:space="0" w:color="auto"/>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b/>
                <w:bCs/>
                <w:color w:val="000000"/>
                <w:sz w:val="16"/>
                <w:szCs w:val="16"/>
                <w:lang w:bidi="ar-SA"/>
              </w:rPr>
            </w:pPr>
            <w:r>
              <w:rPr>
                <w:rFonts w:ascii="Times New Roman" w:cs="Times New Roman" w:hAnsi="Times New Roman" w:hint="eastAsia"/>
                <w:b/>
                <w:bCs/>
                <w:color w:val="000000"/>
                <w:sz w:val="16"/>
                <w:szCs w:val="16"/>
                <w:lang w:bidi="ar-SA"/>
              </w:rPr>
              <w:t>13.17%</w:t>
            </w:r>
          </w:p>
        </w:tc>
      </w:tr>
      <w:tr>
        <w:trPr>
          <w:trHeight w:val="255"/>
        </w:trPr>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b/>
                <w:bCs/>
                <w:color w:val="000000"/>
                <w:kern w:val="0"/>
                <w:sz w:val="16"/>
                <w:szCs w:val="16"/>
                <w:lang w:bidi="ar-SA"/>
              </w:rPr>
            </w:pPr>
            <w:r>
              <w:rPr>
                <w:rFonts w:ascii="Times New Roman" w:cs="宋体" w:hAnsi="Times New Roman"/>
                <w:b/>
                <w:bCs/>
                <w:color w:val="000000"/>
                <w:kern w:val="0"/>
                <w:sz w:val="16"/>
                <w:szCs w:val="16"/>
                <w:lang w:bidi="ar-SA"/>
              </w:rPr>
              <w:t>22102</w:t>
            </w:r>
          </w:p>
        </w:tc>
        <w:tc>
          <w:tcPr>
            <w:tcW w:w="2265"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b/>
                <w:bCs/>
                <w:color w:val="000000"/>
                <w:kern w:val="0"/>
                <w:sz w:val="16"/>
                <w:szCs w:val="16"/>
                <w:lang w:bidi="ar-SA"/>
              </w:rPr>
            </w:pPr>
            <w:r>
              <w:rPr>
                <w:rFonts w:ascii="Times New Roman" w:cs="宋体" w:hAnsi="Times New Roman"/>
                <w:b/>
                <w:bCs/>
                <w:color w:val="000000"/>
                <w:kern w:val="0"/>
                <w:sz w:val="16"/>
                <w:szCs w:val="16"/>
                <w:lang w:bidi="ar-SA"/>
              </w:rPr>
              <w:t xml:space="preserve">    </w:t>
            </w:r>
            <w:r>
              <w:rPr>
                <w:rFonts w:ascii="Times New Roman" w:cs="宋体" w:hAnsi="Times New Roman" w:hint="eastAsia"/>
                <w:b/>
                <w:bCs/>
                <w:color w:val="000000"/>
                <w:kern w:val="0"/>
                <w:sz w:val="16"/>
                <w:szCs w:val="16"/>
                <w:lang w:bidi="ar-SA"/>
              </w:rPr>
              <w:t>住房改革支出</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r>
              <w:rPr>
                <w:rFonts w:ascii="Times New Roman" w:cs="Times New Roman" w:hAnsi="Times New Roman" w:hint="eastAsia"/>
                <w:b/>
                <w:bCs/>
                <w:color w:val="000000"/>
                <w:kern w:val="0"/>
                <w:sz w:val="16"/>
                <w:szCs w:val="16"/>
                <w:lang w:bidi="ar-SA"/>
              </w:rPr>
              <w:t>60.36</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r>
              <w:rPr>
                <w:rFonts w:ascii="Times New Roman" w:cs="Times New Roman" w:hAnsi="Times New Roman" w:hint="eastAsia"/>
                <w:b/>
                <w:bCs/>
                <w:color w:val="000000"/>
                <w:kern w:val="0"/>
                <w:sz w:val="16"/>
                <w:szCs w:val="16"/>
                <w:lang w:bidi="ar-SA"/>
              </w:rPr>
              <w:t>60.36</w:t>
            </w:r>
          </w:p>
        </w:tc>
        <w:tc>
          <w:tcPr>
            <w:tcW w:w="1390"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r>
              <w:rPr>
                <w:rFonts w:ascii="Times New Roman" w:cs="Times New Roman" w:hAnsi="Times New Roman" w:hint="eastAsia"/>
                <w:b/>
                <w:bCs/>
                <w:color w:val="000000"/>
                <w:kern w:val="0"/>
                <w:sz w:val="16"/>
                <w:szCs w:val="16"/>
                <w:lang w:bidi="ar-SA"/>
              </w:rPr>
              <w:t>68.31</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r>
              <w:rPr>
                <w:rFonts w:ascii="Times New Roman" w:cs="Times New Roman" w:hAnsi="Times New Roman" w:hint="eastAsia"/>
                <w:b/>
                <w:bCs/>
                <w:color w:val="000000"/>
                <w:kern w:val="0"/>
                <w:sz w:val="16"/>
                <w:szCs w:val="16"/>
                <w:lang w:bidi="ar-SA"/>
              </w:rPr>
              <w:t>68.31</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p>
        </w:tc>
        <w:tc>
          <w:tcPr>
            <w:tcW w:w="1630"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r>
              <w:rPr>
                <w:rFonts w:ascii="Times New Roman" w:cs="Times New Roman" w:hAnsi="Times New Roman" w:hint="eastAsia"/>
                <w:b/>
                <w:bCs/>
                <w:color w:val="000000"/>
                <w:kern w:val="0"/>
                <w:sz w:val="16"/>
                <w:szCs w:val="16"/>
                <w:lang w:bidi="ar-SA"/>
              </w:rPr>
              <w:t>68.31</w:t>
            </w:r>
          </w:p>
        </w:tc>
        <w:tc>
          <w:tcPr>
            <w:tcW w:w="1284" w:type="dxa"/>
            <w:tcBorders>
              <w:top w:val="single" w:sz="4" w:space="0" w:color="auto"/>
              <w:left w:val="single" w:sz="4" w:space="0" w:color="auto"/>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b/>
                <w:bCs/>
                <w:color w:val="000000"/>
                <w:sz w:val="16"/>
                <w:szCs w:val="16"/>
                <w:lang w:bidi="ar-SA"/>
              </w:rPr>
            </w:pPr>
            <w:r>
              <w:rPr>
                <w:rFonts w:ascii="Times New Roman" w:cs="Times New Roman" w:hAnsi="Times New Roman" w:hint="eastAsia"/>
                <w:b/>
                <w:bCs/>
                <w:color w:val="000000"/>
                <w:sz w:val="16"/>
                <w:szCs w:val="16"/>
                <w:lang w:bidi="ar-SA"/>
              </w:rPr>
              <w:t>7.95</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b/>
                <w:bCs/>
                <w:color w:val="000000"/>
                <w:sz w:val="16"/>
                <w:szCs w:val="16"/>
                <w:lang w:bidi="ar-SA"/>
              </w:rPr>
            </w:pPr>
            <w:r>
              <w:rPr>
                <w:rFonts w:ascii="Times New Roman" w:cs="Times New Roman" w:hAnsi="Times New Roman" w:hint="eastAsia"/>
                <w:b/>
                <w:bCs/>
                <w:color w:val="000000"/>
                <w:sz w:val="16"/>
                <w:szCs w:val="16"/>
                <w:lang w:bidi="ar-SA"/>
              </w:rPr>
              <w:t>13.17%</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b/>
                <w:bCs/>
                <w:color w:val="000000"/>
                <w:sz w:val="16"/>
                <w:szCs w:val="16"/>
                <w:lang w:bidi="ar-SA"/>
              </w:rPr>
            </w:pPr>
            <w:r>
              <w:rPr>
                <w:rFonts w:ascii="Times New Roman" w:cs="Times New Roman" w:hAnsi="Times New Roman" w:hint="eastAsia"/>
                <w:b/>
                <w:bCs/>
                <w:color w:val="000000"/>
                <w:sz w:val="16"/>
                <w:szCs w:val="16"/>
                <w:lang w:bidi="ar-SA"/>
              </w:rPr>
              <w:t>7.95</w:t>
            </w:r>
          </w:p>
        </w:tc>
        <w:tc>
          <w:tcPr>
            <w:tcW w:w="1029" w:type="dxa"/>
            <w:tcBorders>
              <w:top w:val="single" w:sz="4" w:space="0" w:color="auto"/>
              <w:left w:val="single" w:sz="4" w:space="0" w:color="auto"/>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b/>
                <w:bCs/>
                <w:color w:val="000000"/>
                <w:sz w:val="16"/>
                <w:szCs w:val="16"/>
                <w:lang w:bidi="ar-SA"/>
              </w:rPr>
            </w:pPr>
            <w:r>
              <w:rPr>
                <w:rFonts w:ascii="Times New Roman" w:cs="Times New Roman" w:hAnsi="Times New Roman" w:hint="eastAsia"/>
                <w:b/>
                <w:bCs/>
                <w:color w:val="000000"/>
                <w:sz w:val="16"/>
                <w:szCs w:val="16"/>
                <w:lang w:bidi="ar-SA"/>
              </w:rPr>
              <w:t>13.17%</w:t>
            </w:r>
          </w:p>
        </w:tc>
      </w:tr>
      <w:tr>
        <w:trPr>
          <w:trHeight w:val="255"/>
        </w:trPr>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16"/>
                <w:szCs w:val="16"/>
                <w:lang w:bidi="ar-SA"/>
              </w:rPr>
            </w:pPr>
            <w:r>
              <w:rPr>
                <w:rFonts w:ascii="Times New Roman" w:cs="宋体" w:hAnsi="Times New Roman"/>
                <w:color w:val="000000"/>
                <w:kern w:val="0"/>
                <w:sz w:val="16"/>
                <w:szCs w:val="16"/>
                <w:lang w:bidi="ar-SA"/>
              </w:rPr>
              <w:t>2210201</w:t>
            </w:r>
          </w:p>
        </w:tc>
        <w:tc>
          <w:tcPr>
            <w:tcW w:w="2265"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16"/>
                <w:szCs w:val="16"/>
                <w:lang w:bidi="ar-SA"/>
              </w:rPr>
            </w:pPr>
            <w:r>
              <w:rPr>
                <w:rFonts w:ascii="Times New Roman" w:cs="宋体" w:hAnsi="Times New Roman" w:hint="eastAsia"/>
                <w:color w:val="000000"/>
                <w:kern w:val="0"/>
                <w:sz w:val="16"/>
                <w:szCs w:val="16"/>
                <w:lang w:bidi="ar-SA"/>
              </w:rPr>
              <w:t>住房公积金</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46.92</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46.92</w:t>
            </w:r>
          </w:p>
        </w:tc>
        <w:tc>
          <w:tcPr>
            <w:tcW w:w="1390"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54.87</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54.87</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p>
        </w:tc>
        <w:tc>
          <w:tcPr>
            <w:tcW w:w="1630"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54.87</w:t>
            </w:r>
          </w:p>
        </w:tc>
        <w:tc>
          <w:tcPr>
            <w:tcW w:w="1284" w:type="dxa"/>
            <w:tcBorders>
              <w:top w:val="single" w:sz="4" w:space="0" w:color="auto"/>
              <w:left w:val="single" w:sz="4" w:space="0" w:color="auto"/>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color w:val="000000"/>
                <w:sz w:val="16"/>
                <w:szCs w:val="16"/>
                <w:lang w:bidi="ar-SA"/>
              </w:rPr>
            </w:pPr>
            <w:r>
              <w:rPr>
                <w:rFonts w:ascii="Times New Roman" w:cs="Times New Roman" w:hAnsi="Times New Roman" w:hint="eastAsia"/>
                <w:color w:val="000000"/>
                <w:sz w:val="16"/>
                <w:szCs w:val="16"/>
                <w:lang w:bidi="ar-SA"/>
              </w:rPr>
              <w:t>7.95</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color w:val="000000"/>
                <w:sz w:val="16"/>
                <w:szCs w:val="16"/>
                <w:lang w:bidi="ar-SA"/>
              </w:rPr>
            </w:pPr>
            <w:r>
              <w:rPr>
                <w:rFonts w:ascii="Times New Roman" w:cs="Times New Roman" w:hAnsi="Times New Roman" w:hint="eastAsia"/>
                <w:color w:val="000000"/>
                <w:sz w:val="16"/>
                <w:szCs w:val="16"/>
                <w:lang w:bidi="ar-SA"/>
              </w:rPr>
              <w:t>16.94%</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color w:val="000000"/>
                <w:sz w:val="16"/>
                <w:szCs w:val="16"/>
                <w:lang w:bidi="ar-SA"/>
              </w:rPr>
            </w:pPr>
            <w:r>
              <w:rPr>
                <w:rFonts w:ascii="Times New Roman" w:cs="Times New Roman" w:hAnsi="Times New Roman" w:hint="eastAsia"/>
                <w:color w:val="000000"/>
                <w:sz w:val="16"/>
                <w:szCs w:val="16"/>
                <w:lang w:bidi="ar-SA"/>
              </w:rPr>
              <w:t>7.95</w:t>
            </w:r>
          </w:p>
        </w:tc>
        <w:tc>
          <w:tcPr>
            <w:tcW w:w="1029" w:type="dxa"/>
            <w:tcBorders>
              <w:top w:val="single" w:sz="4" w:space="0" w:color="auto"/>
              <w:left w:val="single" w:sz="4" w:space="0" w:color="auto"/>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color w:val="000000"/>
                <w:sz w:val="16"/>
                <w:szCs w:val="16"/>
                <w:lang w:bidi="ar-SA"/>
              </w:rPr>
            </w:pPr>
            <w:r>
              <w:rPr>
                <w:rFonts w:ascii="Times New Roman" w:cs="Times New Roman" w:hAnsi="Times New Roman" w:hint="eastAsia"/>
                <w:color w:val="000000"/>
                <w:sz w:val="16"/>
                <w:szCs w:val="16"/>
                <w:lang w:bidi="ar-SA"/>
              </w:rPr>
              <w:t>16.94%</w:t>
            </w:r>
          </w:p>
        </w:tc>
      </w:tr>
      <w:tr>
        <w:trPr>
          <w:trHeight w:val="255"/>
        </w:trPr>
        <w:tc>
          <w:tcPr>
            <w:tcW w:w="962"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16"/>
                <w:szCs w:val="16"/>
                <w:lang w:bidi="ar-SA"/>
              </w:rPr>
            </w:pPr>
            <w:r>
              <w:rPr>
                <w:rFonts w:ascii="Times New Roman" w:cs="宋体" w:hAnsi="Times New Roman"/>
                <w:color w:val="000000"/>
                <w:kern w:val="0"/>
                <w:sz w:val="16"/>
                <w:szCs w:val="16"/>
                <w:lang w:bidi="ar-SA"/>
              </w:rPr>
              <w:t>2210203</w:t>
            </w:r>
          </w:p>
        </w:tc>
        <w:tc>
          <w:tcPr>
            <w:tcW w:w="2265"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16"/>
                <w:szCs w:val="16"/>
                <w:lang w:bidi="ar-SA"/>
              </w:rPr>
            </w:pPr>
            <w:r>
              <w:rPr>
                <w:rFonts w:ascii="Times New Roman" w:cs="宋体" w:hAnsi="Times New Roman" w:hint="eastAsia"/>
                <w:color w:val="000000"/>
                <w:kern w:val="0"/>
                <w:sz w:val="16"/>
                <w:szCs w:val="16"/>
                <w:lang w:bidi="ar-SA"/>
              </w:rPr>
              <w:t>购房补贴</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13.44</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13.44</w:t>
            </w:r>
          </w:p>
        </w:tc>
        <w:tc>
          <w:tcPr>
            <w:tcW w:w="1390"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13.44</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13.44</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p>
        </w:tc>
        <w:tc>
          <w:tcPr>
            <w:tcW w:w="1630"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color w:val="000000"/>
                <w:kern w:val="0"/>
                <w:sz w:val="16"/>
                <w:szCs w:val="16"/>
                <w:lang w:bidi="ar-SA"/>
              </w:rPr>
            </w:pPr>
            <w:r>
              <w:rPr>
                <w:rFonts w:ascii="Times New Roman" w:cs="Times New Roman" w:hAnsi="Times New Roman" w:hint="eastAsia"/>
                <w:color w:val="000000"/>
                <w:kern w:val="0"/>
                <w:sz w:val="16"/>
                <w:szCs w:val="16"/>
                <w:lang w:bidi="ar-SA"/>
              </w:rPr>
              <w:t>13.44</w:t>
            </w:r>
          </w:p>
        </w:tc>
        <w:tc>
          <w:tcPr>
            <w:tcW w:w="1284" w:type="dxa"/>
            <w:tcBorders>
              <w:top w:val="single" w:sz="4" w:space="0" w:color="auto"/>
              <w:left w:val="single" w:sz="4" w:space="0" w:color="auto"/>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color w:val="000000"/>
                <w:sz w:val="16"/>
                <w:szCs w:val="16"/>
                <w:lang w:bidi="ar-SA"/>
              </w:rPr>
            </w:pPr>
            <w:r>
              <w:rPr>
                <w:rFonts w:ascii="Times New Roman" w:cs="Times New Roman" w:hAnsi="Times New Roman" w:hint="eastAsia"/>
                <w:color w:val="000000"/>
                <w:sz w:val="16"/>
                <w:szCs w:val="16"/>
                <w:lang w:bidi="ar-SA"/>
              </w:rPr>
              <w:t>0.00</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color w:val="000000"/>
                <w:sz w:val="16"/>
                <w:szCs w:val="16"/>
                <w:lang w:bidi="ar-SA"/>
              </w:rPr>
            </w:pPr>
            <w:r>
              <w:rPr>
                <w:rFonts w:ascii="Times New Roman" w:cs="Times New Roman" w:hAnsi="Times New Roman" w:hint="eastAsia"/>
                <w:color w:val="000000"/>
                <w:sz w:val="16"/>
                <w:szCs w:val="16"/>
                <w:lang w:bidi="ar-SA"/>
              </w:rPr>
              <w:t>0.00%</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color w:val="000000"/>
                <w:sz w:val="16"/>
                <w:szCs w:val="16"/>
                <w:lang w:bidi="ar-SA"/>
              </w:rPr>
            </w:pPr>
            <w:r>
              <w:rPr>
                <w:rFonts w:ascii="Times New Roman" w:cs="Times New Roman" w:hAnsi="Times New Roman" w:hint="eastAsia"/>
                <w:color w:val="000000"/>
                <w:sz w:val="16"/>
                <w:szCs w:val="16"/>
                <w:lang w:bidi="ar-SA"/>
              </w:rPr>
              <w:t>0.00</w:t>
            </w:r>
          </w:p>
        </w:tc>
        <w:tc>
          <w:tcPr>
            <w:tcW w:w="1029" w:type="dxa"/>
            <w:tcBorders>
              <w:top w:val="single" w:sz="4" w:space="0" w:color="auto"/>
              <w:left w:val="single" w:sz="4" w:space="0" w:color="auto"/>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color w:val="000000"/>
                <w:sz w:val="16"/>
                <w:szCs w:val="16"/>
                <w:lang w:bidi="ar-SA"/>
              </w:rPr>
            </w:pPr>
            <w:r>
              <w:rPr>
                <w:rFonts w:ascii="Times New Roman" w:cs="Times New Roman" w:hAnsi="Times New Roman" w:hint="eastAsia"/>
                <w:color w:val="000000"/>
                <w:sz w:val="16"/>
                <w:szCs w:val="16"/>
                <w:lang w:bidi="ar-SA"/>
              </w:rPr>
              <w:t>0.00%</w:t>
            </w:r>
          </w:p>
        </w:tc>
      </w:tr>
      <w:tr>
        <w:trPr>
          <w:trHeight w:val="255"/>
        </w:trPr>
        <w:tc>
          <w:tcPr>
            <w:tcW w:w="322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center"/>
              <w:rPr>
                <w:rFonts w:ascii="Times New Roman" w:cs="宋体" w:hAnsi="Times New Roman"/>
                <w:b/>
                <w:bCs/>
                <w:color w:val="000000"/>
                <w:kern w:val="0"/>
                <w:sz w:val="16"/>
                <w:szCs w:val="16"/>
                <w:lang w:bidi="ar-SA"/>
              </w:rPr>
            </w:pPr>
            <w:r>
              <w:rPr>
                <w:rFonts w:ascii="Times New Roman" w:cs="宋体" w:hAnsi="Times New Roman" w:hint="eastAsia"/>
                <w:b/>
                <w:bCs/>
                <w:color w:val="000000"/>
                <w:kern w:val="0"/>
                <w:sz w:val="16"/>
                <w:szCs w:val="16"/>
                <w:lang w:bidi="ar-SA"/>
              </w:rPr>
              <w:t>合</w:t>
            </w:r>
            <w:r>
              <w:rPr>
                <w:rFonts w:ascii="Times New Roman" w:cs="宋体" w:hAnsi="Times New Roman"/>
                <w:b/>
                <w:bCs/>
                <w:color w:val="000000"/>
                <w:kern w:val="0"/>
                <w:sz w:val="16"/>
                <w:szCs w:val="16"/>
                <w:lang w:bidi="ar-SA"/>
              </w:rPr>
              <w:t xml:space="preserve">      </w:t>
            </w:r>
            <w:r>
              <w:rPr>
                <w:rFonts w:ascii="Times New Roman" w:cs="宋体" w:hAnsi="Times New Roman" w:hint="eastAsia"/>
                <w:b/>
                <w:bCs/>
                <w:color w:val="000000"/>
                <w:kern w:val="0"/>
                <w:sz w:val="16"/>
                <w:szCs w:val="16"/>
                <w:lang w:bidi="ar-SA"/>
              </w:rPr>
              <w:t>计</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pPr>
              <w:autoSpaceDN w:val="0"/>
              <w:jc w:val="right"/>
              <w:rPr>
                <w:rFonts w:ascii="Times New Roman" w:cs="Times New Roman" w:hAnsi="Times New Roman"/>
                <w:b/>
                <w:bCs/>
                <w:color w:val="000000"/>
                <w:kern w:val="0"/>
                <w:sz w:val="16"/>
                <w:szCs w:val="16"/>
                <w:lang w:bidi="ar-SA"/>
              </w:rPr>
            </w:pPr>
            <w:r>
              <w:rPr>
                <w:rFonts w:ascii="Times New Roman" w:cs="Times New Roman" w:hAnsi="Times New Roman" w:hint="eastAsia"/>
                <w:b/>
                <w:bCs/>
                <w:color w:val="000000"/>
                <w:kern w:val="0"/>
                <w:sz w:val="16"/>
                <w:szCs w:val="16"/>
                <w:lang w:bidi="ar-SA"/>
              </w:rPr>
              <w:t>1031.39</w:t>
            </w:r>
          </w:p>
        </w:tc>
        <w:tc>
          <w:tcPr>
            <w:tcW w:w="1562" w:type="dxa"/>
            <w:tcBorders>
              <w:top w:val="single" w:sz="4" w:space="0" w:color="auto"/>
              <w:left w:val="single" w:sz="4" w:space="0" w:color="auto"/>
              <w:bottom w:val="single" w:sz="4" w:space="0" w:color="auto"/>
              <w:right w:val="single" w:sz="4" w:space="0" w:color="auto"/>
            </w:tcBorders>
            <w:shd w:val="clear" w:color="auto" w:fill="auto"/>
            <w:noWrap/>
            <w:vAlign w:val="center"/>
          </w:tcPr>
          <w:p>
            <w:pPr>
              <w:autoSpaceDN w:val="0"/>
              <w:jc w:val="right"/>
              <w:rPr>
                <w:rFonts w:ascii="Times New Roman" w:cs="Times New Roman" w:hAnsi="Times New Roman"/>
                <w:b/>
                <w:bCs/>
                <w:color w:val="000000"/>
                <w:kern w:val="0"/>
                <w:sz w:val="16"/>
                <w:szCs w:val="16"/>
                <w:lang w:bidi="ar-SA"/>
              </w:rPr>
            </w:pPr>
            <w:r>
              <w:rPr>
                <w:rFonts w:ascii="Times New Roman" w:cs="Times New Roman" w:hAnsi="Times New Roman" w:hint="eastAsia"/>
                <w:b/>
                <w:bCs/>
                <w:color w:val="000000"/>
                <w:kern w:val="0"/>
                <w:sz w:val="16"/>
                <w:szCs w:val="16"/>
                <w:lang w:bidi="ar-SA"/>
              </w:rPr>
              <w:t>1025.39</w:t>
            </w:r>
          </w:p>
        </w:tc>
        <w:tc>
          <w:tcPr>
            <w:tcW w:w="1390"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r>
              <w:rPr>
                <w:rFonts w:ascii="Times New Roman" w:cs="Times New Roman" w:hAnsi="Times New Roman" w:hint="eastAsia"/>
                <w:b/>
                <w:bCs/>
                <w:color w:val="000000"/>
                <w:kern w:val="0"/>
                <w:sz w:val="16"/>
                <w:szCs w:val="16"/>
                <w:lang w:bidi="ar-SA"/>
              </w:rPr>
              <w:t>837.65</w:t>
            </w:r>
          </w:p>
        </w:tc>
        <w:tc>
          <w:tcPr>
            <w:tcW w:w="1310"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r>
              <w:rPr>
                <w:rFonts w:ascii="Times New Roman" w:cs="Times New Roman" w:hAnsi="Times New Roman" w:hint="eastAsia"/>
                <w:b/>
                <w:bCs/>
                <w:color w:val="000000"/>
                <w:kern w:val="0"/>
                <w:sz w:val="16"/>
                <w:szCs w:val="16"/>
                <w:lang w:bidi="ar-SA"/>
              </w:rPr>
              <w:t>717.29</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r>
              <w:rPr>
                <w:rFonts w:ascii="Times New Roman" w:cs="Times New Roman" w:hAnsi="Times New Roman" w:hint="eastAsia"/>
                <w:b/>
                <w:bCs/>
                <w:color w:val="000000"/>
                <w:kern w:val="0"/>
                <w:sz w:val="16"/>
                <w:szCs w:val="16"/>
                <w:lang w:bidi="ar-SA"/>
              </w:rPr>
              <w:t>120.36</w:t>
            </w:r>
          </w:p>
        </w:tc>
        <w:tc>
          <w:tcPr>
            <w:tcW w:w="1630"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r>
              <w:rPr>
                <w:rFonts w:ascii="Times New Roman" w:cs="Times New Roman" w:hAnsi="Times New Roman" w:hint="eastAsia"/>
                <w:b/>
                <w:bCs/>
                <w:color w:val="000000"/>
                <w:kern w:val="0"/>
                <w:sz w:val="16"/>
                <w:szCs w:val="16"/>
                <w:lang w:bidi="ar-SA"/>
              </w:rPr>
              <w:t>837.65</w:t>
            </w:r>
          </w:p>
        </w:tc>
        <w:tc>
          <w:tcPr>
            <w:tcW w:w="1284"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r>
              <w:rPr>
                <w:rFonts w:ascii="Times New Roman" w:cs="Times New Roman" w:hAnsi="Times New Roman" w:hint="eastAsia"/>
                <w:b/>
                <w:bCs/>
                <w:color w:val="000000"/>
                <w:kern w:val="0"/>
                <w:sz w:val="16"/>
                <w:szCs w:val="16"/>
                <w:lang w:bidi="ar-SA"/>
              </w:rPr>
              <w:t>-193.74</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b/>
                <w:bCs/>
                <w:color w:val="000000"/>
                <w:sz w:val="16"/>
                <w:szCs w:val="16"/>
                <w:lang w:bidi="ar-SA"/>
              </w:rPr>
            </w:pPr>
            <w:r>
              <w:rPr>
                <w:rFonts w:ascii="Times New Roman" w:cs="Times New Roman" w:hAnsi="Times New Roman" w:hint="eastAsia"/>
                <w:b/>
                <w:bCs/>
                <w:color w:val="000000"/>
                <w:sz w:val="16"/>
                <w:szCs w:val="16"/>
                <w:lang w:bidi="ar-SA"/>
              </w:rPr>
              <w:t>-18.78%</w:t>
            </w:r>
          </w:p>
        </w:tc>
        <w:tc>
          <w:tcPr>
            <w:tcW w:w="1216" w:type="dxa"/>
            <w:tcBorders>
              <w:top w:val="single" w:sz="4" w:space="0" w:color="auto"/>
              <w:left w:val="single" w:sz="4" w:space="0" w:color="auto"/>
              <w:bottom w:val="single" w:sz="4" w:space="0" w:color="auto"/>
              <w:right w:val="single" w:sz="4" w:space="0" w:color="auto"/>
            </w:tcBorders>
            <w:shd w:val="clear" w:color="auto" w:fill="auto"/>
            <w:noWrap/>
            <w:vAlign w:val="bottom"/>
          </w:tcPr>
          <w:p>
            <w:pPr>
              <w:autoSpaceDN w:val="0"/>
              <w:jc w:val="right"/>
              <w:rPr>
                <w:rFonts w:ascii="Times New Roman" w:cs="Times New Roman" w:hAnsi="Times New Roman"/>
                <w:b/>
                <w:bCs/>
                <w:color w:val="000000"/>
                <w:sz w:val="16"/>
                <w:szCs w:val="16"/>
                <w:lang w:bidi="ar-SA"/>
              </w:rPr>
            </w:pPr>
            <w:r>
              <w:rPr>
                <w:rFonts w:ascii="Times New Roman" w:cs="Times New Roman" w:hAnsi="Times New Roman" w:hint="eastAsia"/>
                <w:b/>
                <w:bCs/>
                <w:color w:val="000000"/>
                <w:sz w:val="16"/>
                <w:szCs w:val="16"/>
                <w:lang w:bidi="ar-SA"/>
              </w:rPr>
              <w:t>-187.74</w:t>
            </w:r>
          </w:p>
        </w:tc>
        <w:tc>
          <w:tcPr>
            <w:tcW w:w="1029"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color w:val="000000"/>
                <w:kern w:val="0"/>
                <w:sz w:val="16"/>
                <w:szCs w:val="16"/>
                <w:lang w:bidi="ar-SA"/>
              </w:rPr>
            </w:pPr>
            <w:r>
              <w:rPr>
                <w:rFonts w:ascii="Times New Roman" w:cs="Times New Roman" w:hAnsi="Times New Roman" w:hint="eastAsia"/>
                <w:b/>
                <w:bCs/>
                <w:color w:val="000000"/>
                <w:kern w:val="0"/>
                <w:sz w:val="16"/>
                <w:szCs w:val="16"/>
                <w:lang w:bidi="ar-SA"/>
              </w:rPr>
              <w:t>-18.31%</w:t>
            </w:r>
          </w:p>
        </w:tc>
      </w:tr>
    </w:tbl>
    <w:p>
      <w:pPr>
        <w:autoSpaceDN w:val="0"/>
        <w:jc w:val="left"/>
        <w:rPr>
          <w:rFonts w:ascii="Times New Roman" w:eastAsia="方正仿宋_GBK" w:cs="Times New Roman" w:hAnsi="Times New Roman"/>
          <w:sz w:val="32"/>
          <w:szCs w:val="32"/>
        </w:rPr>
      </w:pPr>
    </w:p>
    <w:p>
      <w:pPr>
        <w:autoSpaceDN w:val="0"/>
        <w:jc w:val="left"/>
        <w:rPr>
          <w:rFonts w:ascii="Times New Roman" w:eastAsia="方正仿宋_GBK" w:cs="Times New Roman" w:hAnsi="Times New Roman"/>
          <w:sz w:val="32"/>
          <w:szCs w:val="32"/>
        </w:rPr>
      </w:pPr>
    </w:p>
    <w:p>
      <w:pPr>
        <w:widowControl/>
        <w:jc w:val="left"/>
        <w:rPr>
          <w:rFonts w:ascii="宋体" w:cs="宋体"/>
          <w:kern w:val="0"/>
          <w:sz w:val="24"/>
          <w:szCs w:val="24"/>
        </w:rPr>
        <w:sectPr>
          <w:pgSz w:w="16838" w:h="11906" w:orient="landscape"/>
          <w:pgMar w:top="1418" w:right="1440" w:bottom="1797" w:left="1440" w:header="851" w:footer="992" w:gutter="0"/>
          <w:docGrid w:type="lines" w:linePitch="312" w:charSpace="0"/>
        </w:sectPr>
      </w:pPr>
    </w:p>
    <w:tbl>
      <w:tblPr>
        <w:jc w:val="center"/>
        <w:tblW w:w="1006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993"/>
        <w:gridCol w:w="3119"/>
        <w:gridCol w:w="2126"/>
        <w:gridCol w:w="1985"/>
        <w:gridCol w:w="1842"/>
      </w:tblGrid>
      <w:tr>
        <w:trPr>
          <w:trHeight w:val="270"/>
        </w:trPr>
        <w:tc>
          <w:tcPr>
            <w:tcW w:w="993" w:type="dxa"/>
            <w:tcBorders>
              <w:top w:val="nil"/>
              <w:left w:val="nil"/>
              <w:bottom w:val="nil"/>
              <w:right w:val="nil"/>
            </w:tcBorders>
            <w:shd w:val="clear" w:color="auto" w:fill="auto"/>
            <w:noWrap/>
            <w:vAlign w:val="center"/>
          </w:tcPr>
          <w:p>
            <w:pPr>
              <w:widowControl/>
              <w:autoSpaceDN w:val="0"/>
              <w:jc w:val="left"/>
              <w:rPr>
                <w:rFonts w:ascii="Times New Roman" w:cs="宋体" w:hAnsi="Times New Roman"/>
                <w:kern w:val="0"/>
                <w:sz w:val="24"/>
                <w:szCs w:val="24"/>
                <w:lang w:bidi="ar-SA"/>
              </w:rPr>
            </w:pPr>
            <w:bookmarkStart w:id="0" w:name="RANGE!A1:E71"/>
            <w:bookmarkEnd w:id="0"/>
          </w:p>
        </w:tc>
        <w:tc>
          <w:tcPr>
            <w:tcW w:w="3119" w:type="dxa"/>
            <w:tcBorders>
              <w:top w:val="nil"/>
              <w:left w:val="nil"/>
              <w:bottom w:val="nil"/>
              <w:right w:val="nil"/>
            </w:tcBorders>
            <w:shd w:val="clear" w:color="auto" w:fill="auto"/>
            <w:noWrap/>
            <w:vAlign w:val="center"/>
          </w:tcPr>
          <w:p>
            <w:pPr>
              <w:widowControl/>
              <w:autoSpaceDN w:val="0"/>
              <w:jc w:val="left"/>
              <w:rPr>
                <w:rFonts w:ascii="Times New Roman" w:eastAsia="Times New Roman" w:cs="Times New Roman" w:hAnsi="Times New Roman"/>
                <w:kern w:val="0"/>
                <w:sz w:val="20"/>
                <w:szCs w:val="20"/>
                <w:lang w:bidi="ar-SA"/>
              </w:rPr>
            </w:pPr>
          </w:p>
        </w:tc>
        <w:tc>
          <w:tcPr>
            <w:tcW w:w="2126" w:type="dxa"/>
            <w:tcBorders>
              <w:top w:val="nil"/>
              <w:left w:val="nil"/>
              <w:bottom w:val="nil"/>
              <w:right w:val="nil"/>
            </w:tcBorders>
            <w:shd w:val="clear" w:color="auto" w:fill="auto"/>
            <w:noWrap/>
            <w:vAlign w:val="center"/>
          </w:tcPr>
          <w:p>
            <w:pPr>
              <w:widowControl/>
              <w:autoSpaceDN w:val="0"/>
              <w:jc w:val="left"/>
              <w:rPr>
                <w:rFonts w:ascii="Times New Roman" w:eastAsia="Times New Roman" w:cs="Times New Roman" w:hAnsi="Times New Roman"/>
                <w:kern w:val="0"/>
                <w:sz w:val="20"/>
                <w:szCs w:val="20"/>
                <w:lang w:bidi="ar-SA"/>
              </w:rPr>
            </w:pPr>
          </w:p>
        </w:tc>
        <w:tc>
          <w:tcPr>
            <w:tcW w:w="1985" w:type="dxa"/>
            <w:tcBorders>
              <w:top w:val="nil"/>
              <w:left w:val="nil"/>
              <w:bottom w:val="nil"/>
              <w:right w:val="nil"/>
            </w:tcBorders>
            <w:shd w:val="clear" w:color="auto" w:fill="auto"/>
            <w:noWrap/>
            <w:vAlign w:val="center"/>
          </w:tcPr>
          <w:p>
            <w:pPr>
              <w:widowControl/>
              <w:autoSpaceDN w:val="0"/>
              <w:jc w:val="center"/>
              <w:rPr>
                <w:rFonts w:ascii="Times New Roman" w:eastAsia="Times New Roman" w:cs="Times New Roman" w:hAnsi="Times New Roman"/>
                <w:kern w:val="0"/>
                <w:sz w:val="20"/>
                <w:szCs w:val="20"/>
                <w:lang w:bidi="ar-SA"/>
              </w:rPr>
            </w:pPr>
          </w:p>
        </w:tc>
        <w:tc>
          <w:tcPr>
            <w:tcW w:w="1842" w:type="dxa"/>
            <w:tcBorders>
              <w:top w:val="nil"/>
              <w:left w:val="nil"/>
              <w:bottom w:val="nil"/>
              <w:right w:val="nil"/>
            </w:tcBorders>
            <w:shd w:val="clear" w:color="auto" w:fill="auto"/>
            <w:noWrap/>
            <w:vAlign w:val="center"/>
          </w:tcPr>
          <w:p>
            <w:pPr>
              <w:widowControl/>
              <w:autoSpaceDN w:val="0"/>
              <w:jc w:val="right"/>
              <w:rPr>
                <w:rFonts w:ascii="Times New Roman" w:eastAsia="黑体" w:cs="宋体" w:hAnsi="Times New Roman"/>
                <w:color w:val="000000"/>
                <w:kern w:val="0"/>
                <w:sz w:val="20"/>
                <w:szCs w:val="20"/>
                <w:lang w:bidi="ar-SA"/>
              </w:rPr>
            </w:pPr>
            <w:r>
              <w:rPr>
                <w:rFonts w:ascii="Times New Roman" w:eastAsia="黑体" w:cs="宋体" w:hAnsi="Times New Roman" w:hint="eastAsia"/>
                <w:color w:val="000000"/>
                <w:kern w:val="0"/>
                <w:sz w:val="20"/>
                <w:szCs w:val="20"/>
                <w:lang w:bidi="ar-SA"/>
              </w:rPr>
              <w:t>部门公开表</w:t>
            </w:r>
            <w:r>
              <w:rPr>
                <w:rFonts w:ascii="Times New Roman" w:eastAsia="黑体" w:cs="宋体" w:hAnsi="Times New Roman"/>
                <w:color w:val="000000"/>
                <w:kern w:val="0"/>
                <w:sz w:val="20"/>
                <w:szCs w:val="20"/>
                <w:lang w:bidi="ar-SA"/>
              </w:rPr>
              <w:t>6</w:t>
            </w:r>
          </w:p>
        </w:tc>
      </w:tr>
      <w:tr>
        <w:trPr>
          <w:trHeight w:val="578"/>
        </w:trPr>
        <w:tc>
          <w:tcPr>
            <w:tcW w:w="10065" w:type="dxa"/>
            <w:gridSpan w:val="5"/>
            <w:tcBorders>
              <w:top w:val="nil"/>
              <w:left w:val="nil"/>
              <w:bottom w:val="nil"/>
              <w:right w:val="nil"/>
            </w:tcBorders>
            <w:shd w:val="clear" w:color="auto" w:fill="auto"/>
            <w:noWrap/>
            <w:vAlign w:val="center"/>
          </w:tcPr>
          <w:p>
            <w:pPr>
              <w:widowControl/>
              <w:autoSpaceDN w:val="0"/>
              <w:jc w:val="center"/>
              <w:rPr>
                <w:rFonts w:ascii="Times New Roman" w:cs="宋体" w:hAnsi="Times New Roman"/>
                <w:kern w:val="0"/>
                <w:sz w:val="36"/>
                <w:szCs w:val="36"/>
                <w:lang w:bidi="ar-SA"/>
              </w:rPr>
            </w:pPr>
            <w:r>
              <w:rPr>
                <w:rFonts w:ascii="Times New Roman" w:cs="宋体" w:hAnsi="Times New Roman" w:hint="eastAsia"/>
                <w:kern w:val="0"/>
                <w:sz w:val="36"/>
                <w:szCs w:val="36"/>
                <w:lang w:bidi="ar-SA"/>
              </w:rPr>
              <w:t>一般公共预算基本支出表</w:t>
            </w:r>
          </w:p>
        </w:tc>
      </w:tr>
      <w:tr>
        <w:trPr>
          <w:trHeight w:val="360"/>
        </w:trPr>
        <w:tc>
          <w:tcPr>
            <w:tcW w:w="6238" w:type="dxa"/>
            <w:gridSpan w:val="3"/>
            <w:tcBorders>
              <w:top w:val="nil"/>
              <w:left w:val="nil"/>
              <w:bottom w:val="nil"/>
              <w:right w:val="nil"/>
            </w:tcBorders>
            <w:shd w:val="clear" w:color="auto" w:fill="auto"/>
            <w:noWrap/>
            <w:vAlign w:val="center"/>
          </w:tcPr>
          <w:p>
            <w:pPr>
              <w:widowControl/>
              <w:autoSpaceDN w:val="0"/>
              <w:jc w:val="left"/>
              <w:rPr>
                <w:rFonts w:ascii="Times New Roman" w:cs="宋体" w:hAnsi="Times New Roman"/>
                <w:kern w:val="0"/>
                <w:szCs w:val="36"/>
                <w:lang w:bidi="ar-SA"/>
              </w:rPr>
            </w:pPr>
            <w:r>
              <w:rPr>
                <w:rFonts w:ascii="Times New Roman" w:cs="宋体" w:hAnsi="Times New Roman" w:hint="eastAsia"/>
                <w:kern w:val="0"/>
                <w:sz w:val="16"/>
                <w:szCs w:val="16"/>
                <w:lang w:bidi="ar-SA"/>
              </w:rPr>
              <w:t>　</w:t>
            </w:r>
            <w:r>
              <w:rPr>
                <w:rFonts w:ascii="Times New Roman" w:cs="宋体" w:hAnsi="Times New Roman" w:hint="eastAsia"/>
                <w:color w:val="000000"/>
                <w:kern w:val="0"/>
                <w:sz w:val="18"/>
                <w:szCs w:val="18"/>
                <w:lang w:bidi="ar-SA"/>
              </w:rPr>
              <w:t>单位名称：中华人民共和国鄂尔多斯海关</w:t>
            </w:r>
          </w:p>
        </w:tc>
        <w:tc>
          <w:tcPr>
            <w:tcW w:w="1985" w:type="dxa"/>
            <w:tcBorders>
              <w:top w:val="nil"/>
              <w:left w:val="nil"/>
              <w:bottom w:val="single" w:sz="4" w:space="0" w:color="auto"/>
              <w:right w:val="nil"/>
            </w:tcBorders>
            <w:shd w:val="clear" w:color="auto" w:fill="auto"/>
            <w:noWrap/>
            <w:vAlign w:val="center"/>
          </w:tcPr>
          <w:p>
            <w:pPr>
              <w:widowControl/>
              <w:autoSpaceDN w:val="0"/>
              <w:jc w:val="center"/>
              <w:rPr>
                <w:rFonts w:ascii="Times New Roman" w:cs="Times New Roman" w:hAnsi="Times New Roman"/>
                <w:kern w:val="0"/>
                <w:sz w:val="18"/>
                <w:szCs w:val="18"/>
                <w:lang w:bidi="ar-SA"/>
              </w:rPr>
            </w:pPr>
            <w:r>
              <w:rPr>
                <w:rFonts w:ascii="Times New Roman" w:cs="Times New Roman" w:hAnsi="Times New Roman" w:hint="eastAsia"/>
                <w:kern w:val="0"/>
                <w:sz w:val="18"/>
                <w:szCs w:val="18"/>
                <w:lang w:bidi="ar-SA"/>
              </w:rPr>
              <w:t>　</w:t>
            </w:r>
          </w:p>
        </w:tc>
        <w:tc>
          <w:tcPr>
            <w:tcW w:w="1842" w:type="dxa"/>
            <w:tcBorders>
              <w:top w:val="nil"/>
              <w:left w:val="nil"/>
              <w:bottom w:val="nil"/>
              <w:right w:val="nil"/>
            </w:tcBorders>
            <w:shd w:val="clear" w:color="auto" w:fill="auto"/>
            <w:noWrap/>
            <w:vAlign w:val="center"/>
          </w:tcPr>
          <w:p>
            <w:pPr>
              <w:widowControl/>
              <w:autoSpaceDN w:val="0"/>
              <w:jc w:val="right"/>
              <w:rPr>
                <w:rFonts w:ascii="Times New Roman" w:cs="Times New Roman" w:hAnsi="Times New Roman"/>
                <w:kern w:val="0"/>
                <w:sz w:val="18"/>
                <w:szCs w:val="18"/>
                <w:lang w:bidi="ar-SA"/>
              </w:rPr>
            </w:pPr>
            <w:r>
              <w:rPr>
                <w:rFonts w:ascii="Times New Roman" w:cs="Times New Roman" w:hAnsi="Times New Roman" w:hint="eastAsia"/>
                <w:kern w:val="0"/>
                <w:sz w:val="18"/>
                <w:szCs w:val="18"/>
                <w:lang w:bidi="ar-SA"/>
              </w:rPr>
              <w:t>单位：万元</w:t>
            </w:r>
          </w:p>
        </w:tc>
      </w:tr>
      <w:tr>
        <w:trPr>
          <w:trHeight w:val="360"/>
        </w:trPr>
        <w:tc>
          <w:tcPr>
            <w:tcW w:w="41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center"/>
              <w:rPr>
                <w:rFonts w:ascii="Times New Roman" w:cs="宋体" w:hAnsi="Times New Roman"/>
                <w:kern w:val="0"/>
                <w:sz w:val="18"/>
                <w:szCs w:val="18"/>
                <w:lang w:bidi="ar-SA"/>
              </w:rPr>
            </w:pPr>
            <w:r>
              <w:rPr>
                <w:rFonts w:ascii="Times New Roman" w:cs="宋体" w:hAnsi="Times New Roman" w:hint="eastAsia"/>
                <w:kern w:val="0"/>
                <w:sz w:val="18"/>
                <w:szCs w:val="18"/>
                <w:lang w:bidi="ar-SA"/>
              </w:rPr>
              <w:t>部门预算支出经济分类科目</w:t>
            </w:r>
          </w:p>
        </w:tc>
        <w:tc>
          <w:tcPr>
            <w:tcW w:w="5953" w:type="dxa"/>
            <w:gridSpan w:val="3"/>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kern w:val="0"/>
                <w:sz w:val="18"/>
                <w:szCs w:val="18"/>
                <w:lang w:bidi="ar-SA"/>
              </w:rPr>
            </w:pPr>
            <w:r>
              <w:rPr>
                <w:rFonts w:ascii="Times New Roman" w:cs="Times New Roman" w:hAnsi="Times New Roman" w:hint="eastAsia"/>
                <w:kern w:val="0"/>
                <w:sz w:val="18"/>
                <w:szCs w:val="18"/>
                <w:lang w:bidi="ar-SA"/>
              </w:rPr>
              <w:t>本年一般公共预算基本支出</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center"/>
              <w:rPr>
                <w:rFonts w:ascii="Times New Roman" w:cs="宋体" w:hAnsi="Times New Roman"/>
                <w:kern w:val="0"/>
                <w:sz w:val="18"/>
                <w:szCs w:val="18"/>
                <w:lang w:bidi="ar-SA"/>
              </w:rPr>
            </w:pPr>
            <w:r>
              <w:rPr>
                <w:rFonts w:ascii="Times New Roman" w:cs="宋体" w:hAnsi="Times New Roman" w:hint="eastAsia"/>
                <w:kern w:val="0"/>
                <w:sz w:val="18"/>
                <w:szCs w:val="18"/>
                <w:lang w:bidi="ar-SA"/>
              </w:rPr>
              <w:t>科目代码</w:t>
            </w:r>
          </w:p>
        </w:tc>
        <w:tc>
          <w:tcPr>
            <w:tcW w:w="3119"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宋体" w:hAnsi="Times New Roman"/>
                <w:kern w:val="0"/>
                <w:sz w:val="18"/>
                <w:szCs w:val="18"/>
                <w:lang w:bidi="ar-SA"/>
              </w:rPr>
            </w:pPr>
            <w:r>
              <w:rPr>
                <w:rFonts w:ascii="Times New Roman" w:cs="宋体" w:hAnsi="Times New Roman" w:hint="eastAsia"/>
                <w:kern w:val="0"/>
                <w:sz w:val="18"/>
                <w:szCs w:val="18"/>
                <w:lang w:bidi="ar-SA"/>
              </w:rPr>
              <w:t>科目名称</w:t>
            </w:r>
          </w:p>
        </w:tc>
        <w:tc>
          <w:tcPr>
            <w:tcW w:w="2126"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kern w:val="0"/>
                <w:sz w:val="18"/>
                <w:szCs w:val="18"/>
                <w:lang w:bidi="ar-SA"/>
              </w:rPr>
            </w:pPr>
            <w:r>
              <w:rPr>
                <w:rFonts w:ascii="Times New Roman" w:cs="Times New Roman" w:hAnsi="Times New Roman" w:hint="eastAsia"/>
                <w:kern w:val="0"/>
                <w:sz w:val="18"/>
                <w:szCs w:val="18"/>
                <w:lang w:bidi="ar-SA"/>
              </w:rPr>
              <w:t>合计</w:t>
            </w:r>
          </w:p>
        </w:tc>
        <w:tc>
          <w:tcPr>
            <w:tcW w:w="1985"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kern w:val="0"/>
                <w:sz w:val="18"/>
                <w:szCs w:val="18"/>
                <w:lang w:bidi="ar-SA"/>
              </w:rPr>
            </w:pPr>
            <w:r>
              <w:rPr>
                <w:rFonts w:ascii="Times New Roman" w:cs="Times New Roman" w:hAnsi="Times New Roman" w:hint="eastAsia"/>
                <w:kern w:val="0"/>
                <w:sz w:val="18"/>
                <w:szCs w:val="18"/>
                <w:lang w:bidi="ar-SA"/>
              </w:rPr>
              <w:t>人员经费</w:t>
            </w:r>
          </w:p>
        </w:tc>
        <w:tc>
          <w:tcPr>
            <w:tcW w:w="1842"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kern w:val="0"/>
                <w:sz w:val="18"/>
                <w:szCs w:val="18"/>
                <w:lang w:bidi="ar-SA"/>
              </w:rPr>
            </w:pPr>
            <w:r>
              <w:rPr>
                <w:rFonts w:ascii="Times New Roman" w:cs="Times New Roman" w:hAnsi="Times New Roman" w:hint="eastAsia"/>
                <w:kern w:val="0"/>
                <w:sz w:val="18"/>
                <w:szCs w:val="18"/>
                <w:lang w:bidi="ar-SA"/>
              </w:rPr>
              <w:t>公用经费</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b/>
                <w:bCs/>
                <w:kern w:val="0"/>
                <w:sz w:val="18"/>
                <w:szCs w:val="18"/>
                <w:lang w:bidi="ar-SA"/>
              </w:rPr>
            </w:pPr>
            <w:r>
              <w:rPr>
                <w:rFonts w:ascii="Times New Roman" w:cs="宋体" w:hAnsi="Times New Roman"/>
                <w:b/>
                <w:bCs/>
                <w:kern w:val="0"/>
                <w:sz w:val="18"/>
                <w:szCs w:val="18"/>
                <w:lang w:bidi="ar-SA"/>
              </w:rPr>
              <w:t>301</w:t>
            </w:r>
          </w:p>
        </w:tc>
        <w:tc>
          <w:tcPr>
            <w:tcW w:w="3119" w:type="dxa"/>
            <w:tcBorders>
              <w:top w:val="nil"/>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b/>
                <w:bCs/>
                <w:kern w:val="0"/>
                <w:sz w:val="18"/>
                <w:szCs w:val="18"/>
                <w:lang w:bidi="ar-SA"/>
              </w:rPr>
            </w:pPr>
            <w:r>
              <w:rPr>
                <w:rFonts w:ascii="Times New Roman" w:cs="宋体" w:hAnsi="Times New Roman" w:hint="eastAsia"/>
                <w:b/>
                <w:bCs/>
                <w:kern w:val="0"/>
                <w:sz w:val="18"/>
                <w:szCs w:val="18"/>
                <w:lang w:bidi="ar-SA"/>
              </w:rPr>
              <w:t>工资福利支出</w:t>
            </w:r>
          </w:p>
        </w:tc>
        <w:tc>
          <w:tcPr>
            <w:tcW w:w="2126" w:type="dxa"/>
            <w:tcBorders>
              <w:top w:val="nil"/>
              <w:left w:val="nil"/>
              <w:bottom w:val="single" w:sz="4" w:space="0" w:color="auto"/>
              <w:right w:val="single" w:sz="4" w:space="0" w:color="auto"/>
            </w:tcBorders>
            <w:shd w:val="clear" w:color="auto" w:fill="auto"/>
            <w:noWrap/>
            <w:vAlign w:val="center"/>
          </w:tcPr>
          <w:p>
            <w:pPr>
              <w:autoSpaceDN w:val="0"/>
              <w:jc w:val="right"/>
              <w:rPr>
                <w:rFonts w:ascii="Times New Roman" w:cs="Times New Roman" w:hAnsi="Times New Roman"/>
                <w:b/>
                <w:bCs/>
                <w:kern w:val="0"/>
                <w:sz w:val="18"/>
                <w:szCs w:val="18"/>
                <w:lang w:bidi="ar-SA"/>
              </w:rPr>
            </w:pPr>
            <w:r>
              <w:rPr>
                <w:rFonts w:ascii="Times New Roman" w:cs="Times New Roman" w:hAnsi="Times New Roman" w:hint="eastAsia"/>
                <w:b/>
                <w:bCs/>
                <w:kern w:val="0"/>
                <w:sz w:val="18"/>
                <w:szCs w:val="18"/>
                <w:lang w:bidi="ar-SA"/>
              </w:rPr>
              <w:t>499.01</w:t>
            </w:r>
          </w:p>
        </w:tc>
        <w:tc>
          <w:tcPr>
            <w:tcW w:w="1985" w:type="dxa"/>
            <w:tcBorders>
              <w:top w:val="nil"/>
              <w:left w:val="nil"/>
              <w:bottom w:val="single" w:sz="4" w:space="0" w:color="auto"/>
              <w:right w:val="single" w:sz="4" w:space="0" w:color="auto"/>
            </w:tcBorders>
            <w:shd w:val="clear" w:color="auto" w:fill="auto"/>
            <w:noWrap/>
            <w:vAlign w:val="center"/>
          </w:tcPr>
          <w:p>
            <w:pPr>
              <w:autoSpaceDN w:val="0"/>
              <w:jc w:val="right"/>
              <w:rPr>
                <w:rFonts w:ascii="Times New Roman" w:cs="Times New Roman" w:hAnsi="Times New Roman"/>
                <w:b/>
                <w:bCs/>
                <w:kern w:val="0"/>
                <w:sz w:val="18"/>
                <w:szCs w:val="18"/>
                <w:lang w:bidi="ar-SA"/>
              </w:rPr>
            </w:pPr>
            <w:r>
              <w:rPr>
                <w:rFonts w:ascii="Times New Roman" w:cs="Times New Roman" w:hAnsi="Times New Roman" w:hint="eastAsia"/>
                <w:b/>
                <w:bCs/>
                <w:kern w:val="0"/>
                <w:sz w:val="18"/>
                <w:szCs w:val="18"/>
                <w:lang w:bidi="ar-SA"/>
              </w:rPr>
              <w:t>499.01</w:t>
            </w:r>
          </w:p>
        </w:tc>
        <w:tc>
          <w:tcPr>
            <w:tcW w:w="184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kern w:val="0"/>
                <w:sz w:val="18"/>
                <w:szCs w:val="18"/>
                <w:lang w:bidi="ar-SA"/>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kern w:val="0"/>
                <w:sz w:val="18"/>
                <w:szCs w:val="18"/>
                <w:lang w:bidi="ar-SA"/>
              </w:rPr>
            </w:pPr>
            <w:r>
              <w:rPr>
                <w:rFonts w:ascii="Times New Roman" w:cs="宋体" w:hAnsi="Times New Roman"/>
                <w:kern w:val="0"/>
                <w:sz w:val="18"/>
                <w:szCs w:val="18"/>
                <w:lang w:bidi="ar-SA"/>
              </w:rPr>
              <w:t>30101</w:t>
            </w:r>
          </w:p>
        </w:tc>
        <w:tc>
          <w:tcPr>
            <w:tcW w:w="3119" w:type="dxa"/>
            <w:tcBorders>
              <w:top w:val="nil"/>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kern w:val="0"/>
                <w:sz w:val="18"/>
                <w:szCs w:val="18"/>
                <w:lang w:bidi="ar-SA"/>
              </w:rPr>
            </w:pPr>
            <w:r>
              <w:rPr>
                <w:rFonts w:ascii="Times New Roman" w:cs="宋体" w:hAnsi="Times New Roman" w:hint="eastAsia"/>
                <w:kern w:val="0"/>
                <w:sz w:val="18"/>
                <w:szCs w:val="18"/>
                <w:lang w:bidi="ar-SA"/>
              </w:rPr>
              <w:t>基本工资</w:t>
            </w:r>
          </w:p>
        </w:tc>
        <w:tc>
          <w:tcPr>
            <w:tcW w:w="2126"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r>
              <w:rPr>
                <w:rFonts w:ascii="Times New Roman" w:cs="Times New Roman" w:hAnsi="Times New Roman" w:hint="eastAsia"/>
                <w:kern w:val="0"/>
                <w:sz w:val="18"/>
                <w:szCs w:val="18"/>
                <w:lang w:bidi="ar-SA"/>
              </w:rPr>
              <w:t>120.00</w:t>
            </w:r>
          </w:p>
        </w:tc>
        <w:tc>
          <w:tcPr>
            <w:tcW w:w="1985"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r>
              <w:rPr>
                <w:rFonts w:ascii="Times New Roman" w:cs="Times New Roman" w:hAnsi="Times New Roman" w:hint="eastAsia"/>
                <w:kern w:val="0"/>
                <w:sz w:val="18"/>
                <w:szCs w:val="18"/>
                <w:lang w:bidi="ar-SA"/>
              </w:rPr>
              <w:t>120.00</w:t>
            </w:r>
          </w:p>
        </w:tc>
        <w:tc>
          <w:tcPr>
            <w:tcW w:w="184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kern w:val="0"/>
                <w:sz w:val="18"/>
                <w:szCs w:val="18"/>
                <w:lang w:bidi="ar-SA"/>
              </w:rPr>
            </w:pPr>
            <w:r>
              <w:rPr>
                <w:rFonts w:ascii="Times New Roman" w:cs="宋体" w:hAnsi="Times New Roman"/>
                <w:kern w:val="0"/>
                <w:sz w:val="18"/>
                <w:szCs w:val="18"/>
                <w:lang w:bidi="ar-SA"/>
              </w:rPr>
              <w:t>30102</w:t>
            </w:r>
          </w:p>
        </w:tc>
        <w:tc>
          <w:tcPr>
            <w:tcW w:w="3119" w:type="dxa"/>
            <w:tcBorders>
              <w:top w:val="nil"/>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kern w:val="0"/>
                <w:sz w:val="18"/>
                <w:szCs w:val="18"/>
                <w:lang w:bidi="ar-SA"/>
              </w:rPr>
            </w:pPr>
            <w:r>
              <w:rPr>
                <w:rFonts w:ascii="Times New Roman" w:cs="宋体" w:hAnsi="Times New Roman" w:hint="eastAsia"/>
                <w:kern w:val="0"/>
                <w:sz w:val="18"/>
                <w:szCs w:val="18"/>
                <w:lang w:bidi="ar-SA"/>
              </w:rPr>
              <w:t>津贴补贴</w:t>
            </w:r>
          </w:p>
        </w:tc>
        <w:tc>
          <w:tcPr>
            <w:tcW w:w="2126"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r>
              <w:rPr>
                <w:rFonts w:ascii="Times New Roman" w:cs="Times New Roman" w:hAnsi="Times New Roman" w:hint="eastAsia"/>
                <w:kern w:val="0"/>
                <w:sz w:val="18"/>
                <w:szCs w:val="18"/>
                <w:lang w:bidi="ar-SA"/>
              </w:rPr>
              <w:t>193.23</w:t>
            </w:r>
          </w:p>
        </w:tc>
        <w:tc>
          <w:tcPr>
            <w:tcW w:w="1985"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r>
              <w:rPr>
                <w:rFonts w:ascii="Times New Roman" w:cs="Times New Roman" w:hAnsi="Times New Roman" w:hint="eastAsia"/>
                <w:kern w:val="0"/>
                <w:sz w:val="18"/>
                <w:szCs w:val="18"/>
                <w:lang w:bidi="ar-SA"/>
              </w:rPr>
              <w:t>193.23</w:t>
            </w:r>
          </w:p>
        </w:tc>
        <w:tc>
          <w:tcPr>
            <w:tcW w:w="184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kern w:val="0"/>
                <w:sz w:val="18"/>
                <w:szCs w:val="18"/>
                <w:lang w:bidi="ar-SA"/>
              </w:rPr>
            </w:pPr>
            <w:r>
              <w:rPr>
                <w:rFonts w:ascii="Times New Roman" w:cs="宋体" w:hAnsi="Times New Roman"/>
                <w:kern w:val="0"/>
                <w:sz w:val="18"/>
                <w:szCs w:val="18"/>
                <w:lang w:bidi="ar-SA"/>
              </w:rPr>
              <w:t>30103</w:t>
            </w:r>
          </w:p>
        </w:tc>
        <w:tc>
          <w:tcPr>
            <w:tcW w:w="3119" w:type="dxa"/>
            <w:tcBorders>
              <w:top w:val="nil"/>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kern w:val="0"/>
                <w:sz w:val="18"/>
                <w:szCs w:val="18"/>
                <w:lang w:bidi="ar-SA"/>
              </w:rPr>
            </w:pPr>
            <w:r>
              <w:rPr>
                <w:rFonts w:ascii="Times New Roman" w:cs="宋体" w:hAnsi="Times New Roman" w:hint="eastAsia"/>
                <w:kern w:val="0"/>
                <w:sz w:val="18"/>
                <w:szCs w:val="18"/>
                <w:lang w:bidi="ar-SA"/>
              </w:rPr>
              <w:t>奖金</w:t>
            </w:r>
          </w:p>
        </w:tc>
        <w:tc>
          <w:tcPr>
            <w:tcW w:w="2126"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r>
              <w:rPr>
                <w:rFonts w:ascii="Times New Roman" w:cs="Times New Roman" w:hAnsi="Times New Roman" w:hint="eastAsia"/>
                <w:kern w:val="0"/>
                <w:sz w:val="18"/>
                <w:szCs w:val="18"/>
                <w:lang w:bidi="ar-SA"/>
              </w:rPr>
              <w:t>40.00</w:t>
            </w:r>
          </w:p>
        </w:tc>
        <w:tc>
          <w:tcPr>
            <w:tcW w:w="1985"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r>
              <w:rPr>
                <w:rFonts w:ascii="Times New Roman" w:cs="Times New Roman" w:hAnsi="Times New Roman" w:hint="eastAsia"/>
                <w:kern w:val="0"/>
                <w:sz w:val="18"/>
                <w:szCs w:val="18"/>
                <w:lang w:bidi="ar-SA"/>
              </w:rPr>
              <w:t>40.00</w:t>
            </w:r>
          </w:p>
        </w:tc>
        <w:tc>
          <w:tcPr>
            <w:tcW w:w="184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kern w:val="0"/>
                <w:sz w:val="18"/>
                <w:szCs w:val="18"/>
                <w:lang w:bidi="ar-SA"/>
              </w:rPr>
            </w:pPr>
            <w:r>
              <w:rPr>
                <w:rFonts w:ascii="Times New Roman" w:cs="宋体" w:hAnsi="Times New Roman"/>
                <w:kern w:val="0"/>
                <w:sz w:val="18"/>
                <w:szCs w:val="18"/>
                <w:lang w:bidi="ar-SA"/>
              </w:rPr>
              <w:t>30108</w:t>
            </w:r>
          </w:p>
        </w:tc>
        <w:tc>
          <w:tcPr>
            <w:tcW w:w="3119" w:type="dxa"/>
            <w:tcBorders>
              <w:top w:val="nil"/>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kern w:val="0"/>
                <w:sz w:val="18"/>
                <w:szCs w:val="18"/>
                <w:lang w:bidi="ar-SA"/>
              </w:rPr>
            </w:pPr>
            <w:r>
              <w:rPr>
                <w:rFonts w:ascii="Times New Roman" w:cs="宋体" w:hAnsi="Times New Roman" w:hint="eastAsia"/>
                <w:kern w:val="0"/>
                <w:sz w:val="18"/>
                <w:szCs w:val="18"/>
                <w:lang w:bidi="ar-SA"/>
              </w:rPr>
              <w:t>机关事业单位基本养老保险缴费</w:t>
            </w:r>
          </w:p>
        </w:tc>
        <w:tc>
          <w:tcPr>
            <w:tcW w:w="2126"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r>
              <w:rPr>
                <w:rFonts w:ascii="Times New Roman" w:cs="Times New Roman" w:hAnsi="Times New Roman" w:hint="eastAsia"/>
                <w:kern w:val="0"/>
                <w:sz w:val="18"/>
                <w:szCs w:val="18"/>
                <w:lang w:bidi="ar-SA"/>
              </w:rPr>
              <w:t>44.24</w:t>
            </w:r>
          </w:p>
        </w:tc>
        <w:tc>
          <w:tcPr>
            <w:tcW w:w="1985"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r>
              <w:rPr>
                <w:rFonts w:ascii="Times New Roman" w:cs="Times New Roman" w:hAnsi="Times New Roman" w:hint="eastAsia"/>
                <w:kern w:val="0"/>
                <w:sz w:val="18"/>
                <w:szCs w:val="18"/>
                <w:lang w:bidi="ar-SA"/>
              </w:rPr>
              <w:t>44.24</w:t>
            </w:r>
          </w:p>
        </w:tc>
        <w:tc>
          <w:tcPr>
            <w:tcW w:w="184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kern w:val="0"/>
                <w:sz w:val="18"/>
                <w:szCs w:val="18"/>
                <w:lang w:bidi="ar-SA"/>
              </w:rPr>
            </w:pPr>
            <w:r>
              <w:rPr>
                <w:rFonts w:ascii="Times New Roman" w:cs="宋体" w:hAnsi="Times New Roman"/>
                <w:kern w:val="0"/>
                <w:sz w:val="18"/>
                <w:szCs w:val="18"/>
                <w:lang w:bidi="ar-SA"/>
              </w:rPr>
              <w:t>30109</w:t>
            </w:r>
          </w:p>
        </w:tc>
        <w:tc>
          <w:tcPr>
            <w:tcW w:w="3119" w:type="dxa"/>
            <w:tcBorders>
              <w:top w:val="nil"/>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kern w:val="0"/>
                <w:sz w:val="18"/>
                <w:szCs w:val="18"/>
                <w:lang w:bidi="ar-SA"/>
              </w:rPr>
            </w:pPr>
            <w:r>
              <w:rPr>
                <w:rFonts w:ascii="Times New Roman" w:cs="宋体" w:hAnsi="Times New Roman" w:hint="eastAsia"/>
                <w:kern w:val="0"/>
                <w:sz w:val="18"/>
                <w:szCs w:val="18"/>
                <w:lang w:bidi="ar-SA"/>
              </w:rPr>
              <w:t>职业年金缴费</w:t>
            </w:r>
          </w:p>
        </w:tc>
        <w:tc>
          <w:tcPr>
            <w:tcW w:w="2126"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r>
              <w:rPr>
                <w:rFonts w:ascii="Times New Roman" w:cs="Times New Roman" w:hAnsi="Times New Roman" w:hint="eastAsia"/>
                <w:kern w:val="0"/>
                <w:sz w:val="18"/>
                <w:szCs w:val="18"/>
                <w:lang w:bidi="ar-SA"/>
              </w:rPr>
              <w:t>22.12</w:t>
            </w:r>
          </w:p>
        </w:tc>
        <w:tc>
          <w:tcPr>
            <w:tcW w:w="1985"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r>
              <w:rPr>
                <w:rFonts w:ascii="Times New Roman" w:cs="Times New Roman" w:hAnsi="Times New Roman" w:hint="eastAsia"/>
                <w:kern w:val="0"/>
                <w:sz w:val="18"/>
                <w:szCs w:val="18"/>
                <w:lang w:bidi="ar-SA"/>
              </w:rPr>
              <w:t>22.12</w:t>
            </w:r>
          </w:p>
        </w:tc>
        <w:tc>
          <w:tcPr>
            <w:tcW w:w="184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kern w:val="0"/>
                <w:sz w:val="18"/>
                <w:szCs w:val="18"/>
                <w:lang w:bidi="ar-SA"/>
              </w:rPr>
            </w:pPr>
            <w:r>
              <w:rPr>
                <w:rFonts w:ascii="Times New Roman" w:cs="宋体" w:hAnsi="Times New Roman"/>
                <w:kern w:val="0"/>
                <w:sz w:val="18"/>
                <w:szCs w:val="18"/>
                <w:lang w:bidi="ar-SA"/>
              </w:rPr>
              <w:t>30110</w:t>
            </w:r>
          </w:p>
        </w:tc>
        <w:tc>
          <w:tcPr>
            <w:tcW w:w="3119" w:type="dxa"/>
            <w:tcBorders>
              <w:top w:val="nil"/>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kern w:val="0"/>
                <w:sz w:val="18"/>
                <w:szCs w:val="18"/>
                <w:lang w:bidi="ar-SA"/>
              </w:rPr>
            </w:pPr>
            <w:r>
              <w:rPr>
                <w:rFonts w:ascii="Times New Roman" w:cs="宋体" w:hAnsi="Times New Roman" w:hint="eastAsia"/>
                <w:kern w:val="0"/>
                <w:sz w:val="18"/>
                <w:szCs w:val="18"/>
                <w:lang w:bidi="ar-SA"/>
              </w:rPr>
              <w:t>职工基本医疗保险缴费</w:t>
            </w:r>
          </w:p>
        </w:tc>
        <w:tc>
          <w:tcPr>
            <w:tcW w:w="2126"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r>
              <w:rPr>
                <w:rFonts w:ascii="Times New Roman" w:cs="Times New Roman" w:hAnsi="Times New Roman" w:hint="eastAsia"/>
                <w:kern w:val="0"/>
                <w:sz w:val="18"/>
                <w:szCs w:val="18"/>
                <w:lang w:bidi="ar-SA"/>
              </w:rPr>
              <w:t>17.76</w:t>
            </w:r>
          </w:p>
        </w:tc>
        <w:tc>
          <w:tcPr>
            <w:tcW w:w="1985"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r>
              <w:rPr>
                <w:rFonts w:ascii="Times New Roman" w:cs="Times New Roman" w:hAnsi="Times New Roman" w:hint="eastAsia"/>
                <w:kern w:val="0"/>
                <w:sz w:val="18"/>
                <w:szCs w:val="18"/>
                <w:lang w:bidi="ar-SA"/>
              </w:rPr>
              <w:t>17.76</w:t>
            </w:r>
          </w:p>
        </w:tc>
        <w:tc>
          <w:tcPr>
            <w:tcW w:w="184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kern w:val="0"/>
                <w:sz w:val="18"/>
                <w:szCs w:val="18"/>
                <w:lang w:bidi="ar-SA"/>
              </w:rPr>
            </w:pPr>
            <w:r>
              <w:rPr>
                <w:rFonts w:ascii="Times New Roman" w:cs="宋体" w:hAnsi="Times New Roman"/>
                <w:kern w:val="0"/>
                <w:sz w:val="18"/>
                <w:szCs w:val="18"/>
                <w:lang w:bidi="ar-SA"/>
              </w:rPr>
              <w:t>30111</w:t>
            </w:r>
          </w:p>
        </w:tc>
        <w:tc>
          <w:tcPr>
            <w:tcW w:w="3119" w:type="dxa"/>
            <w:tcBorders>
              <w:top w:val="nil"/>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kern w:val="0"/>
                <w:sz w:val="18"/>
                <w:szCs w:val="18"/>
                <w:lang w:bidi="ar-SA"/>
              </w:rPr>
            </w:pPr>
            <w:r>
              <w:rPr>
                <w:rFonts w:ascii="Times New Roman" w:cs="宋体" w:hAnsi="Times New Roman" w:hint="eastAsia"/>
                <w:kern w:val="0"/>
                <w:sz w:val="18"/>
                <w:szCs w:val="18"/>
                <w:lang w:bidi="ar-SA"/>
              </w:rPr>
              <w:t>公务员医疗补助缴费</w:t>
            </w:r>
          </w:p>
        </w:tc>
        <w:tc>
          <w:tcPr>
            <w:tcW w:w="2126"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r>
              <w:rPr>
                <w:rFonts w:ascii="Times New Roman" w:cs="Times New Roman" w:hAnsi="Times New Roman" w:hint="eastAsia"/>
                <w:kern w:val="0"/>
                <w:sz w:val="18"/>
                <w:szCs w:val="18"/>
                <w:lang w:bidi="ar-SA"/>
              </w:rPr>
              <w:t>5.74</w:t>
            </w:r>
          </w:p>
        </w:tc>
        <w:tc>
          <w:tcPr>
            <w:tcW w:w="1985"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r>
              <w:rPr>
                <w:rFonts w:ascii="Times New Roman" w:cs="Times New Roman" w:hAnsi="Times New Roman" w:hint="eastAsia"/>
                <w:kern w:val="0"/>
                <w:sz w:val="18"/>
                <w:szCs w:val="18"/>
                <w:lang w:bidi="ar-SA"/>
              </w:rPr>
              <w:t>5.74</w:t>
            </w:r>
          </w:p>
        </w:tc>
        <w:tc>
          <w:tcPr>
            <w:tcW w:w="184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kern w:val="0"/>
                <w:sz w:val="18"/>
                <w:szCs w:val="18"/>
                <w:lang w:bidi="ar-SA"/>
              </w:rPr>
            </w:pPr>
            <w:r>
              <w:rPr>
                <w:rFonts w:ascii="Times New Roman" w:cs="宋体" w:hAnsi="Times New Roman"/>
                <w:kern w:val="0"/>
                <w:sz w:val="18"/>
                <w:szCs w:val="18"/>
                <w:lang w:bidi="ar-SA"/>
              </w:rPr>
              <w:t>30112</w:t>
            </w:r>
          </w:p>
        </w:tc>
        <w:tc>
          <w:tcPr>
            <w:tcW w:w="3119" w:type="dxa"/>
            <w:tcBorders>
              <w:top w:val="nil"/>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kern w:val="0"/>
                <w:sz w:val="18"/>
                <w:szCs w:val="18"/>
                <w:lang w:bidi="ar-SA"/>
              </w:rPr>
            </w:pPr>
            <w:r>
              <w:rPr>
                <w:rFonts w:ascii="Times New Roman" w:cs="宋体" w:hAnsi="Times New Roman" w:hint="eastAsia"/>
                <w:kern w:val="0"/>
                <w:sz w:val="18"/>
                <w:szCs w:val="18"/>
                <w:lang w:bidi="ar-SA"/>
              </w:rPr>
              <w:t>其他社会保障缴费</w:t>
            </w:r>
          </w:p>
        </w:tc>
        <w:tc>
          <w:tcPr>
            <w:tcW w:w="2126"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r>
              <w:rPr>
                <w:rFonts w:ascii="Times New Roman" w:cs="Times New Roman" w:hAnsi="Times New Roman" w:hint="eastAsia"/>
                <w:kern w:val="0"/>
                <w:sz w:val="18"/>
                <w:szCs w:val="18"/>
                <w:lang w:bidi="ar-SA"/>
              </w:rPr>
              <w:t>0.55</w:t>
            </w:r>
          </w:p>
        </w:tc>
        <w:tc>
          <w:tcPr>
            <w:tcW w:w="1985"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r>
              <w:rPr>
                <w:rFonts w:ascii="Times New Roman" w:cs="Times New Roman" w:hAnsi="Times New Roman" w:hint="eastAsia"/>
                <w:kern w:val="0"/>
                <w:sz w:val="18"/>
                <w:szCs w:val="18"/>
                <w:lang w:bidi="ar-SA"/>
              </w:rPr>
              <w:t>0.55</w:t>
            </w:r>
          </w:p>
        </w:tc>
        <w:tc>
          <w:tcPr>
            <w:tcW w:w="184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kern w:val="0"/>
                <w:sz w:val="18"/>
                <w:szCs w:val="18"/>
                <w:lang w:bidi="ar-SA"/>
              </w:rPr>
            </w:pPr>
            <w:r>
              <w:rPr>
                <w:rFonts w:ascii="Times New Roman" w:cs="宋体" w:hAnsi="Times New Roman"/>
                <w:kern w:val="0"/>
                <w:sz w:val="18"/>
                <w:szCs w:val="18"/>
                <w:lang w:bidi="ar-SA"/>
              </w:rPr>
              <w:t>30113</w:t>
            </w:r>
          </w:p>
        </w:tc>
        <w:tc>
          <w:tcPr>
            <w:tcW w:w="3119" w:type="dxa"/>
            <w:tcBorders>
              <w:top w:val="nil"/>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kern w:val="0"/>
                <w:sz w:val="18"/>
                <w:szCs w:val="18"/>
                <w:lang w:bidi="ar-SA"/>
              </w:rPr>
            </w:pPr>
            <w:r>
              <w:rPr>
                <w:rFonts w:ascii="Times New Roman" w:cs="宋体" w:hAnsi="Times New Roman" w:hint="eastAsia"/>
                <w:kern w:val="0"/>
                <w:sz w:val="18"/>
                <w:szCs w:val="18"/>
                <w:lang w:bidi="ar-SA"/>
              </w:rPr>
              <w:t>住房公积金</w:t>
            </w:r>
          </w:p>
        </w:tc>
        <w:tc>
          <w:tcPr>
            <w:tcW w:w="2126"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r>
              <w:rPr>
                <w:rFonts w:ascii="Times New Roman" w:cs="Times New Roman" w:hAnsi="Times New Roman" w:hint="eastAsia"/>
                <w:kern w:val="0"/>
                <w:sz w:val="18"/>
                <w:szCs w:val="18"/>
                <w:lang w:bidi="ar-SA"/>
              </w:rPr>
              <w:t>54.87</w:t>
            </w:r>
          </w:p>
        </w:tc>
        <w:tc>
          <w:tcPr>
            <w:tcW w:w="1985"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r>
              <w:rPr>
                <w:rFonts w:ascii="Times New Roman" w:cs="Times New Roman" w:hAnsi="Times New Roman" w:hint="eastAsia"/>
                <w:kern w:val="0"/>
                <w:sz w:val="18"/>
                <w:szCs w:val="18"/>
                <w:lang w:bidi="ar-SA"/>
              </w:rPr>
              <w:t>54.87</w:t>
            </w:r>
          </w:p>
        </w:tc>
        <w:tc>
          <w:tcPr>
            <w:tcW w:w="184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kern w:val="0"/>
                <w:sz w:val="18"/>
                <w:szCs w:val="18"/>
                <w:lang w:bidi="ar-SA"/>
              </w:rPr>
            </w:pPr>
            <w:r>
              <w:rPr>
                <w:rFonts w:ascii="Times New Roman" w:cs="宋体" w:hAnsi="Times New Roman"/>
                <w:kern w:val="0"/>
                <w:sz w:val="18"/>
                <w:szCs w:val="18"/>
                <w:lang w:bidi="ar-SA"/>
              </w:rPr>
              <w:t>30199</w:t>
            </w:r>
          </w:p>
        </w:tc>
        <w:tc>
          <w:tcPr>
            <w:tcW w:w="3119" w:type="dxa"/>
            <w:tcBorders>
              <w:top w:val="nil"/>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kern w:val="0"/>
                <w:sz w:val="18"/>
                <w:szCs w:val="18"/>
                <w:lang w:bidi="ar-SA"/>
              </w:rPr>
            </w:pPr>
            <w:r>
              <w:rPr>
                <w:rFonts w:ascii="Times New Roman" w:cs="宋体" w:hAnsi="Times New Roman" w:hint="eastAsia"/>
                <w:kern w:val="0"/>
                <w:sz w:val="18"/>
                <w:szCs w:val="18"/>
                <w:lang w:bidi="ar-SA"/>
              </w:rPr>
              <w:t>其他工资福利支出</w:t>
            </w:r>
          </w:p>
        </w:tc>
        <w:tc>
          <w:tcPr>
            <w:tcW w:w="2126"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r>
              <w:rPr>
                <w:rFonts w:ascii="Times New Roman" w:cs="Times New Roman" w:hAnsi="Times New Roman" w:hint="eastAsia"/>
                <w:kern w:val="0"/>
                <w:sz w:val="18"/>
                <w:szCs w:val="18"/>
                <w:lang w:bidi="ar-SA"/>
              </w:rPr>
              <w:t>0.50</w:t>
            </w:r>
          </w:p>
        </w:tc>
        <w:tc>
          <w:tcPr>
            <w:tcW w:w="1985"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r>
              <w:rPr>
                <w:rFonts w:ascii="Times New Roman" w:cs="Times New Roman" w:hAnsi="Times New Roman" w:hint="eastAsia"/>
                <w:kern w:val="0"/>
                <w:sz w:val="18"/>
                <w:szCs w:val="18"/>
                <w:lang w:bidi="ar-SA"/>
              </w:rPr>
              <w:t>0.50</w:t>
            </w:r>
          </w:p>
        </w:tc>
        <w:tc>
          <w:tcPr>
            <w:tcW w:w="184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b/>
                <w:bCs/>
                <w:kern w:val="0"/>
                <w:sz w:val="18"/>
                <w:szCs w:val="18"/>
                <w:lang w:bidi="ar-SA"/>
              </w:rPr>
            </w:pPr>
            <w:r>
              <w:rPr>
                <w:rFonts w:ascii="Times New Roman" w:cs="宋体" w:hAnsi="Times New Roman"/>
                <w:b/>
                <w:bCs/>
                <w:kern w:val="0"/>
                <w:sz w:val="18"/>
                <w:szCs w:val="18"/>
                <w:lang w:bidi="ar-SA"/>
              </w:rPr>
              <w:t>302</w:t>
            </w:r>
          </w:p>
        </w:tc>
        <w:tc>
          <w:tcPr>
            <w:tcW w:w="3119" w:type="dxa"/>
            <w:tcBorders>
              <w:top w:val="nil"/>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b/>
                <w:bCs/>
                <w:kern w:val="0"/>
                <w:sz w:val="18"/>
                <w:szCs w:val="18"/>
                <w:lang w:bidi="ar-SA"/>
              </w:rPr>
            </w:pPr>
            <w:r>
              <w:rPr>
                <w:rFonts w:ascii="Times New Roman" w:cs="宋体" w:hAnsi="Times New Roman" w:hint="eastAsia"/>
                <w:b/>
                <w:bCs/>
                <w:kern w:val="0"/>
                <w:sz w:val="18"/>
                <w:szCs w:val="18"/>
                <w:lang w:bidi="ar-SA"/>
              </w:rPr>
              <w:t>商品和服务支出</w:t>
            </w:r>
          </w:p>
        </w:tc>
        <w:tc>
          <w:tcPr>
            <w:tcW w:w="2126"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kern w:val="0"/>
                <w:sz w:val="18"/>
                <w:szCs w:val="18"/>
                <w:lang w:bidi="ar-SA"/>
              </w:rPr>
            </w:pPr>
            <w:r>
              <w:rPr>
                <w:rFonts w:ascii="Times New Roman" w:cs="Times New Roman" w:hAnsi="Times New Roman" w:hint="eastAsia"/>
                <w:b/>
                <w:bCs/>
                <w:kern w:val="0"/>
                <w:sz w:val="18"/>
                <w:szCs w:val="18"/>
                <w:lang w:bidi="ar-SA"/>
              </w:rPr>
              <w:t>217.94</w:t>
            </w:r>
          </w:p>
        </w:tc>
        <w:tc>
          <w:tcPr>
            <w:tcW w:w="1985"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kern w:val="0"/>
                <w:sz w:val="18"/>
                <w:szCs w:val="18"/>
                <w:lang w:bidi="ar-SA"/>
              </w:rPr>
            </w:pPr>
          </w:p>
        </w:tc>
        <w:tc>
          <w:tcPr>
            <w:tcW w:w="184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kern w:val="0"/>
                <w:sz w:val="18"/>
                <w:szCs w:val="18"/>
                <w:lang w:bidi="ar-SA"/>
              </w:rPr>
            </w:pPr>
            <w:r>
              <w:rPr>
                <w:rFonts w:ascii="Times New Roman" w:cs="Times New Roman" w:hAnsi="Times New Roman" w:hint="eastAsia"/>
                <w:b/>
                <w:bCs/>
                <w:kern w:val="0"/>
                <w:sz w:val="18"/>
                <w:szCs w:val="18"/>
                <w:lang w:bidi="ar-SA"/>
              </w:rPr>
              <w:t>217.94</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kern w:val="0"/>
                <w:sz w:val="18"/>
                <w:szCs w:val="18"/>
                <w:lang w:bidi="ar-SA"/>
              </w:rPr>
            </w:pPr>
            <w:r>
              <w:rPr>
                <w:rFonts w:ascii="Times New Roman" w:cs="宋体" w:hAnsi="Times New Roman"/>
                <w:kern w:val="0"/>
                <w:sz w:val="18"/>
                <w:szCs w:val="18"/>
                <w:lang w:bidi="ar-SA"/>
              </w:rPr>
              <w:t>30201</w:t>
            </w:r>
          </w:p>
        </w:tc>
        <w:tc>
          <w:tcPr>
            <w:tcW w:w="3119" w:type="dxa"/>
            <w:tcBorders>
              <w:top w:val="nil"/>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kern w:val="0"/>
                <w:sz w:val="18"/>
                <w:szCs w:val="18"/>
                <w:lang w:bidi="ar-SA"/>
              </w:rPr>
            </w:pPr>
            <w:r>
              <w:rPr>
                <w:rFonts w:ascii="Times New Roman" w:cs="宋体" w:hAnsi="Times New Roman" w:hint="eastAsia"/>
                <w:kern w:val="0"/>
                <w:sz w:val="18"/>
                <w:szCs w:val="18"/>
                <w:lang w:bidi="ar-SA"/>
              </w:rPr>
              <w:t>办公费</w:t>
            </w:r>
          </w:p>
        </w:tc>
        <w:tc>
          <w:tcPr>
            <w:tcW w:w="2126"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r>
              <w:rPr>
                <w:rFonts w:ascii="Times New Roman" w:cs="Times New Roman" w:hAnsi="Times New Roman" w:hint="eastAsia"/>
                <w:kern w:val="0"/>
                <w:sz w:val="18"/>
                <w:szCs w:val="18"/>
                <w:lang w:bidi="ar-SA"/>
              </w:rPr>
              <w:t>1.66</w:t>
            </w:r>
          </w:p>
        </w:tc>
        <w:tc>
          <w:tcPr>
            <w:tcW w:w="1985"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p>
        </w:tc>
        <w:tc>
          <w:tcPr>
            <w:tcW w:w="184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r>
              <w:rPr>
                <w:rFonts w:ascii="Times New Roman" w:cs="Times New Roman" w:hAnsi="Times New Roman" w:hint="eastAsia"/>
                <w:kern w:val="0"/>
                <w:sz w:val="18"/>
                <w:szCs w:val="18"/>
                <w:lang w:bidi="ar-SA"/>
              </w:rPr>
              <w:t>1.66</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kern w:val="0"/>
                <w:sz w:val="18"/>
                <w:szCs w:val="18"/>
                <w:lang w:bidi="ar-SA"/>
              </w:rPr>
            </w:pPr>
            <w:r>
              <w:rPr>
                <w:rFonts w:ascii="Times New Roman" w:cs="宋体" w:hAnsi="Times New Roman"/>
                <w:kern w:val="0"/>
                <w:sz w:val="18"/>
                <w:szCs w:val="18"/>
                <w:lang w:bidi="ar-SA"/>
              </w:rPr>
              <w:t>30202</w:t>
            </w:r>
          </w:p>
        </w:tc>
        <w:tc>
          <w:tcPr>
            <w:tcW w:w="3119" w:type="dxa"/>
            <w:tcBorders>
              <w:top w:val="nil"/>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kern w:val="0"/>
                <w:sz w:val="18"/>
                <w:szCs w:val="18"/>
                <w:lang w:bidi="ar-SA"/>
              </w:rPr>
            </w:pPr>
            <w:r>
              <w:rPr>
                <w:rFonts w:ascii="Times New Roman" w:cs="宋体" w:hAnsi="Times New Roman" w:hint="eastAsia"/>
                <w:kern w:val="0"/>
                <w:sz w:val="18"/>
                <w:szCs w:val="18"/>
                <w:lang w:bidi="ar-SA"/>
              </w:rPr>
              <w:t>印刷费</w:t>
            </w:r>
          </w:p>
        </w:tc>
        <w:tc>
          <w:tcPr>
            <w:tcW w:w="2126"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r>
              <w:rPr>
                <w:rFonts w:ascii="Times New Roman" w:cs="Times New Roman" w:hAnsi="Times New Roman" w:hint="eastAsia"/>
                <w:kern w:val="0"/>
                <w:sz w:val="18"/>
                <w:szCs w:val="18"/>
                <w:lang w:bidi="ar-SA"/>
              </w:rPr>
              <w:t>1.00</w:t>
            </w:r>
          </w:p>
        </w:tc>
        <w:tc>
          <w:tcPr>
            <w:tcW w:w="1985"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p>
        </w:tc>
        <w:tc>
          <w:tcPr>
            <w:tcW w:w="184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r>
              <w:rPr>
                <w:rFonts w:ascii="Times New Roman" w:cs="Times New Roman" w:hAnsi="Times New Roman" w:hint="eastAsia"/>
                <w:kern w:val="0"/>
                <w:sz w:val="18"/>
                <w:szCs w:val="18"/>
                <w:lang w:bidi="ar-SA"/>
              </w:rPr>
              <w:t>1.00</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kern w:val="0"/>
                <w:sz w:val="18"/>
                <w:szCs w:val="18"/>
                <w:lang w:bidi="ar-SA"/>
              </w:rPr>
            </w:pPr>
            <w:r>
              <w:rPr>
                <w:rFonts w:ascii="Times New Roman" w:cs="宋体" w:hAnsi="Times New Roman"/>
                <w:kern w:val="0"/>
                <w:sz w:val="18"/>
                <w:szCs w:val="18"/>
                <w:lang w:bidi="ar-SA"/>
              </w:rPr>
              <w:t>30205</w:t>
            </w:r>
          </w:p>
        </w:tc>
        <w:tc>
          <w:tcPr>
            <w:tcW w:w="3119" w:type="dxa"/>
            <w:tcBorders>
              <w:top w:val="nil"/>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kern w:val="0"/>
                <w:sz w:val="18"/>
                <w:szCs w:val="18"/>
                <w:lang w:bidi="ar-SA"/>
              </w:rPr>
            </w:pPr>
            <w:r>
              <w:rPr>
                <w:rFonts w:ascii="Times New Roman" w:cs="宋体" w:hAnsi="Times New Roman" w:hint="eastAsia"/>
                <w:kern w:val="0"/>
                <w:sz w:val="18"/>
                <w:szCs w:val="18"/>
                <w:lang w:bidi="ar-SA"/>
              </w:rPr>
              <w:t>水费</w:t>
            </w:r>
          </w:p>
        </w:tc>
        <w:tc>
          <w:tcPr>
            <w:tcW w:w="2126"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r>
              <w:rPr>
                <w:rFonts w:ascii="Times New Roman" w:cs="Times New Roman" w:hAnsi="Times New Roman" w:hint="eastAsia"/>
                <w:kern w:val="0"/>
                <w:sz w:val="18"/>
                <w:szCs w:val="18"/>
                <w:lang w:bidi="ar-SA"/>
              </w:rPr>
              <w:t>1.30</w:t>
            </w:r>
          </w:p>
        </w:tc>
        <w:tc>
          <w:tcPr>
            <w:tcW w:w="1985"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p>
        </w:tc>
        <w:tc>
          <w:tcPr>
            <w:tcW w:w="184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r>
              <w:rPr>
                <w:rFonts w:ascii="Times New Roman" w:cs="Times New Roman" w:hAnsi="Times New Roman" w:hint="eastAsia"/>
                <w:kern w:val="0"/>
                <w:sz w:val="18"/>
                <w:szCs w:val="18"/>
                <w:lang w:bidi="ar-SA"/>
              </w:rPr>
              <w:t>1.30</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kern w:val="0"/>
                <w:sz w:val="18"/>
                <w:szCs w:val="18"/>
                <w:lang w:bidi="ar-SA"/>
              </w:rPr>
            </w:pPr>
            <w:r>
              <w:rPr>
                <w:rFonts w:ascii="Times New Roman" w:cs="宋体" w:hAnsi="Times New Roman"/>
                <w:kern w:val="0"/>
                <w:sz w:val="18"/>
                <w:szCs w:val="18"/>
                <w:lang w:bidi="ar-SA"/>
              </w:rPr>
              <w:t>30206</w:t>
            </w:r>
          </w:p>
        </w:tc>
        <w:tc>
          <w:tcPr>
            <w:tcW w:w="3119" w:type="dxa"/>
            <w:tcBorders>
              <w:top w:val="nil"/>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kern w:val="0"/>
                <w:sz w:val="18"/>
                <w:szCs w:val="18"/>
                <w:lang w:bidi="ar-SA"/>
              </w:rPr>
            </w:pPr>
            <w:r>
              <w:rPr>
                <w:rFonts w:ascii="Times New Roman" w:cs="宋体" w:hAnsi="Times New Roman" w:hint="eastAsia"/>
                <w:kern w:val="0"/>
                <w:sz w:val="18"/>
                <w:szCs w:val="18"/>
                <w:lang w:bidi="ar-SA"/>
              </w:rPr>
              <w:t>电费</w:t>
            </w:r>
          </w:p>
        </w:tc>
        <w:tc>
          <w:tcPr>
            <w:tcW w:w="2126"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r>
              <w:rPr>
                <w:rFonts w:ascii="Times New Roman" w:cs="Times New Roman" w:hAnsi="Times New Roman" w:hint="eastAsia"/>
                <w:kern w:val="0"/>
                <w:sz w:val="18"/>
                <w:szCs w:val="18"/>
                <w:lang w:bidi="ar-SA"/>
              </w:rPr>
              <w:t>13.00</w:t>
            </w:r>
          </w:p>
        </w:tc>
        <w:tc>
          <w:tcPr>
            <w:tcW w:w="1985"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p>
        </w:tc>
        <w:tc>
          <w:tcPr>
            <w:tcW w:w="184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r>
              <w:rPr>
                <w:rFonts w:ascii="Times New Roman" w:cs="Times New Roman" w:hAnsi="Times New Roman" w:hint="eastAsia"/>
                <w:kern w:val="0"/>
                <w:sz w:val="18"/>
                <w:szCs w:val="18"/>
                <w:lang w:bidi="ar-SA"/>
              </w:rPr>
              <w:t>13.00</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kern w:val="0"/>
                <w:sz w:val="18"/>
                <w:szCs w:val="18"/>
                <w:lang w:bidi="ar-SA"/>
              </w:rPr>
            </w:pPr>
            <w:r>
              <w:rPr>
                <w:rFonts w:ascii="Times New Roman" w:cs="宋体" w:hAnsi="Times New Roman"/>
                <w:kern w:val="0"/>
                <w:sz w:val="18"/>
                <w:szCs w:val="18"/>
                <w:lang w:bidi="ar-SA"/>
              </w:rPr>
              <w:t>30207</w:t>
            </w:r>
          </w:p>
        </w:tc>
        <w:tc>
          <w:tcPr>
            <w:tcW w:w="3119" w:type="dxa"/>
            <w:tcBorders>
              <w:top w:val="nil"/>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kern w:val="0"/>
                <w:sz w:val="18"/>
                <w:szCs w:val="18"/>
                <w:lang w:bidi="ar-SA"/>
              </w:rPr>
            </w:pPr>
            <w:r>
              <w:rPr>
                <w:rFonts w:ascii="Times New Roman" w:cs="宋体" w:hAnsi="Times New Roman" w:hint="eastAsia"/>
                <w:kern w:val="0"/>
                <w:sz w:val="18"/>
                <w:szCs w:val="18"/>
                <w:lang w:bidi="ar-SA"/>
              </w:rPr>
              <w:t>邮电费</w:t>
            </w:r>
          </w:p>
        </w:tc>
        <w:tc>
          <w:tcPr>
            <w:tcW w:w="2126"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r>
              <w:rPr>
                <w:rFonts w:ascii="Times New Roman" w:cs="Times New Roman" w:hAnsi="Times New Roman" w:hint="eastAsia"/>
                <w:kern w:val="0"/>
                <w:sz w:val="18"/>
                <w:szCs w:val="18"/>
                <w:lang w:bidi="ar-SA"/>
              </w:rPr>
              <w:t>5.50</w:t>
            </w:r>
          </w:p>
        </w:tc>
        <w:tc>
          <w:tcPr>
            <w:tcW w:w="1985"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p>
        </w:tc>
        <w:tc>
          <w:tcPr>
            <w:tcW w:w="184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r>
              <w:rPr>
                <w:rFonts w:ascii="Times New Roman" w:cs="Times New Roman" w:hAnsi="Times New Roman" w:hint="eastAsia"/>
                <w:kern w:val="0"/>
                <w:sz w:val="18"/>
                <w:szCs w:val="18"/>
                <w:lang w:bidi="ar-SA"/>
              </w:rPr>
              <w:t>5.50</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kern w:val="0"/>
                <w:sz w:val="18"/>
                <w:szCs w:val="18"/>
                <w:lang w:bidi="ar-SA"/>
              </w:rPr>
            </w:pPr>
            <w:r>
              <w:rPr>
                <w:rFonts w:ascii="Times New Roman" w:cs="宋体" w:hAnsi="Times New Roman"/>
                <w:kern w:val="0"/>
                <w:sz w:val="18"/>
                <w:szCs w:val="18"/>
                <w:lang w:bidi="ar-SA"/>
              </w:rPr>
              <w:t>30208</w:t>
            </w:r>
          </w:p>
        </w:tc>
        <w:tc>
          <w:tcPr>
            <w:tcW w:w="3119" w:type="dxa"/>
            <w:tcBorders>
              <w:top w:val="nil"/>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kern w:val="0"/>
                <w:sz w:val="18"/>
                <w:szCs w:val="18"/>
                <w:lang w:bidi="ar-SA"/>
              </w:rPr>
            </w:pPr>
            <w:r>
              <w:rPr>
                <w:rFonts w:ascii="Times New Roman" w:cs="宋体" w:hAnsi="Times New Roman" w:hint="eastAsia"/>
                <w:kern w:val="0"/>
                <w:sz w:val="18"/>
                <w:szCs w:val="18"/>
                <w:lang w:bidi="ar-SA"/>
              </w:rPr>
              <w:t>取暖费</w:t>
            </w:r>
          </w:p>
        </w:tc>
        <w:tc>
          <w:tcPr>
            <w:tcW w:w="2126"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r>
              <w:rPr>
                <w:rFonts w:ascii="Times New Roman" w:cs="Times New Roman" w:hAnsi="Times New Roman" w:hint="eastAsia"/>
                <w:kern w:val="0"/>
                <w:sz w:val="18"/>
                <w:szCs w:val="18"/>
                <w:lang w:bidi="ar-SA"/>
              </w:rPr>
              <w:t>43.00</w:t>
            </w:r>
          </w:p>
        </w:tc>
        <w:tc>
          <w:tcPr>
            <w:tcW w:w="1985"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p>
        </w:tc>
        <w:tc>
          <w:tcPr>
            <w:tcW w:w="184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r>
              <w:rPr>
                <w:rFonts w:ascii="Times New Roman" w:cs="Times New Roman" w:hAnsi="Times New Roman" w:hint="eastAsia"/>
                <w:kern w:val="0"/>
                <w:sz w:val="18"/>
                <w:szCs w:val="18"/>
                <w:lang w:bidi="ar-SA"/>
              </w:rPr>
              <w:t>43.00</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kern w:val="0"/>
                <w:sz w:val="18"/>
                <w:szCs w:val="18"/>
                <w:lang w:bidi="ar-SA"/>
              </w:rPr>
            </w:pPr>
            <w:r>
              <w:rPr>
                <w:rFonts w:ascii="Times New Roman" w:cs="宋体" w:hAnsi="Times New Roman"/>
                <w:kern w:val="0"/>
                <w:sz w:val="18"/>
                <w:szCs w:val="18"/>
                <w:lang w:bidi="ar-SA"/>
              </w:rPr>
              <w:t>30209</w:t>
            </w:r>
          </w:p>
        </w:tc>
        <w:tc>
          <w:tcPr>
            <w:tcW w:w="3119" w:type="dxa"/>
            <w:tcBorders>
              <w:top w:val="nil"/>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kern w:val="0"/>
                <w:sz w:val="18"/>
                <w:szCs w:val="18"/>
                <w:lang w:bidi="ar-SA"/>
              </w:rPr>
            </w:pPr>
            <w:r>
              <w:rPr>
                <w:rFonts w:ascii="Times New Roman" w:cs="宋体" w:hAnsi="Times New Roman" w:hint="eastAsia"/>
                <w:kern w:val="0"/>
                <w:sz w:val="18"/>
                <w:szCs w:val="18"/>
                <w:lang w:bidi="ar-SA"/>
              </w:rPr>
              <w:t>物业管理费</w:t>
            </w:r>
          </w:p>
        </w:tc>
        <w:tc>
          <w:tcPr>
            <w:tcW w:w="2126"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r>
              <w:rPr>
                <w:rFonts w:ascii="Times New Roman" w:cs="Times New Roman" w:hAnsi="Times New Roman" w:hint="eastAsia"/>
                <w:kern w:val="0"/>
                <w:sz w:val="18"/>
                <w:szCs w:val="18"/>
                <w:lang w:bidi="ar-SA"/>
              </w:rPr>
              <w:t>95.00</w:t>
            </w:r>
          </w:p>
        </w:tc>
        <w:tc>
          <w:tcPr>
            <w:tcW w:w="1985"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p>
        </w:tc>
        <w:tc>
          <w:tcPr>
            <w:tcW w:w="184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r>
              <w:rPr>
                <w:rFonts w:ascii="Times New Roman" w:cs="Times New Roman" w:hAnsi="Times New Roman" w:hint="eastAsia"/>
                <w:kern w:val="0"/>
                <w:sz w:val="18"/>
                <w:szCs w:val="18"/>
                <w:lang w:bidi="ar-SA"/>
              </w:rPr>
              <w:t>95.00</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kern w:val="0"/>
                <w:sz w:val="18"/>
                <w:szCs w:val="18"/>
                <w:lang w:bidi="ar-SA"/>
              </w:rPr>
            </w:pPr>
            <w:r>
              <w:rPr>
                <w:rFonts w:ascii="Times New Roman" w:cs="宋体" w:hAnsi="Times New Roman"/>
                <w:kern w:val="0"/>
                <w:sz w:val="18"/>
                <w:szCs w:val="18"/>
                <w:lang w:bidi="ar-SA"/>
              </w:rPr>
              <w:t>30218</w:t>
            </w:r>
          </w:p>
        </w:tc>
        <w:tc>
          <w:tcPr>
            <w:tcW w:w="3119" w:type="dxa"/>
            <w:tcBorders>
              <w:top w:val="nil"/>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kern w:val="0"/>
                <w:sz w:val="18"/>
                <w:szCs w:val="18"/>
                <w:lang w:bidi="ar-SA"/>
              </w:rPr>
            </w:pPr>
            <w:r>
              <w:rPr>
                <w:rFonts w:ascii="Times New Roman" w:cs="宋体" w:hAnsi="Times New Roman" w:hint="eastAsia"/>
                <w:kern w:val="0"/>
                <w:sz w:val="18"/>
                <w:szCs w:val="18"/>
                <w:lang w:bidi="ar-SA"/>
              </w:rPr>
              <w:t>专用材料费</w:t>
            </w:r>
          </w:p>
        </w:tc>
        <w:tc>
          <w:tcPr>
            <w:tcW w:w="2126"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r>
              <w:rPr>
                <w:rFonts w:ascii="Times New Roman" w:cs="Times New Roman" w:hAnsi="Times New Roman" w:hint="eastAsia"/>
                <w:kern w:val="0"/>
                <w:sz w:val="18"/>
                <w:szCs w:val="18"/>
                <w:lang w:bidi="ar-SA"/>
              </w:rPr>
              <w:t>0.50</w:t>
            </w:r>
          </w:p>
        </w:tc>
        <w:tc>
          <w:tcPr>
            <w:tcW w:w="1985"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p>
        </w:tc>
        <w:tc>
          <w:tcPr>
            <w:tcW w:w="184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r>
              <w:rPr>
                <w:rFonts w:ascii="Times New Roman" w:cs="Times New Roman" w:hAnsi="Times New Roman" w:hint="eastAsia"/>
                <w:kern w:val="0"/>
                <w:sz w:val="18"/>
                <w:szCs w:val="18"/>
                <w:lang w:bidi="ar-SA"/>
              </w:rPr>
              <w:t>0.50</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kern w:val="0"/>
                <w:sz w:val="18"/>
                <w:szCs w:val="18"/>
                <w:lang w:bidi="ar-SA"/>
              </w:rPr>
            </w:pPr>
            <w:r>
              <w:rPr>
                <w:rFonts w:ascii="Times New Roman" w:cs="宋体" w:hAnsi="Times New Roman"/>
                <w:kern w:val="0"/>
                <w:sz w:val="18"/>
                <w:szCs w:val="18"/>
                <w:lang w:bidi="ar-SA"/>
              </w:rPr>
              <w:t>30227</w:t>
            </w:r>
          </w:p>
        </w:tc>
        <w:tc>
          <w:tcPr>
            <w:tcW w:w="3119" w:type="dxa"/>
            <w:tcBorders>
              <w:top w:val="nil"/>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kern w:val="0"/>
                <w:sz w:val="18"/>
                <w:szCs w:val="18"/>
                <w:lang w:bidi="ar-SA"/>
              </w:rPr>
            </w:pPr>
            <w:r>
              <w:rPr>
                <w:rFonts w:ascii="Times New Roman" w:cs="宋体" w:hAnsi="Times New Roman" w:hint="eastAsia"/>
                <w:kern w:val="0"/>
                <w:sz w:val="18"/>
                <w:szCs w:val="18"/>
                <w:lang w:bidi="ar-SA"/>
              </w:rPr>
              <w:t>委托业务费</w:t>
            </w:r>
          </w:p>
        </w:tc>
        <w:tc>
          <w:tcPr>
            <w:tcW w:w="2126"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r>
              <w:rPr>
                <w:rFonts w:ascii="Times New Roman" w:cs="Times New Roman" w:hAnsi="Times New Roman" w:hint="eastAsia"/>
                <w:kern w:val="0"/>
                <w:sz w:val="18"/>
                <w:szCs w:val="18"/>
                <w:lang w:bidi="ar-SA"/>
              </w:rPr>
              <w:t>1.00</w:t>
            </w:r>
          </w:p>
        </w:tc>
        <w:tc>
          <w:tcPr>
            <w:tcW w:w="1985"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p>
        </w:tc>
        <w:tc>
          <w:tcPr>
            <w:tcW w:w="184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r>
              <w:rPr>
                <w:rFonts w:ascii="Times New Roman" w:cs="Times New Roman" w:hAnsi="Times New Roman" w:hint="eastAsia"/>
                <w:kern w:val="0"/>
                <w:sz w:val="18"/>
                <w:szCs w:val="18"/>
                <w:lang w:bidi="ar-SA"/>
              </w:rPr>
              <w:t>1.00</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kern w:val="0"/>
                <w:sz w:val="18"/>
                <w:szCs w:val="18"/>
                <w:lang w:bidi="ar-SA"/>
              </w:rPr>
            </w:pPr>
            <w:r>
              <w:rPr>
                <w:rFonts w:ascii="Times New Roman" w:cs="宋体" w:hAnsi="Times New Roman"/>
                <w:kern w:val="0"/>
                <w:sz w:val="18"/>
                <w:szCs w:val="18"/>
                <w:lang w:bidi="ar-SA"/>
              </w:rPr>
              <w:t>30228</w:t>
            </w:r>
          </w:p>
        </w:tc>
        <w:tc>
          <w:tcPr>
            <w:tcW w:w="3119" w:type="dxa"/>
            <w:tcBorders>
              <w:top w:val="nil"/>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kern w:val="0"/>
                <w:sz w:val="18"/>
                <w:szCs w:val="18"/>
                <w:lang w:bidi="ar-SA"/>
              </w:rPr>
            </w:pPr>
            <w:r>
              <w:rPr>
                <w:rFonts w:ascii="Times New Roman" w:cs="宋体" w:hAnsi="Times New Roman" w:hint="eastAsia"/>
                <w:kern w:val="0"/>
                <w:sz w:val="18"/>
                <w:szCs w:val="18"/>
                <w:lang w:bidi="ar-SA"/>
              </w:rPr>
              <w:t>工会经费</w:t>
            </w:r>
          </w:p>
        </w:tc>
        <w:tc>
          <w:tcPr>
            <w:tcW w:w="2126"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r>
              <w:rPr>
                <w:rFonts w:ascii="Times New Roman" w:cs="Times New Roman" w:hAnsi="Times New Roman" w:hint="eastAsia"/>
                <w:kern w:val="0"/>
                <w:sz w:val="18"/>
                <w:szCs w:val="18"/>
                <w:lang w:bidi="ar-SA"/>
              </w:rPr>
              <w:t>9.00</w:t>
            </w:r>
          </w:p>
        </w:tc>
        <w:tc>
          <w:tcPr>
            <w:tcW w:w="1985"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p>
        </w:tc>
        <w:tc>
          <w:tcPr>
            <w:tcW w:w="184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r>
              <w:rPr>
                <w:rFonts w:ascii="Times New Roman" w:cs="Times New Roman" w:hAnsi="Times New Roman" w:hint="eastAsia"/>
                <w:kern w:val="0"/>
                <w:sz w:val="18"/>
                <w:szCs w:val="18"/>
                <w:lang w:bidi="ar-SA"/>
              </w:rPr>
              <w:t>9.00</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kern w:val="0"/>
                <w:sz w:val="18"/>
                <w:szCs w:val="18"/>
                <w:lang w:bidi="ar-SA"/>
              </w:rPr>
            </w:pPr>
            <w:r>
              <w:rPr>
                <w:rFonts w:ascii="Times New Roman" w:cs="宋体" w:hAnsi="Times New Roman"/>
                <w:kern w:val="0"/>
                <w:sz w:val="18"/>
                <w:szCs w:val="18"/>
                <w:lang w:bidi="ar-SA"/>
              </w:rPr>
              <w:t>30229</w:t>
            </w:r>
          </w:p>
        </w:tc>
        <w:tc>
          <w:tcPr>
            <w:tcW w:w="3119" w:type="dxa"/>
            <w:tcBorders>
              <w:top w:val="nil"/>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kern w:val="0"/>
                <w:sz w:val="18"/>
                <w:szCs w:val="18"/>
                <w:lang w:bidi="ar-SA"/>
              </w:rPr>
            </w:pPr>
            <w:r>
              <w:rPr>
                <w:rFonts w:ascii="Times New Roman" w:cs="宋体" w:hAnsi="Times New Roman" w:hint="eastAsia"/>
                <w:kern w:val="0"/>
                <w:sz w:val="18"/>
                <w:szCs w:val="18"/>
                <w:lang w:bidi="ar-SA"/>
              </w:rPr>
              <w:t>福利费</w:t>
            </w:r>
          </w:p>
        </w:tc>
        <w:tc>
          <w:tcPr>
            <w:tcW w:w="2126"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r>
              <w:rPr>
                <w:rFonts w:ascii="Times New Roman" w:cs="Times New Roman" w:hAnsi="Times New Roman" w:hint="eastAsia"/>
                <w:kern w:val="0"/>
                <w:sz w:val="18"/>
                <w:szCs w:val="18"/>
                <w:lang w:bidi="ar-SA"/>
              </w:rPr>
              <w:t>14.00</w:t>
            </w:r>
          </w:p>
        </w:tc>
        <w:tc>
          <w:tcPr>
            <w:tcW w:w="1985"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p>
        </w:tc>
        <w:tc>
          <w:tcPr>
            <w:tcW w:w="184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r>
              <w:rPr>
                <w:rFonts w:ascii="Times New Roman" w:cs="Times New Roman" w:hAnsi="Times New Roman" w:hint="eastAsia"/>
                <w:kern w:val="0"/>
                <w:sz w:val="18"/>
                <w:szCs w:val="18"/>
                <w:lang w:bidi="ar-SA"/>
              </w:rPr>
              <w:t>14.00</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kern w:val="0"/>
                <w:sz w:val="18"/>
                <w:szCs w:val="18"/>
                <w:lang w:bidi="ar-SA"/>
              </w:rPr>
            </w:pPr>
            <w:r>
              <w:rPr>
                <w:rFonts w:ascii="Times New Roman" w:cs="宋体" w:hAnsi="Times New Roman"/>
                <w:kern w:val="0"/>
                <w:sz w:val="18"/>
                <w:szCs w:val="18"/>
                <w:lang w:bidi="ar-SA"/>
              </w:rPr>
              <w:t>30231</w:t>
            </w:r>
          </w:p>
        </w:tc>
        <w:tc>
          <w:tcPr>
            <w:tcW w:w="3119" w:type="dxa"/>
            <w:tcBorders>
              <w:top w:val="nil"/>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kern w:val="0"/>
                <w:sz w:val="18"/>
                <w:szCs w:val="18"/>
                <w:lang w:bidi="ar-SA"/>
              </w:rPr>
            </w:pPr>
            <w:r>
              <w:rPr>
                <w:rFonts w:ascii="Times New Roman" w:cs="宋体" w:hAnsi="Times New Roman" w:hint="eastAsia"/>
                <w:kern w:val="0"/>
                <w:sz w:val="18"/>
                <w:szCs w:val="18"/>
                <w:lang w:bidi="ar-SA"/>
              </w:rPr>
              <w:t>公务用车运行维护费</w:t>
            </w:r>
          </w:p>
        </w:tc>
        <w:tc>
          <w:tcPr>
            <w:tcW w:w="2126"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r>
              <w:rPr>
                <w:rFonts w:ascii="Times New Roman" w:cs="Times New Roman" w:hAnsi="Times New Roman" w:hint="eastAsia"/>
                <w:kern w:val="0"/>
                <w:sz w:val="18"/>
                <w:szCs w:val="18"/>
                <w:lang w:bidi="ar-SA"/>
              </w:rPr>
              <w:t>2.20</w:t>
            </w:r>
          </w:p>
        </w:tc>
        <w:tc>
          <w:tcPr>
            <w:tcW w:w="1985"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p>
        </w:tc>
        <w:tc>
          <w:tcPr>
            <w:tcW w:w="184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r>
              <w:rPr>
                <w:rFonts w:ascii="Times New Roman" w:cs="Times New Roman" w:hAnsi="Times New Roman" w:hint="eastAsia"/>
                <w:kern w:val="0"/>
                <w:sz w:val="18"/>
                <w:szCs w:val="18"/>
                <w:lang w:bidi="ar-SA"/>
              </w:rPr>
              <w:t>2.20</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kern w:val="0"/>
                <w:sz w:val="18"/>
                <w:szCs w:val="18"/>
                <w:lang w:bidi="ar-SA"/>
              </w:rPr>
            </w:pPr>
            <w:r>
              <w:rPr>
                <w:rFonts w:ascii="Times New Roman" w:cs="宋体" w:hAnsi="Times New Roman"/>
                <w:kern w:val="0"/>
                <w:sz w:val="18"/>
                <w:szCs w:val="18"/>
                <w:lang w:bidi="ar-SA"/>
              </w:rPr>
              <w:t>30239</w:t>
            </w:r>
          </w:p>
        </w:tc>
        <w:tc>
          <w:tcPr>
            <w:tcW w:w="3119" w:type="dxa"/>
            <w:tcBorders>
              <w:top w:val="nil"/>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kern w:val="0"/>
                <w:sz w:val="18"/>
                <w:szCs w:val="18"/>
                <w:lang w:bidi="ar-SA"/>
              </w:rPr>
            </w:pPr>
            <w:r>
              <w:rPr>
                <w:rFonts w:ascii="Times New Roman" w:cs="宋体" w:hAnsi="Times New Roman" w:hint="eastAsia"/>
                <w:kern w:val="0"/>
                <w:sz w:val="18"/>
                <w:szCs w:val="18"/>
                <w:lang w:bidi="ar-SA"/>
              </w:rPr>
              <w:t>其他交通费用</w:t>
            </w:r>
          </w:p>
        </w:tc>
        <w:tc>
          <w:tcPr>
            <w:tcW w:w="2126"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r>
              <w:rPr>
                <w:rFonts w:ascii="Times New Roman" w:cs="Times New Roman" w:hAnsi="Times New Roman" w:hint="eastAsia"/>
                <w:kern w:val="0"/>
                <w:sz w:val="18"/>
                <w:szCs w:val="18"/>
                <w:lang w:bidi="ar-SA"/>
              </w:rPr>
              <w:t>30.70</w:t>
            </w:r>
          </w:p>
        </w:tc>
        <w:tc>
          <w:tcPr>
            <w:tcW w:w="1985"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p>
        </w:tc>
        <w:tc>
          <w:tcPr>
            <w:tcW w:w="184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r>
              <w:rPr>
                <w:rFonts w:ascii="Times New Roman" w:cs="Times New Roman" w:hAnsi="Times New Roman" w:hint="eastAsia"/>
                <w:kern w:val="0"/>
                <w:sz w:val="18"/>
                <w:szCs w:val="18"/>
                <w:lang w:bidi="ar-SA"/>
              </w:rPr>
              <w:t>30.70</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kern w:val="0"/>
                <w:sz w:val="18"/>
                <w:szCs w:val="18"/>
                <w:lang w:bidi="ar-SA"/>
              </w:rPr>
            </w:pPr>
            <w:r>
              <w:rPr>
                <w:rFonts w:ascii="Times New Roman" w:cs="宋体" w:hAnsi="Times New Roman"/>
                <w:kern w:val="0"/>
                <w:sz w:val="18"/>
                <w:szCs w:val="18"/>
                <w:lang w:bidi="ar-SA"/>
              </w:rPr>
              <w:t>30299</w:t>
            </w:r>
          </w:p>
        </w:tc>
        <w:tc>
          <w:tcPr>
            <w:tcW w:w="3119" w:type="dxa"/>
            <w:tcBorders>
              <w:top w:val="nil"/>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kern w:val="0"/>
                <w:sz w:val="18"/>
                <w:szCs w:val="18"/>
                <w:lang w:bidi="ar-SA"/>
              </w:rPr>
            </w:pPr>
            <w:r>
              <w:rPr>
                <w:rFonts w:ascii="Times New Roman" w:cs="宋体" w:hAnsi="Times New Roman" w:hint="eastAsia"/>
                <w:kern w:val="0"/>
                <w:sz w:val="18"/>
                <w:szCs w:val="18"/>
                <w:lang w:bidi="ar-SA"/>
              </w:rPr>
              <w:t>其他商品和服务支出</w:t>
            </w:r>
          </w:p>
        </w:tc>
        <w:tc>
          <w:tcPr>
            <w:tcW w:w="2126"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r>
              <w:rPr>
                <w:rFonts w:ascii="Times New Roman" w:cs="Times New Roman" w:hAnsi="Times New Roman" w:hint="eastAsia"/>
                <w:kern w:val="0"/>
                <w:sz w:val="18"/>
                <w:szCs w:val="18"/>
                <w:lang w:bidi="ar-SA"/>
              </w:rPr>
              <w:t>0.08</w:t>
            </w:r>
          </w:p>
        </w:tc>
        <w:tc>
          <w:tcPr>
            <w:tcW w:w="1985"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p>
        </w:tc>
        <w:tc>
          <w:tcPr>
            <w:tcW w:w="184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r>
              <w:rPr>
                <w:rFonts w:ascii="Times New Roman" w:cs="Times New Roman" w:hAnsi="Times New Roman" w:hint="eastAsia"/>
                <w:kern w:val="0"/>
                <w:sz w:val="18"/>
                <w:szCs w:val="18"/>
                <w:lang w:bidi="ar-SA"/>
              </w:rPr>
              <w:t>0.08</w:t>
            </w: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b/>
                <w:bCs/>
                <w:kern w:val="0"/>
                <w:sz w:val="18"/>
                <w:szCs w:val="18"/>
                <w:lang w:bidi="ar-SA"/>
              </w:rPr>
            </w:pPr>
            <w:r>
              <w:rPr>
                <w:rFonts w:ascii="Times New Roman" w:cs="宋体" w:hAnsi="Times New Roman"/>
                <w:b/>
                <w:bCs/>
                <w:kern w:val="0"/>
                <w:sz w:val="18"/>
                <w:szCs w:val="18"/>
                <w:lang w:bidi="ar-SA"/>
              </w:rPr>
              <w:t>303</w:t>
            </w:r>
          </w:p>
        </w:tc>
        <w:tc>
          <w:tcPr>
            <w:tcW w:w="3119" w:type="dxa"/>
            <w:tcBorders>
              <w:top w:val="nil"/>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b/>
                <w:bCs/>
                <w:kern w:val="0"/>
                <w:sz w:val="18"/>
                <w:szCs w:val="18"/>
                <w:lang w:bidi="ar-SA"/>
              </w:rPr>
            </w:pPr>
            <w:r>
              <w:rPr>
                <w:rFonts w:ascii="Times New Roman" w:cs="宋体" w:hAnsi="Times New Roman" w:hint="eastAsia"/>
                <w:b/>
                <w:bCs/>
                <w:kern w:val="0"/>
                <w:sz w:val="18"/>
                <w:szCs w:val="18"/>
                <w:lang w:bidi="ar-SA"/>
              </w:rPr>
              <w:t>对个人和家庭的补助</w:t>
            </w:r>
          </w:p>
        </w:tc>
        <w:tc>
          <w:tcPr>
            <w:tcW w:w="2126"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kern w:val="0"/>
                <w:sz w:val="18"/>
                <w:szCs w:val="18"/>
                <w:lang w:bidi="ar-SA"/>
              </w:rPr>
            </w:pPr>
            <w:r>
              <w:rPr>
                <w:rFonts w:ascii="Times New Roman" w:cs="Times New Roman" w:hAnsi="Times New Roman" w:hint="eastAsia"/>
                <w:b/>
                <w:bCs/>
                <w:kern w:val="0"/>
                <w:sz w:val="18"/>
                <w:szCs w:val="18"/>
                <w:lang w:bidi="ar-SA"/>
              </w:rPr>
              <w:t>0.34</w:t>
            </w:r>
          </w:p>
        </w:tc>
        <w:tc>
          <w:tcPr>
            <w:tcW w:w="1985"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b/>
                <w:bCs/>
                <w:kern w:val="0"/>
                <w:sz w:val="18"/>
                <w:szCs w:val="18"/>
                <w:lang w:bidi="ar-SA"/>
              </w:rPr>
            </w:pPr>
            <w:r>
              <w:rPr>
                <w:rFonts w:ascii="Times New Roman" w:cs="Times New Roman" w:hAnsi="Times New Roman" w:hint="eastAsia"/>
                <w:b/>
                <w:bCs/>
                <w:kern w:val="0"/>
                <w:sz w:val="18"/>
                <w:szCs w:val="18"/>
                <w:lang w:bidi="ar-SA"/>
              </w:rPr>
              <w:t>0.34</w:t>
            </w:r>
          </w:p>
        </w:tc>
        <w:tc>
          <w:tcPr>
            <w:tcW w:w="1842" w:type="dxa"/>
            <w:tcBorders>
              <w:top w:val="nil"/>
              <w:left w:val="nil"/>
              <w:bottom w:val="single" w:sz="4" w:space="0" w:color="auto"/>
              <w:right w:val="single" w:sz="4" w:space="0" w:color="auto"/>
            </w:tcBorders>
            <w:shd w:val="clear" w:color="auto" w:fill="auto"/>
            <w:noWrap/>
            <w:vAlign w:val="center"/>
          </w:tcPr>
          <w:p>
            <w:pPr>
              <w:autoSpaceDN w:val="0"/>
              <w:jc w:val="right"/>
              <w:rPr>
                <w:rFonts w:ascii="宋体" w:cs="宋体"/>
                <w:b/>
                <w:bCs/>
                <w:color w:val="000000"/>
                <w:sz w:val="16"/>
                <w:szCs w:val="16"/>
                <w:lang w:bidi="ar-SA"/>
              </w:rPr>
            </w:pPr>
          </w:p>
        </w:tc>
      </w:tr>
      <w:tr>
        <w:trPr>
          <w:trHeight w:val="360"/>
        </w:trPr>
        <w:tc>
          <w:tcPr>
            <w:tcW w:w="993"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kern w:val="0"/>
                <w:sz w:val="18"/>
                <w:szCs w:val="18"/>
                <w:lang w:bidi="ar-SA"/>
              </w:rPr>
            </w:pPr>
            <w:r>
              <w:rPr>
                <w:rFonts w:ascii="Times New Roman" w:cs="宋体" w:hAnsi="Times New Roman"/>
                <w:kern w:val="0"/>
                <w:sz w:val="18"/>
                <w:szCs w:val="18"/>
                <w:lang w:bidi="ar-SA"/>
              </w:rPr>
              <w:t>30302</w:t>
            </w:r>
          </w:p>
        </w:tc>
        <w:tc>
          <w:tcPr>
            <w:tcW w:w="3119" w:type="dxa"/>
            <w:tcBorders>
              <w:top w:val="nil"/>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kern w:val="0"/>
                <w:sz w:val="18"/>
                <w:szCs w:val="18"/>
                <w:lang w:bidi="ar-SA"/>
              </w:rPr>
            </w:pPr>
            <w:r>
              <w:rPr>
                <w:rFonts w:ascii="Times New Roman" w:cs="宋体" w:hAnsi="Times New Roman" w:hint="eastAsia"/>
                <w:kern w:val="0"/>
                <w:sz w:val="18"/>
                <w:szCs w:val="18"/>
                <w:lang w:bidi="ar-SA"/>
              </w:rPr>
              <w:t>退休费</w:t>
            </w:r>
          </w:p>
        </w:tc>
        <w:tc>
          <w:tcPr>
            <w:tcW w:w="2126"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r>
              <w:rPr>
                <w:rFonts w:ascii="Times New Roman" w:cs="Times New Roman" w:hAnsi="Times New Roman" w:hint="eastAsia"/>
                <w:kern w:val="0"/>
                <w:sz w:val="18"/>
                <w:szCs w:val="18"/>
                <w:lang w:bidi="ar-SA"/>
              </w:rPr>
              <w:t>0.34</w:t>
            </w:r>
          </w:p>
        </w:tc>
        <w:tc>
          <w:tcPr>
            <w:tcW w:w="1985"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18"/>
                <w:szCs w:val="18"/>
                <w:lang w:bidi="ar-SA"/>
              </w:rPr>
            </w:pPr>
            <w:r>
              <w:rPr>
                <w:rFonts w:ascii="Times New Roman" w:cs="Times New Roman" w:hAnsi="Times New Roman" w:hint="eastAsia"/>
                <w:kern w:val="0"/>
                <w:sz w:val="18"/>
                <w:szCs w:val="18"/>
                <w:lang w:bidi="ar-SA"/>
              </w:rPr>
              <w:t>0.34</w:t>
            </w:r>
          </w:p>
        </w:tc>
        <w:tc>
          <w:tcPr>
            <w:tcW w:w="1842" w:type="dxa"/>
            <w:tcBorders>
              <w:top w:val="nil"/>
              <w:left w:val="nil"/>
              <w:bottom w:val="single" w:sz="4" w:space="0" w:color="auto"/>
              <w:right w:val="single" w:sz="4" w:space="0" w:color="auto"/>
            </w:tcBorders>
            <w:shd w:val="clear" w:color="auto" w:fill="auto"/>
            <w:noWrap/>
            <w:vAlign w:val="center"/>
          </w:tcPr>
          <w:p>
            <w:pPr>
              <w:autoSpaceDN w:val="0"/>
              <w:jc w:val="right"/>
              <w:rPr>
                <w:rFonts w:ascii="宋体" w:cs="宋体"/>
                <w:color w:val="000000"/>
                <w:sz w:val="16"/>
                <w:szCs w:val="16"/>
                <w:lang w:bidi="ar-SA"/>
              </w:rPr>
            </w:pPr>
          </w:p>
        </w:tc>
      </w:tr>
      <w:tr>
        <w:trPr>
          <w:trHeight w:val="360"/>
        </w:trPr>
        <w:tc>
          <w:tcPr>
            <w:tcW w:w="4112" w:type="dxa"/>
            <w:gridSpan w:val="2"/>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center"/>
              <w:rPr>
                <w:rFonts w:ascii="Times New Roman" w:cs="宋体" w:hAnsi="Times New Roman"/>
                <w:b/>
                <w:bCs/>
                <w:kern w:val="0"/>
                <w:sz w:val="18"/>
                <w:szCs w:val="18"/>
                <w:lang w:bidi="ar-SA"/>
              </w:rPr>
            </w:pPr>
            <w:r>
              <w:rPr>
                <w:rFonts w:ascii="Times New Roman" w:cs="宋体" w:hAnsi="Times New Roman" w:hint="eastAsia"/>
                <w:b/>
                <w:bCs/>
                <w:kern w:val="0"/>
                <w:sz w:val="18"/>
                <w:szCs w:val="18"/>
                <w:lang w:bidi="ar-SA"/>
              </w:rPr>
              <w:t>合</w:t>
            </w:r>
            <w:r>
              <w:rPr>
                <w:rFonts w:ascii="Times New Roman" w:cs="宋体" w:hAnsi="Times New Roman"/>
                <w:b/>
                <w:bCs/>
                <w:kern w:val="0"/>
                <w:sz w:val="18"/>
                <w:szCs w:val="18"/>
                <w:lang w:bidi="ar-SA"/>
              </w:rPr>
              <w:t xml:space="preserve">  </w:t>
            </w:r>
            <w:r>
              <w:rPr>
                <w:rFonts w:ascii="Times New Roman" w:cs="宋体" w:hAnsi="Times New Roman" w:hint="eastAsia"/>
                <w:b/>
                <w:bCs/>
                <w:kern w:val="0"/>
                <w:sz w:val="18"/>
                <w:szCs w:val="18"/>
                <w:lang w:bidi="ar-SA"/>
              </w:rPr>
              <w:t>计</w:t>
            </w:r>
          </w:p>
        </w:tc>
        <w:tc>
          <w:tcPr>
            <w:tcW w:w="2126" w:type="dxa"/>
            <w:tcBorders>
              <w:top w:val="nil"/>
              <w:left w:val="nil"/>
              <w:bottom w:val="single" w:sz="4" w:space="0" w:color="auto"/>
              <w:right w:val="single" w:sz="4" w:space="0" w:color="auto"/>
            </w:tcBorders>
            <w:shd w:val="clear" w:color="auto" w:fill="auto"/>
            <w:noWrap/>
            <w:vAlign w:val="center"/>
          </w:tcPr>
          <w:p>
            <w:pPr>
              <w:autoSpaceDN w:val="0"/>
              <w:jc w:val="right"/>
              <w:rPr>
                <w:rFonts w:ascii="Times New Roman" w:cs="Times New Roman" w:hAnsi="Times New Roman"/>
                <w:b/>
                <w:bCs/>
                <w:kern w:val="0"/>
                <w:sz w:val="18"/>
                <w:szCs w:val="18"/>
                <w:lang w:bidi="ar-SA"/>
              </w:rPr>
            </w:pPr>
            <w:r>
              <w:rPr>
                <w:rFonts w:ascii="Times New Roman" w:cs="Times New Roman" w:hAnsi="Times New Roman" w:hint="eastAsia"/>
                <w:b/>
                <w:bCs/>
                <w:kern w:val="0"/>
                <w:sz w:val="18"/>
                <w:szCs w:val="18"/>
                <w:lang w:bidi="ar-SA"/>
              </w:rPr>
              <w:t>717.29</w:t>
            </w:r>
          </w:p>
        </w:tc>
        <w:tc>
          <w:tcPr>
            <w:tcW w:w="1985" w:type="dxa"/>
            <w:tcBorders>
              <w:top w:val="nil"/>
              <w:left w:val="nil"/>
              <w:bottom w:val="single" w:sz="4" w:space="0" w:color="auto"/>
              <w:right w:val="single" w:sz="4" w:space="0" w:color="auto"/>
            </w:tcBorders>
            <w:shd w:val="clear" w:color="auto" w:fill="auto"/>
            <w:noWrap/>
            <w:vAlign w:val="center"/>
          </w:tcPr>
          <w:p>
            <w:pPr>
              <w:autoSpaceDN w:val="0"/>
              <w:jc w:val="right"/>
              <w:rPr>
                <w:rFonts w:ascii="Times New Roman" w:cs="Times New Roman" w:hAnsi="Times New Roman"/>
                <w:b/>
                <w:bCs/>
                <w:kern w:val="0"/>
                <w:sz w:val="18"/>
                <w:szCs w:val="18"/>
                <w:lang w:bidi="ar-SA"/>
              </w:rPr>
            </w:pPr>
            <w:r>
              <w:rPr>
                <w:rFonts w:ascii="Times New Roman" w:cs="Times New Roman" w:hAnsi="Times New Roman" w:hint="eastAsia"/>
                <w:b/>
                <w:bCs/>
                <w:kern w:val="0"/>
                <w:sz w:val="18"/>
                <w:szCs w:val="18"/>
                <w:lang w:bidi="ar-SA"/>
              </w:rPr>
              <w:t>499.35</w:t>
            </w:r>
          </w:p>
        </w:tc>
        <w:tc>
          <w:tcPr>
            <w:tcW w:w="1842" w:type="dxa"/>
            <w:tcBorders>
              <w:top w:val="nil"/>
              <w:left w:val="nil"/>
              <w:bottom w:val="single" w:sz="4" w:space="0" w:color="auto"/>
              <w:right w:val="single" w:sz="4" w:space="0" w:color="auto"/>
            </w:tcBorders>
            <w:shd w:val="clear" w:color="auto" w:fill="auto"/>
            <w:noWrap/>
            <w:vAlign w:val="center"/>
          </w:tcPr>
          <w:p>
            <w:pPr>
              <w:autoSpaceDN w:val="0"/>
              <w:jc w:val="right"/>
              <w:rPr>
                <w:rFonts w:ascii="Times New Roman" w:cs="Times New Roman" w:hAnsi="Times New Roman"/>
                <w:b/>
                <w:bCs/>
                <w:kern w:val="0"/>
                <w:sz w:val="18"/>
                <w:szCs w:val="18"/>
                <w:lang w:bidi="ar-SA"/>
              </w:rPr>
            </w:pPr>
            <w:r>
              <w:rPr>
                <w:rFonts w:ascii="Times New Roman" w:cs="Times New Roman" w:hAnsi="Times New Roman" w:hint="eastAsia"/>
                <w:b/>
                <w:bCs/>
                <w:kern w:val="0"/>
                <w:sz w:val="18"/>
                <w:szCs w:val="18"/>
                <w:lang w:bidi="ar-SA"/>
              </w:rPr>
              <w:t>217.94</w:t>
            </w:r>
          </w:p>
        </w:tc>
      </w:tr>
    </w:tbl>
    <w:p>
      <w:pPr>
        <w:widowControl/>
        <w:jc w:val="left"/>
        <w:rPr>
          <w:rFonts w:ascii="宋体" w:cs="宋体"/>
          <w:kern w:val="0"/>
          <w:sz w:val="24"/>
          <w:szCs w:val="24"/>
        </w:rPr>
        <w:sectPr>
          <w:pgSz w:w="11906" w:h="16838"/>
          <w:pgMar w:top="1440" w:right="1800" w:bottom="1440" w:left="1800" w:header="851" w:footer="992" w:gutter="0"/>
          <w:docGrid w:type="lines" w:linePitch="312" w:charSpace="0"/>
        </w:sectPr>
      </w:pPr>
    </w:p>
    <w:tbl>
      <w:tblPr>
        <w:jc w:val="center"/>
        <w:tblW w:w="13892"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977"/>
        <w:gridCol w:w="3402"/>
        <w:gridCol w:w="2552"/>
        <w:gridCol w:w="2551"/>
        <w:gridCol w:w="2410"/>
      </w:tblGrid>
      <w:tr>
        <w:trPr>
          <w:trHeight w:val="315"/>
        </w:trPr>
        <w:tc>
          <w:tcPr>
            <w:tcW w:w="2977" w:type="dxa"/>
            <w:tcBorders>
              <w:top w:val="nil"/>
              <w:left w:val="nil"/>
              <w:bottom w:val="nil"/>
              <w:right w:val="nil"/>
            </w:tcBorders>
            <w:shd w:val="clear" w:color="auto" w:fill="auto"/>
            <w:vAlign w:val="center"/>
          </w:tcPr>
          <w:p>
            <w:pPr>
              <w:widowControl/>
              <w:autoSpaceDN w:val="0"/>
              <w:jc w:val="left"/>
              <w:rPr>
                <w:rFonts w:ascii="Times New Roman" w:cs="宋体" w:hAnsi="Times New Roman"/>
                <w:kern w:val="0"/>
                <w:sz w:val="24"/>
                <w:szCs w:val="24"/>
                <w:lang w:bidi="ar-SA"/>
              </w:rPr>
            </w:pPr>
          </w:p>
        </w:tc>
        <w:tc>
          <w:tcPr>
            <w:tcW w:w="3402" w:type="dxa"/>
            <w:tcBorders>
              <w:top w:val="nil"/>
              <w:left w:val="nil"/>
              <w:bottom w:val="nil"/>
              <w:right w:val="nil"/>
            </w:tcBorders>
            <w:shd w:val="clear" w:color="auto" w:fill="auto"/>
            <w:vAlign w:val="center"/>
          </w:tcPr>
          <w:p>
            <w:pPr>
              <w:widowControl/>
              <w:autoSpaceDN w:val="0"/>
              <w:jc w:val="left"/>
              <w:rPr>
                <w:rFonts w:ascii="Times New Roman" w:eastAsia="Times New Roman" w:cs="Times New Roman" w:hAnsi="Times New Roman"/>
                <w:kern w:val="0"/>
                <w:sz w:val="20"/>
                <w:szCs w:val="20"/>
                <w:lang w:bidi="ar-SA"/>
              </w:rPr>
            </w:pPr>
          </w:p>
        </w:tc>
        <w:tc>
          <w:tcPr>
            <w:tcW w:w="2552" w:type="dxa"/>
            <w:tcBorders>
              <w:top w:val="nil"/>
              <w:left w:val="nil"/>
              <w:bottom w:val="nil"/>
              <w:right w:val="nil"/>
            </w:tcBorders>
            <w:shd w:val="clear" w:color="auto" w:fill="auto"/>
            <w:vAlign w:val="center"/>
          </w:tcPr>
          <w:p>
            <w:pPr>
              <w:widowControl/>
              <w:autoSpaceDN w:val="0"/>
              <w:jc w:val="left"/>
              <w:rPr>
                <w:rFonts w:ascii="Times New Roman" w:eastAsia="Times New Roman" w:cs="Times New Roman" w:hAnsi="Times New Roman"/>
                <w:kern w:val="0"/>
                <w:sz w:val="20"/>
                <w:szCs w:val="20"/>
                <w:lang w:bidi="ar-SA"/>
              </w:rPr>
            </w:pPr>
          </w:p>
        </w:tc>
        <w:tc>
          <w:tcPr>
            <w:tcW w:w="2551" w:type="dxa"/>
            <w:tcBorders>
              <w:top w:val="nil"/>
              <w:left w:val="nil"/>
              <w:bottom w:val="nil"/>
              <w:right w:val="nil"/>
            </w:tcBorders>
            <w:shd w:val="clear" w:color="auto" w:fill="auto"/>
            <w:vAlign w:val="center"/>
          </w:tcPr>
          <w:p>
            <w:pPr>
              <w:widowControl/>
              <w:autoSpaceDN w:val="0"/>
              <w:jc w:val="left"/>
              <w:rPr>
                <w:rFonts w:ascii="Times New Roman" w:eastAsia="Times New Roman" w:cs="Times New Roman" w:hAnsi="Times New Roman"/>
                <w:kern w:val="0"/>
                <w:sz w:val="20"/>
                <w:szCs w:val="20"/>
                <w:lang w:bidi="ar-SA"/>
              </w:rPr>
            </w:pPr>
          </w:p>
        </w:tc>
        <w:tc>
          <w:tcPr>
            <w:tcW w:w="2410" w:type="dxa"/>
            <w:tcBorders>
              <w:top w:val="nil"/>
              <w:left w:val="nil"/>
              <w:bottom w:val="nil"/>
              <w:right w:val="nil"/>
            </w:tcBorders>
            <w:shd w:val="clear" w:color="auto" w:fill="auto"/>
            <w:noWrap/>
            <w:vAlign w:val="center"/>
          </w:tcPr>
          <w:p>
            <w:pPr>
              <w:widowControl/>
              <w:autoSpaceDN w:val="0"/>
              <w:jc w:val="right"/>
              <w:rPr>
                <w:rFonts w:ascii="Times New Roman" w:eastAsia="黑体" w:cs="宋体" w:hAnsi="Times New Roman"/>
                <w:kern w:val="0"/>
                <w:sz w:val="20"/>
                <w:szCs w:val="20"/>
                <w:lang w:bidi="ar-SA"/>
              </w:rPr>
            </w:pPr>
            <w:r>
              <w:rPr>
                <w:rFonts w:ascii="Times New Roman" w:eastAsia="黑体" w:cs="宋体" w:hAnsi="Times New Roman" w:hint="eastAsia"/>
                <w:kern w:val="0"/>
                <w:sz w:val="20"/>
                <w:szCs w:val="20"/>
                <w:lang w:bidi="ar-SA"/>
              </w:rPr>
              <w:t>部门公开表</w:t>
            </w:r>
            <w:r>
              <w:rPr>
                <w:rFonts w:ascii="Times New Roman" w:eastAsia="黑体" w:cs="宋体" w:hAnsi="Times New Roman"/>
                <w:kern w:val="0"/>
                <w:sz w:val="20"/>
                <w:szCs w:val="20"/>
                <w:lang w:bidi="ar-SA"/>
              </w:rPr>
              <w:t>7</w:t>
            </w:r>
          </w:p>
        </w:tc>
      </w:tr>
      <w:tr>
        <w:trPr>
          <w:trHeight w:val="645"/>
        </w:trPr>
        <w:tc>
          <w:tcPr>
            <w:tcW w:w="13892" w:type="dxa"/>
            <w:gridSpan w:val="5"/>
            <w:tcBorders>
              <w:top w:val="nil"/>
              <w:left w:val="nil"/>
              <w:bottom w:val="nil"/>
              <w:right w:val="nil"/>
            </w:tcBorders>
            <w:shd w:val="clear" w:color="auto" w:fill="auto"/>
            <w:vAlign w:val="center"/>
          </w:tcPr>
          <w:p>
            <w:pPr>
              <w:widowControl/>
              <w:autoSpaceDN w:val="0"/>
              <w:jc w:val="center"/>
              <w:rPr>
                <w:rFonts w:ascii="Times New Roman" w:cs="宋体" w:hAnsi="Times New Roman"/>
                <w:kern w:val="0"/>
                <w:sz w:val="36"/>
                <w:szCs w:val="36"/>
                <w:lang w:bidi="ar-SA"/>
              </w:rPr>
            </w:pPr>
            <w:r>
              <w:rPr>
                <w:rFonts w:ascii="Times New Roman" w:cs="宋体" w:hAnsi="Times New Roman" w:hint="eastAsia"/>
                <w:kern w:val="0"/>
                <w:sz w:val="36"/>
                <w:szCs w:val="36"/>
                <w:lang w:bidi="ar-SA"/>
              </w:rPr>
              <w:t>政府性基金预算支出表</w:t>
            </w:r>
          </w:p>
        </w:tc>
      </w:tr>
      <w:tr>
        <w:trPr>
          <w:trHeight w:val="435"/>
        </w:trPr>
        <w:tc>
          <w:tcPr>
            <w:tcW w:w="6379" w:type="dxa"/>
            <w:gridSpan w:val="2"/>
            <w:tcBorders>
              <w:top w:val="nil"/>
              <w:left w:val="nil"/>
              <w:bottom w:val="nil"/>
              <w:right w:val="nil"/>
            </w:tcBorders>
            <w:shd w:val="clear" w:color="auto" w:fill="auto"/>
            <w:noWrap/>
            <w:vAlign w:val="center"/>
          </w:tcPr>
          <w:p>
            <w:pPr>
              <w:widowControl/>
              <w:autoSpaceDN w:val="0"/>
              <w:jc w:val="left"/>
              <w:rPr>
                <w:rFonts w:ascii="Times New Roman" w:cs="宋体" w:hAnsi="Times New Roman"/>
                <w:kern w:val="0"/>
                <w:sz w:val="36"/>
                <w:szCs w:val="36"/>
                <w:lang w:bidi="ar-SA"/>
              </w:rPr>
            </w:pPr>
            <w:r>
              <w:rPr>
                <w:rFonts w:ascii="Times New Roman" w:cs="宋体" w:hAnsi="Times New Roman" w:hint="eastAsia"/>
                <w:color w:val="000000"/>
                <w:kern w:val="0"/>
                <w:sz w:val="18"/>
                <w:szCs w:val="18"/>
                <w:lang w:bidi="ar-SA"/>
              </w:rPr>
              <w:t>单位名称：中华人民共和国鄂尔多斯海关</w:t>
            </w:r>
          </w:p>
        </w:tc>
        <w:tc>
          <w:tcPr>
            <w:tcW w:w="2552" w:type="dxa"/>
            <w:tcBorders>
              <w:top w:val="nil"/>
              <w:left w:val="nil"/>
              <w:bottom w:val="single" w:sz="4" w:space="0" w:color="auto"/>
              <w:right w:val="nil"/>
            </w:tcBorders>
            <w:shd w:val="clear" w:color="auto" w:fill="auto"/>
            <w:vAlign w:val="center"/>
          </w:tcPr>
          <w:p>
            <w:pPr>
              <w:widowControl/>
              <w:autoSpaceDN w:val="0"/>
              <w:jc w:val="left"/>
              <w:rPr>
                <w:rFonts w:ascii="Times New Roman" w:cs="宋体" w:hAnsi="Times New Roman"/>
                <w:kern w:val="0"/>
                <w:sz w:val="20"/>
                <w:szCs w:val="20"/>
                <w:lang w:bidi="ar-SA"/>
              </w:rPr>
            </w:pPr>
            <w:r>
              <w:rPr>
                <w:rFonts w:ascii="Times New Roman" w:cs="宋体" w:hAnsi="Times New Roman" w:hint="eastAsia"/>
                <w:kern w:val="0"/>
                <w:sz w:val="20"/>
                <w:szCs w:val="20"/>
                <w:lang w:bidi="ar-SA"/>
              </w:rPr>
              <w:t>　</w:t>
            </w:r>
          </w:p>
        </w:tc>
        <w:tc>
          <w:tcPr>
            <w:tcW w:w="2551" w:type="dxa"/>
            <w:tcBorders>
              <w:top w:val="nil"/>
              <w:left w:val="nil"/>
              <w:bottom w:val="single" w:sz="4" w:space="0" w:color="auto"/>
              <w:right w:val="nil"/>
            </w:tcBorders>
            <w:shd w:val="clear" w:color="auto" w:fill="auto"/>
            <w:vAlign w:val="center"/>
          </w:tcPr>
          <w:p>
            <w:pPr>
              <w:widowControl/>
              <w:autoSpaceDN w:val="0"/>
              <w:jc w:val="left"/>
              <w:rPr>
                <w:rFonts w:ascii="Times New Roman" w:cs="宋体" w:hAnsi="Times New Roman"/>
                <w:kern w:val="0"/>
                <w:sz w:val="20"/>
                <w:szCs w:val="20"/>
                <w:lang w:bidi="ar-SA"/>
              </w:rPr>
            </w:pPr>
            <w:r>
              <w:rPr>
                <w:rFonts w:ascii="Times New Roman" w:cs="宋体" w:hAnsi="Times New Roman" w:hint="eastAsia"/>
                <w:kern w:val="0"/>
                <w:sz w:val="20"/>
                <w:szCs w:val="20"/>
                <w:lang w:bidi="ar-SA"/>
              </w:rPr>
              <w:t>　</w:t>
            </w:r>
          </w:p>
        </w:tc>
        <w:tc>
          <w:tcPr>
            <w:tcW w:w="2410" w:type="dxa"/>
            <w:tcBorders>
              <w:top w:val="nil"/>
              <w:left w:val="nil"/>
              <w:bottom w:val="single" w:sz="4" w:space="0" w:color="auto"/>
              <w:right w:val="nil"/>
            </w:tcBorders>
            <w:shd w:val="clear" w:color="auto" w:fill="auto"/>
            <w:noWrap/>
            <w:vAlign w:val="center"/>
          </w:tcPr>
          <w:p>
            <w:pPr>
              <w:widowControl/>
              <w:autoSpaceDN w:val="0"/>
              <w:jc w:val="right"/>
              <w:rPr>
                <w:rFonts w:ascii="Times New Roman" w:cs="宋体" w:hAnsi="Times New Roman"/>
                <w:kern w:val="0"/>
                <w:sz w:val="20"/>
                <w:szCs w:val="20"/>
                <w:lang w:bidi="ar-SA"/>
              </w:rPr>
            </w:pPr>
            <w:r>
              <w:rPr>
                <w:rFonts w:ascii="Times New Roman" w:cs="宋体" w:hAnsi="Times New Roman" w:hint="eastAsia"/>
                <w:kern w:val="0"/>
                <w:sz w:val="20"/>
                <w:szCs w:val="20"/>
                <w:lang w:bidi="ar-SA"/>
              </w:rPr>
              <w:t>单位：万元</w:t>
            </w:r>
          </w:p>
        </w:tc>
      </w:tr>
      <w:tr>
        <w:trPr>
          <w:trHeight w:hRule="exact" w:val="567"/>
        </w:trPr>
        <w:tc>
          <w:tcPr>
            <w:tcW w:w="297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center"/>
              <w:rPr>
                <w:rFonts w:ascii="Times New Roman" w:cs="宋体" w:hAnsi="Times New Roman"/>
                <w:kern w:val="0"/>
                <w:sz w:val="20"/>
                <w:szCs w:val="20"/>
                <w:lang w:bidi="ar-SA"/>
              </w:rPr>
            </w:pPr>
            <w:r>
              <w:rPr>
                <w:rFonts w:ascii="Times New Roman" w:cs="宋体" w:hAnsi="Times New Roman" w:hint="eastAsia"/>
                <w:kern w:val="0"/>
                <w:sz w:val="20"/>
                <w:szCs w:val="20"/>
                <w:lang w:bidi="ar-SA"/>
              </w:rPr>
              <w:t>科目编码</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center"/>
              <w:rPr>
                <w:rFonts w:ascii="Times New Roman" w:cs="宋体" w:hAnsi="Times New Roman"/>
                <w:kern w:val="0"/>
                <w:sz w:val="20"/>
                <w:szCs w:val="20"/>
                <w:lang w:bidi="ar-SA"/>
              </w:rPr>
            </w:pPr>
            <w:r>
              <w:rPr>
                <w:rFonts w:ascii="Times New Roman" w:cs="宋体" w:hAnsi="Times New Roman" w:hint="eastAsia"/>
                <w:kern w:val="0"/>
                <w:sz w:val="20"/>
                <w:szCs w:val="20"/>
                <w:lang w:bidi="ar-SA"/>
              </w:rPr>
              <w:t>科目名称</w:t>
            </w:r>
          </w:p>
        </w:tc>
        <w:tc>
          <w:tcPr>
            <w:tcW w:w="7513" w:type="dxa"/>
            <w:gridSpan w:val="3"/>
            <w:tcBorders>
              <w:top w:val="single" w:sz="4" w:space="0" w:color="auto"/>
              <w:left w:val="nil"/>
              <w:bottom w:val="single" w:sz="4" w:space="0" w:color="auto"/>
              <w:right w:val="single" w:sz="4" w:space="0" w:color="000000"/>
            </w:tcBorders>
            <w:shd w:val="clear" w:color="auto" w:fill="auto"/>
            <w:vAlign w:val="center"/>
          </w:tcPr>
          <w:p>
            <w:pPr>
              <w:widowControl/>
              <w:autoSpaceDN w:val="0"/>
              <w:jc w:val="center"/>
              <w:rPr>
                <w:rFonts w:ascii="Times New Roman" w:cs="宋体" w:hAnsi="Times New Roman"/>
                <w:kern w:val="0"/>
                <w:sz w:val="20"/>
                <w:szCs w:val="20"/>
                <w:lang w:bidi="ar-SA"/>
              </w:rPr>
            </w:pPr>
            <w:r>
              <w:rPr>
                <w:rFonts w:ascii="Times New Roman" w:cs="宋体" w:hAnsi="Times New Roman"/>
                <w:kern w:val="0"/>
                <w:sz w:val="20"/>
                <w:szCs w:val="20"/>
                <w:lang w:bidi="ar-SA"/>
              </w:rPr>
              <w:t>2024</w:t>
            </w:r>
            <w:r>
              <w:rPr>
                <w:rFonts w:ascii="Times New Roman" w:cs="宋体" w:hAnsi="Times New Roman" w:hint="eastAsia"/>
                <w:kern w:val="0"/>
                <w:sz w:val="20"/>
                <w:szCs w:val="20"/>
                <w:lang w:bidi="ar-SA"/>
              </w:rPr>
              <w:t>年政府性基金预算支出</w:t>
            </w:r>
          </w:p>
        </w:tc>
      </w:tr>
      <w:tr>
        <w:trPr>
          <w:trHeight w:hRule="exact" w:val="567"/>
        </w:trPr>
        <w:tc>
          <w:tcPr>
            <w:tcW w:w="2977" w:type="dxa"/>
            <w:vMerge/>
            <w:tcBorders>
              <w:top w:val="single" w:sz="4" w:space="0" w:color="auto"/>
              <w:left w:val="single" w:sz="4" w:space="0" w:color="auto"/>
              <w:bottom w:val="single" w:sz="4" w:space="0" w:color="auto"/>
              <w:right w:val="single" w:sz="4" w:space="0" w:color="auto"/>
            </w:tcBorders>
            <w:vAlign w:val="center"/>
          </w:tcPr>
          <w:p/>
        </w:tc>
        <w:tc>
          <w:tcPr>
            <w:tcW w:w="3402" w:type="dxa"/>
            <w:vMerge/>
            <w:tcBorders>
              <w:top w:val="single" w:sz="4" w:space="0" w:color="auto"/>
              <w:left w:val="single" w:sz="4" w:space="0" w:color="auto"/>
              <w:bottom w:val="single" w:sz="4" w:space="0" w:color="auto"/>
              <w:right w:val="single" w:sz="4" w:space="0" w:color="auto"/>
            </w:tcBorders>
            <w:vAlign w:val="center"/>
          </w:tcPr>
          <w:p/>
        </w:tc>
        <w:tc>
          <w:tcPr>
            <w:tcW w:w="2552" w:type="dxa"/>
            <w:tcBorders>
              <w:top w:val="nil"/>
              <w:left w:val="nil"/>
              <w:bottom w:val="nil"/>
              <w:right w:val="single" w:sz="4" w:space="0" w:color="auto"/>
            </w:tcBorders>
            <w:shd w:val="clear" w:color="auto" w:fill="auto"/>
            <w:vAlign w:val="center"/>
          </w:tcPr>
          <w:p>
            <w:pPr>
              <w:widowControl/>
              <w:autoSpaceDN w:val="0"/>
              <w:jc w:val="center"/>
              <w:rPr>
                <w:rFonts w:ascii="Times New Roman" w:cs="宋体" w:hAnsi="Times New Roman"/>
                <w:kern w:val="0"/>
                <w:sz w:val="20"/>
                <w:szCs w:val="20"/>
                <w:lang w:bidi="ar-SA"/>
              </w:rPr>
            </w:pPr>
            <w:r>
              <w:rPr>
                <w:rFonts w:ascii="Times New Roman" w:cs="宋体" w:hAnsi="Times New Roman" w:hint="eastAsia"/>
                <w:kern w:val="0"/>
                <w:sz w:val="20"/>
                <w:szCs w:val="20"/>
                <w:lang w:bidi="ar-SA"/>
              </w:rPr>
              <w:t>合计</w:t>
            </w:r>
          </w:p>
        </w:tc>
        <w:tc>
          <w:tcPr>
            <w:tcW w:w="2551" w:type="dxa"/>
            <w:tcBorders>
              <w:top w:val="nil"/>
              <w:left w:val="nil"/>
              <w:bottom w:val="single" w:sz="4" w:space="0" w:color="auto"/>
              <w:right w:val="nil"/>
            </w:tcBorders>
            <w:shd w:val="clear" w:color="auto" w:fill="auto"/>
            <w:vAlign w:val="center"/>
          </w:tcPr>
          <w:p>
            <w:pPr>
              <w:widowControl/>
              <w:autoSpaceDN w:val="0"/>
              <w:jc w:val="center"/>
              <w:rPr>
                <w:rFonts w:ascii="Times New Roman" w:cs="宋体" w:hAnsi="Times New Roman"/>
                <w:kern w:val="0"/>
                <w:sz w:val="20"/>
                <w:szCs w:val="20"/>
                <w:lang w:bidi="ar-SA"/>
              </w:rPr>
            </w:pPr>
            <w:r>
              <w:rPr>
                <w:rFonts w:ascii="Times New Roman" w:cs="宋体" w:hAnsi="Times New Roman" w:hint="eastAsia"/>
                <w:kern w:val="0"/>
                <w:sz w:val="20"/>
                <w:szCs w:val="20"/>
                <w:lang w:bidi="ar-SA"/>
              </w:rPr>
              <w:t>基本支出</w:t>
            </w:r>
          </w:p>
        </w:tc>
        <w:tc>
          <w:tcPr>
            <w:tcW w:w="2410" w:type="dxa"/>
            <w:tcBorders>
              <w:top w:val="nil"/>
              <w:left w:val="single" w:sz="4" w:space="0" w:color="auto"/>
              <w:bottom w:val="nil"/>
              <w:right w:val="single" w:sz="4" w:space="0" w:color="auto"/>
            </w:tcBorders>
            <w:shd w:val="clear" w:color="auto" w:fill="auto"/>
            <w:vAlign w:val="center"/>
          </w:tcPr>
          <w:p>
            <w:pPr>
              <w:widowControl/>
              <w:autoSpaceDN w:val="0"/>
              <w:jc w:val="center"/>
              <w:rPr>
                <w:rFonts w:ascii="Times New Roman" w:cs="宋体" w:hAnsi="Times New Roman"/>
                <w:kern w:val="0"/>
                <w:sz w:val="20"/>
                <w:szCs w:val="20"/>
                <w:lang w:bidi="ar-SA"/>
              </w:rPr>
            </w:pPr>
            <w:r>
              <w:rPr>
                <w:rFonts w:ascii="Times New Roman" w:cs="宋体" w:hAnsi="Times New Roman" w:hint="eastAsia"/>
                <w:kern w:val="0"/>
                <w:sz w:val="20"/>
                <w:szCs w:val="20"/>
                <w:lang w:bidi="ar-SA"/>
              </w:rPr>
              <w:t>项目支出</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kern w:val="0"/>
                <w:sz w:val="20"/>
                <w:szCs w:val="20"/>
                <w:lang w:bidi="ar-SA"/>
              </w:rPr>
            </w:pPr>
            <w:r>
              <w:rPr>
                <w:rFonts w:ascii="Times New Roman" w:cs="宋体" w:hAnsi="Times New Roman" w:hint="eastAsia"/>
                <w:kern w:val="0"/>
                <w:sz w:val="20"/>
                <w:szCs w:val="20"/>
                <w:lang w:bidi="ar-SA"/>
              </w:rPr>
              <w:t>　</w:t>
            </w:r>
          </w:p>
        </w:tc>
        <w:tc>
          <w:tcPr>
            <w:tcW w:w="3402" w:type="dxa"/>
            <w:tcBorders>
              <w:top w:val="nil"/>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kern w:val="0"/>
                <w:sz w:val="20"/>
                <w:szCs w:val="20"/>
                <w:lang w:bidi="ar-SA"/>
              </w:rPr>
            </w:pPr>
            <w:r>
              <w:rPr>
                <w:rFonts w:ascii="Times New Roman" w:cs="宋体" w:hAnsi="Times New Roman" w:hint="eastAsia"/>
                <w:kern w:val="0"/>
                <w:sz w:val="20"/>
                <w:szCs w:val="20"/>
                <w:lang w:bidi="ar-SA"/>
              </w:rPr>
              <w:t>　</w:t>
            </w:r>
          </w:p>
        </w:tc>
        <w:tc>
          <w:tcPr>
            <w:tcW w:w="2552"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宋体" w:hAnsi="Times New Roman"/>
                <w:kern w:val="0"/>
                <w:sz w:val="20"/>
                <w:szCs w:val="20"/>
                <w:lang w:bidi="ar-SA"/>
              </w:rPr>
            </w:pPr>
            <w:r>
              <w:rPr>
                <w:rFonts w:ascii="Times New Roman" w:cs="宋体" w:hAnsi="Times New Roman" w:hint="eastAsia"/>
                <w:kern w:val="0"/>
                <w:sz w:val="20"/>
                <w:szCs w:val="20"/>
                <w:lang w:bidi="ar-SA"/>
              </w:rPr>
              <w:t>　</w:t>
            </w:r>
          </w:p>
        </w:tc>
        <w:tc>
          <w:tcPr>
            <w:tcW w:w="2551"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宋体" w:hAnsi="Times New Roman"/>
                <w:kern w:val="0"/>
                <w:sz w:val="20"/>
                <w:szCs w:val="20"/>
                <w:lang w:bidi="ar-SA"/>
              </w:rPr>
            </w:pPr>
            <w:r>
              <w:rPr>
                <w:rFonts w:ascii="Times New Roman" w:cs="宋体" w:hAnsi="Times New Roman" w:hint="eastAsia"/>
                <w:kern w:val="0"/>
                <w:sz w:val="20"/>
                <w:szCs w:val="20"/>
                <w:lang w:bidi="ar-SA"/>
              </w:rPr>
              <w:t>　</w:t>
            </w:r>
          </w:p>
        </w:tc>
        <w:tc>
          <w:tcPr>
            <w:tcW w:w="2410" w:type="dxa"/>
            <w:tcBorders>
              <w:top w:val="single" w:sz="4" w:space="0" w:color="auto"/>
              <w:left w:val="nil"/>
              <w:bottom w:val="single" w:sz="4" w:space="0" w:color="auto"/>
              <w:right w:val="single" w:sz="4" w:space="0" w:color="auto"/>
            </w:tcBorders>
            <w:shd w:val="clear" w:color="auto" w:fill="auto"/>
            <w:noWrap/>
            <w:vAlign w:val="center"/>
          </w:tcPr>
          <w:p>
            <w:pPr>
              <w:widowControl/>
              <w:autoSpaceDN w:val="0"/>
              <w:jc w:val="right"/>
              <w:rPr>
                <w:rFonts w:ascii="Times New Roman" w:cs="宋体" w:hAnsi="Times New Roman"/>
                <w:kern w:val="0"/>
                <w:sz w:val="20"/>
                <w:szCs w:val="20"/>
                <w:lang w:bidi="ar-SA"/>
              </w:rPr>
            </w:pPr>
            <w:r>
              <w:rPr>
                <w:rFonts w:ascii="Times New Roman" w:cs="宋体" w:hAnsi="Times New Roman" w:hint="eastAsia"/>
                <w:kern w:val="0"/>
                <w:sz w:val="20"/>
                <w:szCs w:val="20"/>
                <w:lang w:bidi="ar-SA"/>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kern w:val="0"/>
                <w:sz w:val="20"/>
                <w:szCs w:val="20"/>
                <w:lang w:bidi="ar-SA"/>
              </w:rPr>
            </w:pPr>
            <w:r>
              <w:rPr>
                <w:rFonts w:ascii="Times New Roman" w:cs="宋体" w:hAnsi="Times New Roman" w:hint="eastAsia"/>
                <w:kern w:val="0"/>
                <w:sz w:val="20"/>
                <w:szCs w:val="20"/>
                <w:lang w:bidi="ar-SA"/>
              </w:rPr>
              <w:t>　</w:t>
            </w:r>
          </w:p>
        </w:tc>
        <w:tc>
          <w:tcPr>
            <w:tcW w:w="3402" w:type="dxa"/>
            <w:tcBorders>
              <w:top w:val="nil"/>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kern w:val="0"/>
                <w:sz w:val="20"/>
                <w:szCs w:val="20"/>
                <w:lang w:bidi="ar-SA"/>
              </w:rPr>
            </w:pPr>
            <w:r>
              <w:rPr>
                <w:rFonts w:ascii="Times New Roman" w:cs="宋体" w:hAnsi="Times New Roman" w:hint="eastAsia"/>
                <w:kern w:val="0"/>
                <w:sz w:val="20"/>
                <w:szCs w:val="20"/>
                <w:lang w:bidi="ar-SA"/>
              </w:rPr>
              <w:t>　</w:t>
            </w:r>
          </w:p>
        </w:tc>
        <w:tc>
          <w:tcPr>
            <w:tcW w:w="255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宋体" w:hAnsi="Times New Roman"/>
                <w:kern w:val="0"/>
                <w:sz w:val="20"/>
                <w:szCs w:val="20"/>
                <w:lang w:bidi="ar-SA"/>
              </w:rPr>
            </w:pPr>
            <w:r>
              <w:rPr>
                <w:rFonts w:ascii="Times New Roman" w:cs="宋体" w:hAnsi="Times New Roman" w:hint="eastAsia"/>
                <w:kern w:val="0"/>
                <w:sz w:val="20"/>
                <w:szCs w:val="20"/>
                <w:lang w:bidi="ar-SA"/>
              </w:rPr>
              <w:t>　</w:t>
            </w:r>
          </w:p>
        </w:tc>
        <w:tc>
          <w:tcPr>
            <w:tcW w:w="2551"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宋体" w:hAnsi="Times New Roman"/>
                <w:kern w:val="0"/>
                <w:sz w:val="20"/>
                <w:szCs w:val="20"/>
                <w:lang w:bidi="ar-SA"/>
              </w:rPr>
            </w:pPr>
            <w:r>
              <w:rPr>
                <w:rFonts w:ascii="Times New Roman" w:cs="宋体" w:hAnsi="Times New Roman" w:hint="eastAsia"/>
                <w:kern w:val="0"/>
                <w:sz w:val="20"/>
                <w:szCs w:val="20"/>
                <w:lang w:bidi="ar-SA"/>
              </w:rPr>
              <w:t>　</w:t>
            </w:r>
          </w:p>
        </w:tc>
        <w:tc>
          <w:tcPr>
            <w:tcW w:w="2410"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宋体" w:hAnsi="Times New Roman"/>
                <w:kern w:val="0"/>
                <w:sz w:val="20"/>
                <w:szCs w:val="20"/>
                <w:lang w:bidi="ar-SA"/>
              </w:rPr>
            </w:pPr>
            <w:r>
              <w:rPr>
                <w:rFonts w:ascii="Times New Roman" w:cs="宋体" w:hAnsi="Times New Roman" w:hint="eastAsia"/>
                <w:kern w:val="0"/>
                <w:sz w:val="20"/>
                <w:szCs w:val="20"/>
                <w:lang w:bidi="ar-SA"/>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kern w:val="0"/>
                <w:sz w:val="20"/>
                <w:szCs w:val="20"/>
                <w:lang w:bidi="ar-SA"/>
              </w:rPr>
            </w:pPr>
            <w:r>
              <w:rPr>
                <w:rFonts w:ascii="Times New Roman" w:cs="宋体" w:hAnsi="Times New Roman" w:hint="eastAsia"/>
                <w:kern w:val="0"/>
                <w:sz w:val="20"/>
                <w:szCs w:val="20"/>
                <w:lang w:bidi="ar-SA"/>
              </w:rPr>
              <w:t>　</w:t>
            </w:r>
          </w:p>
        </w:tc>
        <w:tc>
          <w:tcPr>
            <w:tcW w:w="3402" w:type="dxa"/>
            <w:tcBorders>
              <w:top w:val="nil"/>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kern w:val="0"/>
                <w:sz w:val="20"/>
                <w:szCs w:val="20"/>
                <w:lang w:bidi="ar-SA"/>
              </w:rPr>
            </w:pPr>
            <w:r>
              <w:rPr>
                <w:rFonts w:ascii="Times New Roman" w:cs="宋体" w:hAnsi="Times New Roman" w:hint="eastAsia"/>
                <w:kern w:val="0"/>
                <w:sz w:val="20"/>
                <w:szCs w:val="20"/>
                <w:lang w:bidi="ar-SA"/>
              </w:rPr>
              <w:t>　</w:t>
            </w:r>
          </w:p>
        </w:tc>
        <w:tc>
          <w:tcPr>
            <w:tcW w:w="255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宋体" w:hAnsi="Times New Roman"/>
                <w:kern w:val="0"/>
                <w:sz w:val="20"/>
                <w:szCs w:val="20"/>
                <w:lang w:bidi="ar-SA"/>
              </w:rPr>
            </w:pPr>
            <w:r>
              <w:rPr>
                <w:rFonts w:ascii="Times New Roman" w:cs="宋体" w:hAnsi="Times New Roman" w:hint="eastAsia"/>
                <w:kern w:val="0"/>
                <w:sz w:val="20"/>
                <w:szCs w:val="20"/>
                <w:lang w:bidi="ar-SA"/>
              </w:rPr>
              <w:t>　</w:t>
            </w:r>
          </w:p>
        </w:tc>
        <w:tc>
          <w:tcPr>
            <w:tcW w:w="2551"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宋体" w:hAnsi="Times New Roman"/>
                <w:kern w:val="0"/>
                <w:sz w:val="20"/>
                <w:szCs w:val="20"/>
                <w:lang w:bidi="ar-SA"/>
              </w:rPr>
            </w:pPr>
            <w:r>
              <w:rPr>
                <w:rFonts w:ascii="Times New Roman" w:cs="宋体" w:hAnsi="Times New Roman" w:hint="eastAsia"/>
                <w:kern w:val="0"/>
                <w:sz w:val="20"/>
                <w:szCs w:val="20"/>
                <w:lang w:bidi="ar-SA"/>
              </w:rPr>
              <w:t>　</w:t>
            </w:r>
          </w:p>
        </w:tc>
        <w:tc>
          <w:tcPr>
            <w:tcW w:w="2410"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宋体" w:hAnsi="Times New Roman"/>
                <w:kern w:val="0"/>
                <w:sz w:val="20"/>
                <w:szCs w:val="20"/>
                <w:lang w:bidi="ar-SA"/>
              </w:rPr>
            </w:pPr>
            <w:r>
              <w:rPr>
                <w:rFonts w:ascii="Times New Roman" w:cs="宋体" w:hAnsi="Times New Roman" w:hint="eastAsia"/>
                <w:kern w:val="0"/>
                <w:sz w:val="20"/>
                <w:szCs w:val="20"/>
                <w:lang w:bidi="ar-SA"/>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kern w:val="0"/>
                <w:sz w:val="20"/>
                <w:szCs w:val="20"/>
                <w:lang w:bidi="ar-SA"/>
              </w:rPr>
            </w:pPr>
            <w:r>
              <w:rPr>
                <w:rFonts w:ascii="Times New Roman" w:cs="宋体" w:hAnsi="Times New Roman" w:hint="eastAsia"/>
                <w:kern w:val="0"/>
                <w:sz w:val="20"/>
                <w:szCs w:val="20"/>
                <w:lang w:bidi="ar-SA"/>
              </w:rPr>
              <w:t>　</w:t>
            </w:r>
          </w:p>
        </w:tc>
        <w:tc>
          <w:tcPr>
            <w:tcW w:w="3402" w:type="dxa"/>
            <w:tcBorders>
              <w:top w:val="nil"/>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kern w:val="0"/>
                <w:sz w:val="20"/>
                <w:szCs w:val="20"/>
                <w:lang w:bidi="ar-SA"/>
              </w:rPr>
            </w:pPr>
            <w:r>
              <w:rPr>
                <w:rFonts w:ascii="Times New Roman" w:cs="宋体" w:hAnsi="Times New Roman" w:hint="eastAsia"/>
                <w:kern w:val="0"/>
                <w:sz w:val="20"/>
                <w:szCs w:val="20"/>
                <w:lang w:bidi="ar-SA"/>
              </w:rPr>
              <w:t>　</w:t>
            </w:r>
          </w:p>
        </w:tc>
        <w:tc>
          <w:tcPr>
            <w:tcW w:w="255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宋体" w:hAnsi="Times New Roman"/>
                <w:kern w:val="0"/>
                <w:sz w:val="20"/>
                <w:szCs w:val="20"/>
                <w:lang w:bidi="ar-SA"/>
              </w:rPr>
            </w:pPr>
            <w:r>
              <w:rPr>
                <w:rFonts w:ascii="Times New Roman" w:cs="宋体" w:hAnsi="Times New Roman" w:hint="eastAsia"/>
                <w:kern w:val="0"/>
                <w:sz w:val="20"/>
                <w:szCs w:val="20"/>
                <w:lang w:bidi="ar-SA"/>
              </w:rPr>
              <w:t>　</w:t>
            </w:r>
          </w:p>
        </w:tc>
        <w:tc>
          <w:tcPr>
            <w:tcW w:w="2551"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宋体" w:hAnsi="Times New Roman"/>
                <w:kern w:val="0"/>
                <w:sz w:val="20"/>
                <w:szCs w:val="20"/>
                <w:lang w:bidi="ar-SA"/>
              </w:rPr>
            </w:pPr>
            <w:r>
              <w:rPr>
                <w:rFonts w:ascii="Times New Roman" w:cs="宋体" w:hAnsi="Times New Roman" w:hint="eastAsia"/>
                <w:kern w:val="0"/>
                <w:sz w:val="20"/>
                <w:szCs w:val="20"/>
                <w:lang w:bidi="ar-SA"/>
              </w:rPr>
              <w:t>　</w:t>
            </w:r>
          </w:p>
        </w:tc>
        <w:tc>
          <w:tcPr>
            <w:tcW w:w="2410"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宋体" w:hAnsi="Times New Roman"/>
                <w:kern w:val="0"/>
                <w:sz w:val="20"/>
                <w:szCs w:val="20"/>
                <w:lang w:bidi="ar-SA"/>
              </w:rPr>
            </w:pPr>
            <w:r>
              <w:rPr>
                <w:rFonts w:ascii="Times New Roman" w:cs="宋体" w:hAnsi="Times New Roman" w:hint="eastAsia"/>
                <w:kern w:val="0"/>
                <w:sz w:val="20"/>
                <w:szCs w:val="20"/>
                <w:lang w:bidi="ar-SA"/>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kern w:val="0"/>
                <w:sz w:val="20"/>
                <w:szCs w:val="20"/>
                <w:lang w:bidi="ar-SA"/>
              </w:rPr>
            </w:pPr>
            <w:r>
              <w:rPr>
                <w:rFonts w:ascii="Times New Roman" w:cs="宋体" w:hAnsi="Times New Roman" w:hint="eastAsia"/>
                <w:kern w:val="0"/>
                <w:sz w:val="20"/>
                <w:szCs w:val="20"/>
                <w:lang w:bidi="ar-SA"/>
              </w:rPr>
              <w:t>　</w:t>
            </w:r>
          </w:p>
        </w:tc>
        <w:tc>
          <w:tcPr>
            <w:tcW w:w="3402"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宋体" w:hAnsi="Times New Roman"/>
                <w:kern w:val="0"/>
                <w:sz w:val="20"/>
                <w:szCs w:val="20"/>
                <w:lang w:bidi="ar-SA"/>
              </w:rPr>
            </w:pPr>
            <w:r>
              <w:rPr>
                <w:rFonts w:ascii="Times New Roman" w:cs="宋体" w:hAnsi="Times New Roman" w:hint="eastAsia"/>
                <w:kern w:val="0"/>
                <w:sz w:val="20"/>
                <w:szCs w:val="20"/>
                <w:lang w:bidi="ar-SA"/>
              </w:rPr>
              <w:t>　</w:t>
            </w:r>
          </w:p>
        </w:tc>
        <w:tc>
          <w:tcPr>
            <w:tcW w:w="255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宋体" w:hAnsi="Times New Roman"/>
                <w:kern w:val="0"/>
                <w:sz w:val="20"/>
                <w:szCs w:val="20"/>
                <w:lang w:bidi="ar-SA"/>
              </w:rPr>
            </w:pPr>
            <w:r>
              <w:rPr>
                <w:rFonts w:ascii="Times New Roman" w:cs="宋体" w:hAnsi="Times New Roman" w:hint="eastAsia"/>
                <w:kern w:val="0"/>
                <w:sz w:val="20"/>
                <w:szCs w:val="20"/>
                <w:lang w:bidi="ar-SA"/>
              </w:rPr>
              <w:t>　</w:t>
            </w:r>
          </w:p>
        </w:tc>
        <w:tc>
          <w:tcPr>
            <w:tcW w:w="2551"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宋体" w:hAnsi="Times New Roman"/>
                <w:kern w:val="0"/>
                <w:sz w:val="20"/>
                <w:szCs w:val="20"/>
                <w:lang w:bidi="ar-SA"/>
              </w:rPr>
            </w:pPr>
            <w:r>
              <w:rPr>
                <w:rFonts w:ascii="Times New Roman" w:cs="宋体" w:hAnsi="Times New Roman" w:hint="eastAsia"/>
                <w:kern w:val="0"/>
                <w:sz w:val="20"/>
                <w:szCs w:val="20"/>
                <w:lang w:bidi="ar-SA"/>
              </w:rPr>
              <w:t>　</w:t>
            </w:r>
          </w:p>
        </w:tc>
        <w:tc>
          <w:tcPr>
            <w:tcW w:w="2410"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宋体" w:hAnsi="Times New Roman"/>
                <w:kern w:val="0"/>
                <w:sz w:val="20"/>
                <w:szCs w:val="20"/>
                <w:lang w:bidi="ar-SA"/>
              </w:rPr>
            </w:pPr>
            <w:r>
              <w:rPr>
                <w:rFonts w:ascii="Times New Roman" w:cs="宋体" w:hAnsi="Times New Roman" w:hint="eastAsia"/>
                <w:kern w:val="0"/>
                <w:sz w:val="20"/>
                <w:szCs w:val="20"/>
                <w:lang w:bidi="ar-SA"/>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kern w:val="0"/>
                <w:sz w:val="20"/>
                <w:szCs w:val="20"/>
                <w:lang w:bidi="ar-SA"/>
              </w:rPr>
            </w:pPr>
            <w:r>
              <w:rPr>
                <w:rFonts w:ascii="Times New Roman" w:cs="宋体" w:hAnsi="Times New Roman" w:hint="eastAsia"/>
                <w:kern w:val="0"/>
                <w:sz w:val="20"/>
                <w:szCs w:val="20"/>
                <w:lang w:bidi="ar-SA"/>
              </w:rPr>
              <w:t>　</w:t>
            </w:r>
          </w:p>
        </w:tc>
        <w:tc>
          <w:tcPr>
            <w:tcW w:w="3402"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宋体" w:hAnsi="Times New Roman"/>
                <w:kern w:val="0"/>
                <w:sz w:val="20"/>
                <w:szCs w:val="20"/>
                <w:lang w:bidi="ar-SA"/>
              </w:rPr>
            </w:pPr>
            <w:r>
              <w:rPr>
                <w:rFonts w:ascii="Times New Roman" w:cs="宋体" w:hAnsi="Times New Roman" w:hint="eastAsia"/>
                <w:kern w:val="0"/>
                <w:sz w:val="20"/>
                <w:szCs w:val="20"/>
                <w:lang w:bidi="ar-SA"/>
              </w:rPr>
              <w:t>　</w:t>
            </w:r>
          </w:p>
        </w:tc>
        <w:tc>
          <w:tcPr>
            <w:tcW w:w="255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宋体" w:hAnsi="Times New Roman"/>
                <w:kern w:val="0"/>
                <w:sz w:val="20"/>
                <w:szCs w:val="20"/>
                <w:lang w:bidi="ar-SA"/>
              </w:rPr>
            </w:pPr>
            <w:r>
              <w:rPr>
                <w:rFonts w:ascii="Times New Roman" w:cs="宋体" w:hAnsi="Times New Roman" w:hint="eastAsia"/>
                <w:kern w:val="0"/>
                <w:sz w:val="20"/>
                <w:szCs w:val="20"/>
                <w:lang w:bidi="ar-SA"/>
              </w:rPr>
              <w:t>　</w:t>
            </w:r>
          </w:p>
        </w:tc>
        <w:tc>
          <w:tcPr>
            <w:tcW w:w="2551"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宋体" w:hAnsi="Times New Roman"/>
                <w:kern w:val="0"/>
                <w:sz w:val="20"/>
                <w:szCs w:val="20"/>
                <w:lang w:bidi="ar-SA"/>
              </w:rPr>
            </w:pPr>
            <w:r>
              <w:rPr>
                <w:rFonts w:ascii="Times New Roman" w:cs="宋体" w:hAnsi="Times New Roman" w:hint="eastAsia"/>
                <w:kern w:val="0"/>
                <w:sz w:val="20"/>
                <w:szCs w:val="20"/>
                <w:lang w:bidi="ar-SA"/>
              </w:rPr>
              <w:t>　</w:t>
            </w:r>
          </w:p>
        </w:tc>
        <w:tc>
          <w:tcPr>
            <w:tcW w:w="2410"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宋体" w:hAnsi="Times New Roman"/>
                <w:kern w:val="0"/>
                <w:sz w:val="20"/>
                <w:szCs w:val="20"/>
                <w:lang w:bidi="ar-SA"/>
              </w:rPr>
            </w:pPr>
            <w:r>
              <w:rPr>
                <w:rFonts w:ascii="Times New Roman" w:cs="宋体" w:hAnsi="Times New Roman" w:hint="eastAsia"/>
                <w:kern w:val="0"/>
                <w:sz w:val="20"/>
                <w:szCs w:val="20"/>
                <w:lang w:bidi="ar-SA"/>
              </w:rPr>
              <w:t>　</w:t>
            </w:r>
          </w:p>
        </w:tc>
      </w:tr>
      <w:tr>
        <w:trPr>
          <w:trHeight w:hRule="exact" w:val="567"/>
        </w:trPr>
        <w:tc>
          <w:tcPr>
            <w:tcW w:w="637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pPr>
              <w:widowControl/>
              <w:autoSpaceDN w:val="0"/>
              <w:jc w:val="center"/>
              <w:rPr>
                <w:rFonts w:ascii="Times New Roman" w:cs="宋体" w:hAnsi="Times New Roman"/>
                <w:kern w:val="0"/>
                <w:sz w:val="20"/>
                <w:szCs w:val="20"/>
                <w:lang w:bidi="ar-SA"/>
              </w:rPr>
            </w:pPr>
            <w:r>
              <w:rPr>
                <w:rFonts w:ascii="Times New Roman" w:cs="宋体" w:hAnsi="Times New Roman" w:hint="eastAsia"/>
                <w:kern w:val="0"/>
                <w:sz w:val="20"/>
                <w:szCs w:val="20"/>
                <w:lang w:bidi="ar-SA"/>
              </w:rPr>
              <w:t>合</w:t>
            </w:r>
            <w:r>
              <w:rPr>
                <w:rFonts w:ascii="Times New Roman" w:cs="宋体" w:hAnsi="Times New Roman"/>
                <w:kern w:val="0"/>
                <w:sz w:val="20"/>
                <w:szCs w:val="20"/>
                <w:lang w:bidi="ar-SA"/>
              </w:rPr>
              <w:t xml:space="preserve">  </w:t>
            </w:r>
            <w:r>
              <w:rPr>
                <w:rFonts w:ascii="Times New Roman" w:cs="宋体" w:hAnsi="Times New Roman" w:hint="eastAsia"/>
                <w:kern w:val="0"/>
                <w:sz w:val="20"/>
                <w:szCs w:val="20"/>
                <w:lang w:bidi="ar-SA"/>
              </w:rPr>
              <w:t>计</w:t>
            </w:r>
          </w:p>
        </w:tc>
        <w:tc>
          <w:tcPr>
            <w:tcW w:w="2552"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宋体" w:hAnsi="Times New Roman"/>
                <w:kern w:val="0"/>
                <w:sz w:val="20"/>
                <w:szCs w:val="20"/>
                <w:lang w:bidi="ar-SA"/>
              </w:rPr>
            </w:pPr>
            <w:r>
              <w:rPr>
                <w:rFonts w:ascii="Times New Roman" w:cs="宋体" w:hAnsi="Times New Roman" w:hint="eastAsia"/>
                <w:kern w:val="0"/>
                <w:sz w:val="20"/>
                <w:szCs w:val="20"/>
                <w:lang w:bidi="ar-SA"/>
              </w:rPr>
              <w:t>　</w:t>
            </w:r>
          </w:p>
        </w:tc>
        <w:tc>
          <w:tcPr>
            <w:tcW w:w="2551"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宋体" w:hAnsi="Times New Roman"/>
                <w:kern w:val="0"/>
                <w:sz w:val="20"/>
                <w:szCs w:val="20"/>
                <w:lang w:bidi="ar-SA"/>
              </w:rPr>
            </w:pPr>
            <w:r>
              <w:rPr>
                <w:rFonts w:ascii="Times New Roman" w:cs="宋体" w:hAnsi="Times New Roman" w:hint="eastAsia"/>
                <w:kern w:val="0"/>
                <w:sz w:val="20"/>
                <w:szCs w:val="20"/>
                <w:lang w:bidi="ar-SA"/>
              </w:rPr>
              <w:t>　</w:t>
            </w:r>
          </w:p>
        </w:tc>
        <w:tc>
          <w:tcPr>
            <w:tcW w:w="2410" w:type="dxa"/>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宋体" w:hAnsi="Times New Roman"/>
                <w:kern w:val="0"/>
                <w:sz w:val="20"/>
                <w:szCs w:val="20"/>
                <w:lang w:bidi="ar-SA"/>
              </w:rPr>
            </w:pPr>
            <w:r>
              <w:rPr>
                <w:rFonts w:ascii="Times New Roman" w:cs="宋体" w:hAnsi="Times New Roman" w:hint="eastAsia"/>
                <w:kern w:val="0"/>
                <w:sz w:val="20"/>
                <w:szCs w:val="20"/>
                <w:lang w:bidi="ar-SA"/>
              </w:rPr>
              <w:t>　</w:t>
            </w:r>
          </w:p>
        </w:tc>
      </w:tr>
    </w:tbl>
    <w:p>
      <w:pPr>
        <w:autoSpaceDN w:val="0"/>
        <w:rPr>
          <w:rFonts w:ascii="Times New Roman" w:eastAsia="方正仿宋_GBK" w:cs="Times New Roman" w:hAnsi="Times New Roman"/>
          <w:sz w:val="24"/>
          <w:szCs w:val="24"/>
          <w:lang w:bidi="ar-SA"/>
        </w:rPr>
      </w:pPr>
      <w:r>
        <w:rPr>
          <w:rFonts w:ascii="Times New Roman" w:eastAsia="方正仿宋_GBK" w:cs="Times New Roman" w:hAnsi="Times New Roman" w:hint="eastAsia"/>
          <w:sz w:val="24"/>
          <w:szCs w:val="24"/>
          <w:lang w:bidi="ar-SA"/>
        </w:rPr>
        <w:t>注：鄂尔多斯海关无政府性基金预算拨款收入，也无使用政府性基金安排的支出，故本表无数据。</w:t>
      </w:r>
    </w:p>
    <w:p>
      <w:pPr>
        <w:autoSpaceDN w:val="0"/>
        <w:jc w:val="center"/>
        <w:rPr>
          <w:rFonts w:ascii="Times New Roman" w:eastAsia="方正仿宋_GBK" w:cs="Times New Roman" w:hAnsi="Times New Roman"/>
          <w:sz w:val="32"/>
          <w:szCs w:val="32"/>
        </w:rPr>
      </w:pPr>
    </w:p>
    <w:p>
      <w:pPr>
        <w:autoSpaceDN w:val="0"/>
        <w:jc w:val="center"/>
        <w:rPr>
          <w:rFonts w:ascii="Times New Roman" w:eastAsia="方正仿宋_GBK" w:cs="Times New Roman" w:hAnsi="Times New Roman"/>
          <w:sz w:val="32"/>
          <w:szCs w:val="32"/>
        </w:rPr>
      </w:pPr>
    </w:p>
    <w:tbl>
      <w:tblPr>
        <w:jc w:val="center"/>
        <w:tblW w:w="1408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119"/>
        <w:gridCol w:w="3402"/>
        <w:gridCol w:w="2551"/>
        <w:gridCol w:w="2410"/>
        <w:gridCol w:w="2598"/>
      </w:tblGrid>
      <w:tr>
        <w:trPr>
          <w:trHeight w:val="285"/>
        </w:trPr>
        <w:tc>
          <w:tcPr>
            <w:tcW w:w="3119" w:type="dxa"/>
            <w:tcBorders>
              <w:top w:val="nil"/>
              <w:left w:val="nil"/>
              <w:bottom w:val="nil"/>
              <w:right w:val="nil"/>
            </w:tcBorders>
            <w:shd w:val="clear" w:color="auto" w:fill="auto"/>
            <w:noWrap/>
            <w:vAlign w:val="center"/>
          </w:tcPr>
          <w:p>
            <w:pPr>
              <w:widowControl/>
              <w:autoSpaceDN w:val="0"/>
              <w:jc w:val="left"/>
              <w:rPr>
                <w:rFonts w:ascii="Times New Roman" w:cs="宋体" w:hAnsi="Times New Roman"/>
                <w:kern w:val="0"/>
                <w:sz w:val="24"/>
                <w:szCs w:val="24"/>
                <w:lang w:bidi="ar-SA"/>
              </w:rPr>
            </w:pPr>
          </w:p>
        </w:tc>
        <w:tc>
          <w:tcPr>
            <w:tcW w:w="3402" w:type="dxa"/>
            <w:tcBorders>
              <w:top w:val="nil"/>
              <w:left w:val="nil"/>
              <w:bottom w:val="nil"/>
              <w:right w:val="nil"/>
            </w:tcBorders>
            <w:shd w:val="clear" w:color="auto" w:fill="auto"/>
            <w:noWrap/>
            <w:vAlign w:val="center"/>
          </w:tcPr>
          <w:p>
            <w:pPr>
              <w:widowControl/>
              <w:autoSpaceDN w:val="0"/>
              <w:jc w:val="left"/>
              <w:rPr>
                <w:rFonts w:ascii="Times New Roman" w:eastAsia="Times New Roman" w:cs="Times New Roman" w:hAnsi="Times New Roman"/>
                <w:kern w:val="0"/>
                <w:sz w:val="20"/>
                <w:szCs w:val="20"/>
                <w:lang w:bidi="ar-SA"/>
              </w:rPr>
            </w:pPr>
          </w:p>
        </w:tc>
        <w:tc>
          <w:tcPr>
            <w:tcW w:w="2551" w:type="dxa"/>
            <w:tcBorders>
              <w:top w:val="nil"/>
              <w:left w:val="nil"/>
              <w:bottom w:val="nil"/>
              <w:right w:val="nil"/>
            </w:tcBorders>
            <w:shd w:val="clear" w:color="auto" w:fill="auto"/>
            <w:noWrap/>
            <w:vAlign w:val="center"/>
          </w:tcPr>
          <w:p>
            <w:pPr>
              <w:widowControl/>
              <w:autoSpaceDN w:val="0"/>
              <w:jc w:val="left"/>
              <w:rPr>
                <w:rFonts w:ascii="Times New Roman" w:eastAsia="Times New Roman" w:cs="Times New Roman" w:hAnsi="Times New Roman"/>
                <w:kern w:val="0"/>
                <w:sz w:val="20"/>
                <w:szCs w:val="20"/>
                <w:lang w:bidi="ar-SA"/>
              </w:rPr>
            </w:pPr>
          </w:p>
        </w:tc>
        <w:tc>
          <w:tcPr>
            <w:tcW w:w="2410" w:type="dxa"/>
            <w:tcBorders>
              <w:top w:val="nil"/>
              <w:left w:val="nil"/>
              <w:bottom w:val="nil"/>
              <w:right w:val="nil"/>
            </w:tcBorders>
            <w:shd w:val="clear" w:color="auto" w:fill="auto"/>
            <w:noWrap/>
            <w:vAlign w:val="center"/>
          </w:tcPr>
          <w:p>
            <w:pPr>
              <w:widowControl/>
              <w:autoSpaceDN w:val="0"/>
              <w:jc w:val="left"/>
              <w:rPr>
                <w:rFonts w:ascii="Times New Roman" w:eastAsia="Times New Roman" w:cs="Times New Roman" w:hAnsi="Times New Roman"/>
                <w:kern w:val="0"/>
                <w:sz w:val="20"/>
                <w:szCs w:val="20"/>
                <w:lang w:bidi="ar-SA"/>
              </w:rPr>
            </w:pPr>
          </w:p>
        </w:tc>
        <w:tc>
          <w:tcPr>
            <w:tcW w:w="2598" w:type="dxa"/>
            <w:tcBorders>
              <w:top w:val="nil"/>
              <w:left w:val="nil"/>
              <w:bottom w:val="nil"/>
              <w:right w:val="nil"/>
            </w:tcBorders>
            <w:shd w:val="clear" w:color="auto" w:fill="auto"/>
            <w:noWrap/>
            <w:vAlign w:val="center"/>
          </w:tcPr>
          <w:p>
            <w:pPr>
              <w:widowControl/>
              <w:autoSpaceDN w:val="0"/>
              <w:jc w:val="right"/>
              <w:rPr>
                <w:rFonts w:ascii="Times New Roman" w:eastAsia="黑体" w:cs="宋体" w:hAnsi="Times New Roman"/>
                <w:kern w:val="0"/>
                <w:sz w:val="20"/>
                <w:szCs w:val="20"/>
                <w:lang w:bidi="ar-SA"/>
              </w:rPr>
            </w:pPr>
            <w:r>
              <w:rPr>
                <w:rFonts w:ascii="Times New Roman" w:eastAsia="黑体" w:cs="宋体" w:hAnsi="Times New Roman" w:hint="eastAsia"/>
                <w:kern w:val="0"/>
                <w:sz w:val="20"/>
                <w:szCs w:val="20"/>
                <w:lang w:bidi="ar-SA"/>
              </w:rPr>
              <w:t>部门公开表</w:t>
            </w:r>
            <w:r>
              <w:rPr>
                <w:rFonts w:ascii="Times New Roman" w:eastAsia="黑体" w:cs="宋体" w:hAnsi="Times New Roman"/>
                <w:kern w:val="0"/>
                <w:sz w:val="20"/>
                <w:szCs w:val="20"/>
                <w:lang w:bidi="ar-SA"/>
              </w:rPr>
              <w:t>8</w:t>
            </w:r>
          </w:p>
        </w:tc>
      </w:tr>
      <w:tr>
        <w:trPr>
          <w:trHeight w:val="450"/>
        </w:trPr>
        <w:tc>
          <w:tcPr>
            <w:tcW w:w="14080" w:type="dxa"/>
            <w:gridSpan w:val="5"/>
            <w:tcBorders>
              <w:top w:val="nil"/>
              <w:left w:val="nil"/>
              <w:bottom w:val="nil"/>
              <w:right w:val="nil"/>
            </w:tcBorders>
            <w:shd w:val="clear" w:color="auto" w:fill="auto"/>
            <w:vAlign w:val="center"/>
          </w:tcPr>
          <w:p>
            <w:pPr>
              <w:widowControl/>
              <w:autoSpaceDN w:val="0"/>
              <w:jc w:val="center"/>
              <w:rPr>
                <w:rFonts w:ascii="Times New Roman" w:cs="宋体" w:hAnsi="Times New Roman"/>
                <w:kern w:val="0"/>
                <w:sz w:val="36"/>
                <w:szCs w:val="36"/>
                <w:lang w:bidi="ar-SA"/>
              </w:rPr>
            </w:pPr>
            <w:r>
              <w:rPr>
                <w:rFonts w:ascii="Times New Roman" w:cs="宋体" w:hAnsi="Times New Roman" w:hint="eastAsia"/>
                <w:kern w:val="0"/>
                <w:sz w:val="36"/>
                <w:szCs w:val="36"/>
                <w:lang w:bidi="ar-SA"/>
              </w:rPr>
              <w:t>国有资本经营预算支出表</w:t>
            </w:r>
          </w:p>
        </w:tc>
      </w:tr>
      <w:tr>
        <w:trPr>
          <w:trHeight w:val="285"/>
        </w:trPr>
        <w:tc>
          <w:tcPr>
            <w:tcW w:w="6521" w:type="dxa"/>
            <w:gridSpan w:val="2"/>
            <w:tcBorders>
              <w:top w:val="nil"/>
              <w:left w:val="nil"/>
              <w:bottom w:val="single" w:sz="4" w:space="0" w:color="auto"/>
              <w:right w:val="nil"/>
            </w:tcBorders>
            <w:shd w:val="clear" w:color="auto" w:fill="auto"/>
            <w:noWrap/>
            <w:vAlign w:val="center"/>
          </w:tcPr>
          <w:p>
            <w:pPr>
              <w:widowControl/>
              <w:autoSpaceDN w:val="0"/>
              <w:jc w:val="left"/>
              <w:rPr>
                <w:rFonts w:ascii="Times New Roman" w:cs="宋体" w:hAnsi="Times New Roman"/>
                <w:color w:val="000000"/>
                <w:kern w:val="0"/>
                <w:sz w:val="18"/>
                <w:szCs w:val="18"/>
                <w:lang w:bidi="ar-SA"/>
              </w:rPr>
            </w:pPr>
            <w:r>
              <w:rPr>
                <w:rFonts w:ascii="Times New Roman" w:cs="宋体" w:hAnsi="Times New Roman" w:hint="eastAsia"/>
                <w:color w:val="000000"/>
                <w:kern w:val="0"/>
                <w:sz w:val="18"/>
                <w:szCs w:val="18"/>
                <w:lang w:bidi="ar-SA"/>
              </w:rPr>
              <w:t>　单位名称：中华人民共和国鄂尔多斯海关</w:t>
            </w:r>
          </w:p>
        </w:tc>
        <w:tc>
          <w:tcPr>
            <w:tcW w:w="2551" w:type="dxa"/>
            <w:tcBorders>
              <w:top w:val="nil"/>
              <w:left w:val="nil"/>
              <w:bottom w:val="single" w:sz="4" w:space="0" w:color="auto"/>
              <w:right w:val="nil"/>
            </w:tcBorders>
            <w:shd w:val="clear" w:color="auto" w:fill="auto"/>
            <w:noWrap/>
            <w:vAlign w:val="center"/>
          </w:tcPr>
          <w:p>
            <w:pPr>
              <w:widowControl/>
              <w:autoSpaceDN w:val="0"/>
              <w:jc w:val="center"/>
              <w:rPr>
                <w:rFonts w:ascii="Times New Roman" w:cs="宋体" w:hAnsi="Times New Roman"/>
                <w:color w:val="000000"/>
                <w:kern w:val="0"/>
                <w:sz w:val="22"/>
                <w:lang w:bidi="ar-SA"/>
              </w:rPr>
            </w:pPr>
            <w:r>
              <w:rPr>
                <w:rFonts w:ascii="Times New Roman" w:cs="宋体" w:hAnsi="Times New Roman" w:hint="eastAsia"/>
                <w:color w:val="000000"/>
                <w:kern w:val="0"/>
                <w:sz w:val="22"/>
                <w:lang w:bidi="ar-SA"/>
              </w:rPr>
              <w:t>　</w:t>
            </w:r>
          </w:p>
        </w:tc>
        <w:tc>
          <w:tcPr>
            <w:tcW w:w="2410" w:type="dxa"/>
            <w:tcBorders>
              <w:top w:val="nil"/>
              <w:left w:val="nil"/>
              <w:bottom w:val="single" w:sz="4" w:space="0" w:color="auto"/>
              <w:right w:val="nil"/>
            </w:tcBorders>
            <w:shd w:val="clear" w:color="auto" w:fill="auto"/>
            <w:noWrap/>
            <w:vAlign w:val="center"/>
          </w:tcPr>
          <w:p>
            <w:pPr>
              <w:widowControl/>
              <w:autoSpaceDN w:val="0"/>
              <w:jc w:val="center"/>
              <w:rPr>
                <w:rFonts w:ascii="Times New Roman" w:cs="宋体" w:hAnsi="Times New Roman"/>
                <w:color w:val="000000"/>
                <w:kern w:val="0"/>
                <w:sz w:val="22"/>
                <w:lang w:bidi="ar-SA"/>
              </w:rPr>
            </w:pPr>
            <w:r>
              <w:rPr>
                <w:rFonts w:ascii="Times New Roman" w:cs="宋体" w:hAnsi="Times New Roman" w:hint="eastAsia"/>
                <w:color w:val="000000"/>
                <w:kern w:val="0"/>
                <w:sz w:val="22"/>
                <w:lang w:bidi="ar-SA"/>
              </w:rPr>
              <w:t>　</w:t>
            </w:r>
          </w:p>
        </w:tc>
        <w:tc>
          <w:tcPr>
            <w:tcW w:w="2598" w:type="dxa"/>
            <w:tcBorders>
              <w:top w:val="nil"/>
              <w:left w:val="nil"/>
              <w:bottom w:val="nil"/>
              <w:right w:val="nil"/>
            </w:tcBorders>
            <w:shd w:val="clear" w:color="auto" w:fill="auto"/>
            <w:noWrap/>
            <w:vAlign w:val="center"/>
          </w:tcPr>
          <w:p>
            <w:pPr>
              <w:widowControl/>
              <w:autoSpaceDN w:val="0"/>
              <w:jc w:val="right"/>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单位：万元</w:t>
            </w:r>
          </w:p>
        </w:tc>
      </w:tr>
      <w:tr>
        <w:trPr>
          <w:trHeight w:hRule="exact" w:val="567"/>
        </w:trPr>
        <w:tc>
          <w:tcPr>
            <w:tcW w:w="3119" w:type="dxa"/>
            <w:vMerge w:val="restart"/>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科目编码</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科目名称</w:t>
            </w:r>
          </w:p>
        </w:tc>
        <w:tc>
          <w:tcPr>
            <w:tcW w:w="7559" w:type="dxa"/>
            <w:gridSpan w:val="3"/>
            <w:tcBorders>
              <w:top w:val="single" w:sz="4" w:space="0" w:color="auto"/>
              <w:left w:val="nil"/>
              <w:bottom w:val="single" w:sz="4" w:space="0" w:color="auto"/>
              <w:right w:val="single" w:sz="4" w:space="0" w:color="auto"/>
            </w:tcBorders>
            <w:shd w:val="clear" w:color="auto" w:fill="auto"/>
            <w:vAlign w:val="center"/>
          </w:tcPr>
          <w:p>
            <w:pPr>
              <w:widowControl/>
              <w:autoSpaceDN w:val="0"/>
              <w:jc w:val="center"/>
              <w:rPr>
                <w:rFonts w:ascii="Times New Roman" w:cs="宋体" w:hAnsi="Times New Roman"/>
                <w:color w:val="000000"/>
                <w:kern w:val="0"/>
                <w:sz w:val="20"/>
                <w:szCs w:val="20"/>
                <w:lang w:bidi="ar-SA"/>
              </w:rPr>
            </w:pPr>
            <w:r>
              <w:rPr>
                <w:rFonts w:ascii="Times New Roman" w:cs="宋体" w:hAnsi="Times New Roman"/>
                <w:color w:val="000000"/>
                <w:kern w:val="0"/>
                <w:sz w:val="20"/>
                <w:szCs w:val="20"/>
                <w:lang w:bidi="ar-SA"/>
              </w:rPr>
              <w:t>2024</w:t>
            </w:r>
            <w:r>
              <w:rPr>
                <w:rFonts w:ascii="Times New Roman" w:cs="宋体" w:hAnsi="Times New Roman" w:hint="eastAsia"/>
                <w:color w:val="000000"/>
                <w:kern w:val="0"/>
                <w:sz w:val="20"/>
                <w:szCs w:val="20"/>
                <w:lang w:bidi="ar-SA"/>
              </w:rPr>
              <w:t>年国有资本经营预算支出</w:t>
            </w:r>
          </w:p>
        </w:tc>
      </w:tr>
      <w:tr>
        <w:trPr>
          <w:trHeight w:hRule="exact" w:val="567"/>
        </w:trPr>
        <w:tc>
          <w:tcPr>
            <w:tcW w:w="3119" w:type="dxa"/>
            <w:vMerge/>
            <w:tcBorders>
              <w:top w:val="nil"/>
              <w:left w:val="single" w:sz="4" w:space="0" w:color="auto"/>
              <w:bottom w:val="single" w:sz="4" w:space="0" w:color="auto"/>
              <w:right w:val="single" w:sz="4" w:space="0" w:color="auto"/>
            </w:tcBorders>
            <w:vAlign w:val="center"/>
          </w:tcPr>
          <w:p/>
        </w:tc>
        <w:tc>
          <w:tcPr>
            <w:tcW w:w="3402" w:type="dxa"/>
            <w:vMerge/>
            <w:tcBorders>
              <w:top w:val="nil"/>
              <w:left w:val="single" w:sz="4" w:space="0" w:color="auto"/>
              <w:bottom w:val="single" w:sz="4" w:space="0" w:color="auto"/>
              <w:right w:val="single" w:sz="4" w:space="0" w:color="auto"/>
            </w:tcBorders>
            <w:vAlign w:val="center"/>
          </w:tcPr>
          <w:p/>
        </w:tc>
        <w:tc>
          <w:tcPr>
            <w:tcW w:w="2551"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小计</w:t>
            </w:r>
          </w:p>
        </w:tc>
        <w:tc>
          <w:tcPr>
            <w:tcW w:w="2410"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基本支出</w:t>
            </w:r>
          </w:p>
        </w:tc>
        <w:tc>
          <w:tcPr>
            <w:tcW w:w="2598"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项目支出</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　</w:t>
            </w:r>
          </w:p>
        </w:tc>
        <w:tc>
          <w:tcPr>
            <w:tcW w:w="3402" w:type="dxa"/>
            <w:tcBorders>
              <w:top w:val="nil"/>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　</w:t>
            </w:r>
          </w:p>
        </w:tc>
        <w:tc>
          <w:tcPr>
            <w:tcW w:w="2551"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　</w:t>
            </w:r>
          </w:p>
        </w:tc>
        <w:tc>
          <w:tcPr>
            <w:tcW w:w="2410"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　</w:t>
            </w:r>
          </w:p>
        </w:tc>
        <w:tc>
          <w:tcPr>
            <w:tcW w:w="2598"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　</w:t>
            </w:r>
          </w:p>
        </w:tc>
        <w:tc>
          <w:tcPr>
            <w:tcW w:w="3402" w:type="dxa"/>
            <w:tcBorders>
              <w:top w:val="nil"/>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　</w:t>
            </w:r>
          </w:p>
        </w:tc>
        <w:tc>
          <w:tcPr>
            <w:tcW w:w="2551"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　</w:t>
            </w:r>
          </w:p>
        </w:tc>
        <w:tc>
          <w:tcPr>
            <w:tcW w:w="2410"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　</w:t>
            </w:r>
          </w:p>
        </w:tc>
        <w:tc>
          <w:tcPr>
            <w:tcW w:w="2598"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　</w:t>
            </w:r>
          </w:p>
        </w:tc>
        <w:tc>
          <w:tcPr>
            <w:tcW w:w="3402" w:type="dxa"/>
            <w:tcBorders>
              <w:top w:val="nil"/>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　</w:t>
            </w:r>
          </w:p>
        </w:tc>
        <w:tc>
          <w:tcPr>
            <w:tcW w:w="2551"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　</w:t>
            </w:r>
          </w:p>
        </w:tc>
        <w:tc>
          <w:tcPr>
            <w:tcW w:w="2410"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　</w:t>
            </w:r>
          </w:p>
        </w:tc>
        <w:tc>
          <w:tcPr>
            <w:tcW w:w="2598"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　</w:t>
            </w:r>
          </w:p>
        </w:tc>
        <w:tc>
          <w:tcPr>
            <w:tcW w:w="3402" w:type="dxa"/>
            <w:tcBorders>
              <w:top w:val="nil"/>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　</w:t>
            </w:r>
          </w:p>
        </w:tc>
        <w:tc>
          <w:tcPr>
            <w:tcW w:w="2551"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　</w:t>
            </w:r>
          </w:p>
        </w:tc>
        <w:tc>
          <w:tcPr>
            <w:tcW w:w="2410"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　</w:t>
            </w:r>
          </w:p>
        </w:tc>
        <w:tc>
          <w:tcPr>
            <w:tcW w:w="2598"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　</w:t>
            </w:r>
          </w:p>
        </w:tc>
        <w:tc>
          <w:tcPr>
            <w:tcW w:w="3402" w:type="dxa"/>
            <w:tcBorders>
              <w:top w:val="nil"/>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　</w:t>
            </w:r>
          </w:p>
        </w:tc>
        <w:tc>
          <w:tcPr>
            <w:tcW w:w="2551"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　</w:t>
            </w:r>
          </w:p>
        </w:tc>
        <w:tc>
          <w:tcPr>
            <w:tcW w:w="2410"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　</w:t>
            </w:r>
          </w:p>
        </w:tc>
        <w:tc>
          <w:tcPr>
            <w:tcW w:w="2598"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　</w:t>
            </w:r>
          </w:p>
        </w:tc>
        <w:tc>
          <w:tcPr>
            <w:tcW w:w="3402" w:type="dxa"/>
            <w:tcBorders>
              <w:top w:val="nil"/>
              <w:left w:val="nil"/>
              <w:bottom w:val="single" w:sz="4" w:space="0" w:color="auto"/>
              <w:right w:val="single" w:sz="4" w:space="0" w:color="auto"/>
            </w:tcBorders>
            <w:shd w:val="clear" w:color="auto" w:fill="auto"/>
            <w:noWrap/>
            <w:vAlign w:val="center"/>
          </w:tcPr>
          <w:p>
            <w:pPr>
              <w:widowControl/>
              <w:autoSpaceDN w:val="0"/>
              <w:jc w:val="left"/>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　</w:t>
            </w:r>
          </w:p>
        </w:tc>
        <w:tc>
          <w:tcPr>
            <w:tcW w:w="2551"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　</w:t>
            </w:r>
          </w:p>
        </w:tc>
        <w:tc>
          <w:tcPr>
            <w:tcW w:w="2410"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　</w:t>
            </w:r>
          </w:p>
        </w:tc>
        <w:tc>
          <w:tcPr>
            <w:tcW w:w="2598"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　</w:t>
            </w:r>
          </w:p>
        </w:tc>
      </w:tr>
      <w:tr>
        <w:trPr>
          <w:trHeight w:hRule="exact" w:val="567"/>
        </w:trPr>
        <w:tc>
          <w:tcPr>
            <w:tcW w:w="652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autoSpaceDN w:val="0"/>
              <w:jc w:val="center"/>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合</w:t>
            </w:r>
            <w:r>
              <w:rPr>
                <w:rFonts w:ascii="Times New Roman" w:cs="宋体" w:hAnsi="Times New Roman"/>
                <w:color w:val="000000"/>
                <w:kern w:val="0"/>
                <w:sz w:val="20"/>
                <w:szCs w:val="20"/>
                <w:lang w:bidi="ar-SA"/>
              </w:rPr>
              <w:t xml:space="preserve">   </w:t>
            </w:r>
            <w:r>
              <w:rPr>
                <w:rFonts w:ascii="Times New Roman" w:cs="宋体" w:hAnsi="Times New Roman" w:hint="eastAsia"/>
                <w:color w:val="000000"/>
                <w:kern w:val="0"/>
                <w:sz w:val="20"/>
                <w:szCs w:val="20"/>
                <w:lang w:bidi="ar-SA"/>
              </w:rPr>
              <w:t>计</w:t>
            </w:r>
          </w:p>
        </w:tc>
        <w:tc>
          <w:tcPr>
            <w:tcW w:w="2551"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　</w:t>
            </w:r>
          </w:p>
        </w:tc>
        <w:tc>
          <w:tcPr>
            <w:tcW w:w="2410"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　</w:t>
            </w:r>
          </w:p>
        </w:tc>
        <w:tc>
          <w:tcPr>
            <w:tcW w:w="2598"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宋体" w:hAnsi="Times New Roman"/>
                <w:color w:val="000000"/>
                <w:kern w:val="0"/>
                <w:sz w:val="20"/>
                <w:szCs w:val="20"/>
                <w:lang w:bidi="ar-SA"/>
              </w:rPr>
            </w:pPr>
            <w:r>
              <w:rPr>
                <w:rFonts w:ascii="Times New Roman" w:cs="宋体" w:hAnsi="Times New Roman" w:hint="eastAsia"/>
                <w:color w:val="000000"/>
                <w:kern w:val="0"/>
                <w:sz w:val="20"/>
                <w:szCs w:val="20"/>
                <w:lang w:bidi="ar-SA"/>
              </w:rPr>
              <w:t>　</w:t>
            </w:r>
          </w:p>
        </w:tc>
      </w:tr>
    </w:tbl>
    <w:p>
      <w:pPr>
        <w:autoSpaceDN w:val="0"/>
        <w:rPr>
          <w:rFonts w:ascii="Times New Roman" w:eastAsia="方正仿宋_GBK" w:cs="Times New Roman" w:hAnsi="Times New Roman"/>
          <w:sz w:val="24"/>
          <w:szCs w:val="24"/>
          <w:lang w:bidi="ar-SA"/>
        </w:rPr>
      </w:pPr>
      <w:r>
        <w:rPr>
          <w:rFonts w:ascii="Times New Roman" w:eastAsia="方正仿宋_GBK" w:cs="Times New Roman" w:hAnsi="Times New Roman" w:hint="eastAsia"/>
          <w:sz w:val="24"/>
          <w:szCs w:val="24"/>
          <w:lang w:bidi="ar-SA"/>
        </w:rPr>
        <w:t>注：鄂尔多斯海关无国有资本经营预算收入，也无国有资本经营预算安排的支出，故本表无数据。</w:t>
      </w:r>
    </w:p>
    <w:p>
      <w:pPr>
        <w:autoSpaceDN w:val="0"/>
        <w:jc w:val="center"/>
        <w:rPr>
          <w:rFonts w:ascii="Times New Roman" w:eastAsia="方正仿宋_GBK" w:cs="Times New Roman" w:hAnsi="Times New Roman"/>
          <w:sz w:val="32"/>
          <w:szCs w:val="32"/>
        </w:rPr>
      </w:pPr>
    </w:p>
    <w:p>
      <w:pPr>
        <w:autoSpaceDN w:val="0"/>
        <w:rPr>
          <w:rFonts w:ascii="Times New Roman" w:eastAsia="方正仿宋_GBK" w:cs="Times New Roman" w:hAnsi="Times New Roman"/>
          <w:sz w:val="32"/>
          <w:szCs w:val="32"/>
        </w:rPr>
      </w:pPr>
    </w:p>
    <w:tbl>
      <w:tblPr>
        <w:tblpPr w:leftFromText="180" w:rightFromText="180" w:vertAnchor="page" w:horzAnchor="margin" w:tblpXSpec="left" w:tblpY="2242"/>
        <w:tblW w:w="1400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235"/>
        <w:gridCol w:w="2075"/>
        <w:gridCol w:w="334"/>
        <w:gridCol w:w="774"/>
        <w:gridCol w:w="927"/>
        <w:gridCol w:w="351"/>
        <w:gridCol w:w="1134"/>
        <w:gridCol w:w="783"/>
        <w:gridCol w:w="351"/>
        <w:gridCol w:w="2059"/>
        <w:gridCol w:w="2977"/>
      </w:tblGrid>
      <w:tr>
        <w:trPr>
          <w:trHeight w:val="285"/>
        </w:trPr>
        <w:tc>
          <w:tcPr>
            <w:tcW w:w="4310" w:type="dxa"/>
            <w:gridSpan w:val="2"/>
            <w:tcBorders>
              <w:top w:val="nil"/>
              <w:left w:val="nil"/>
              <w:bottom w:val="nil"/>
              <w:right w:val="nil"/>
            </w:tcBorders>
            <w:shd w:val="clear" w:color="auto" w:fill="auto"/>
            <w:noWrap/>
            <w:vAlign w:val="center"/>
          </w:tcPr>
          <w:p>
            <w:pPr>
              <w:widowControl/>
              <w:autoSpaceDN w:val="0"/>
              <w:jc w:val="left"/>
              <w:rPr>
                <w:rFonts w:ascii="Times New Roman" w:cs="宋体" w:hAnsi="Times New Roman"/>
                <w:kern w:val="0"/>
                <w:sz w:val="24"/>
                <w:szCs w:val="24"/>
                <w:lang w:bidi="ar-SA"/>
              </w:rPr>
            </w:pPr>
          </w:p>
        </w:tc>
        <w:tc>
          <w:tcPr>
            <w:tcW w:w="1108" w:type="dxa"/>
            <w:gridSpan w:val="2"/>
            <w:tcBorders>
              <w:top w:val="nil"/>
              <w:left w:val="nil"/>
              <w:bottom w:val="nil"/>
              <w:right w:val="nil"/>
            </w:tcBorders>
            <w:shd w:val="clear" w:color="auto" w:fill="auto"/>
            <w:noWrap/>
            <w:vAlign w:val="center"/>
          </w:tcPr>
          <w:p>
            <w:pPr>
              <w:widowControl/>
              <w:autoSpaceDN w:val="0"/>
              <w:jc w:val="left"/>
              <w:rPr>
                <w:rFonts w:ascii="Times New Roman" w:eastAsia="Times New Roman" w:cs="Times New Roman" w:hAnsi="Times New Roman"/>
                <w:kern w:val="0"/>
                <w:sz w:val="20"/>
                <w:szCs w:val="20"/>
                <w:lang w:bidi="ar-SA"/>
              </w:rPr>
            </w:pPr>
          </w:p>
        </w:tc>
        <w:tc>
          <w:tcPr>
            <w:tcW w:w="1278" w:type="dxa"/>
            <w:gridSpan w:val="2"/>
            <w:tcBorders>
              <w:top w:val="nil"/>
              <w:left w:val="nil"/>
              <w:bottom w:val="nil"/>
              <w:right w:val="nil"/>
            </w:tcBorders>
            <w:shd w:val="clear" w:color="auto" w:fill="auto"/>
            <w:noWrap/>
            <w:vAlign w:val="center"/>
          </w:tcPr>
          <w:p>
            <w:pPr>
              <w:widowControl/>
              <w:autoSpaceDN w:val="0"/>
              <w:jc w:val="left"/>
              <w:rPr>
                <w:rFonts w:ascii="Times New Roman" w:eastAsia="Times New Roman" w:cs="Times New Roman" w:hAnsi="Times New Roman"/>
                <w:kern w:val="0"/>
                <w:sz w:val="20"/>
                <w:szCs w:val="20"/>
                <w:lang w:bidi="ar-SA"/>
              </w:rPr>
            </w:pPr>
          </w:p>
        </w:tc>
        <w:tc>
          <w:tcPr>
            <w:tcW w:w="1134" w:type="dxa"/>
            <w:tcBorders>
              <w:top w:val="nil"/>
              <w:left w:val="nil"/>
              <w:bottom w:val="nil"/>
              <w:right w:val="nil"/>
            </w:tcBorders>
            <w:shd w:val="clear" w:color="auto" w:fill="auto"/>
            <w:noWrap/>
            <w:vAlign w:val="center"/>
          </w:tcPr>
          <w:p>
            <w:pPr>
              <w:widowControl/>
              <w:autoSpaceDN w:val="0"/>
              <w:jc w:val="left"/>
              <w:rPr>
                <w:rFonts w:ascii="Times New Roman" w:eastAsia="Times New Roman" w:cs="Times New Roman" w:hAnsi="Times New Roman"/>
                <w:kern w:val="0"/>
                <w:sz w:val="20"/>
                <w:szCs w:val="20"/>
                <w:lang w:bidi="ar-SA"/>
              </w:rPr>
            </w:pPr>
          </w:p>
        </w:tc>
        <w:tc>
          <w:tcPr>
            <w:tcW w:w="1134" w:type="dxa"/>
            <w:gridSpan w:val="2"/>
            <w:tcBorders>
              <w:top w:val="nil"/>
              <w:left w:val="nil"/>
              <w:bottom w:val="nil"/>
              <w:right w:val="nil"/>
            </w:tcBorders>
            <w:shd w:val="clear" w:color="auto" w:fill="auto"/>
            <w:noWrap/>
            <w:vAlign w:val="center"/>
          </w:tcPr>
          <w:p>
            <w:pPr>
              <w:widowControl/>
              <w:autoSpaceDN w:val="0"/>
              <w:jc w:val="left"/>
              <w:rPr>
                <w:rFonts w:ascii="Times New Roman" w:eastAsia="Times New Roman" w:cs="Times New Roman" w:hAnsi="Times New Roman"/>
                <w:kern w:val="0"/>
                <w:sz w:val="20"/>
                <w:szCs w:val="20"/>
                <w:lang w:bidi="ar-SA"/>
              </w:rPr>
            </w:pPr>
          </w:p>
        </w:tc>
        <w:tc>
          <w:tcPr>
            <w:tcW w:w="5036" w:type="dxa"/>
            <w:gridSpan w:val="2"/>
            <w:tcBorders>
              <w:top w:val="nil"/>
              <w:left w:val="nil"/>
              <w:bottom w:val="nil"/>
              <w:right w:val="nil"/>
            </w:tcBorders>
            <w:shd w:val="clear" w:color="auto" w:fill="auto"/>
            <w:noWrap/>
            <w:vAlign w:val="center"/>
          </w:tcPr>
          <w:p>
            <w:pPr>
              <w:widowControl/>
              <w:autoSpaceDN w:val="0"/>
              <w:ind w:firstLineChars="1700" w:firstLine="3400"/>
              <w:jc w:val="left"/>
              <w:rPr>
                <w:rFonts w:ascii="Times New Roman" w:eastAsia="Times New Roman" w:cs="Times New Roman" w:hAnsi="Times New Roman"/>
                <w:kern w:val="0"/>
                <w:sz w:val="20"/>
                <w:szCs w:val="20"/>
                <w:lang w:bidi="ar-SA"/>
              </w:rPr>
            </w:pPr>
            <w:r>
              <w:rPr>
                <w:rFonts w:ascii="Times New Roman" w:eastAsia="黑体" w:cs="宋体" w:hAnsi="Times New Roman" w:hint="eastAsia"/>
                <w:kern w:val="0"/>
                <w:sz w:val="20"/>
                <w:szCs w:val="20"/>
                <w:lang w:bidi="ar-SA"/>
              </w:rPr>
              <w:t>部门公开表</w:t>
            </w:r>
            <w:r>
              <w:rPr>
                <w:rFonts w:ascii="Times New Roman" w:eastAsia="黑体" w:cs="宋体" w:hAnsi="Times New Roman"/>
                <w:kern w:val="0"/>
                <w:sz w:val="20"/>
                <w:szCs w:val="20"/>
                <w:lang w:bidi="ar-SA"/>
              </w:rPr>
              <w:t>9</w:t>
            </w:r>
          </w:p>
        </w:tc>
      </w:tr>
      <w:tr>
        <w:trPr>
          <w:trHeight w:val="405"/>
        </w:trPr>
        <w:tc>
          <w:tcPr>
            <w:tcW w:w="14000" w:type="dxa"/>
            <w:gridSpan w:val="11"/>
            <w:tcBorders>
              <w:top w:val="nil"/>
              <w:left w:val="nil"/>
              <w:bottom w:val="nil"/>
              <w:right w:val="nil"/>
            </w:tcBorders>
            <w:shd w:val="clear" w:color="auto" w:fill="auto"/>
            <w:noWrap/>
            <w:vAlign w:val="center"/>
          </w:tcPr>
          <w:p>
            <w:pPr>
              <w:widowControl/>
              <w:autoSpaceDN w:val="0"/>
              <w:jc w:val="center"/>
              <w:rPr>
                <w:rFonts w:ascii="Times New Roman" w:cs="宋体" w:hAnsi="Times New Roman"/>
                <w:kern w:val="0"/>
                <w:sz w:val="36"/>
                <w:szCs w:val="36"/>
                <w:lang w:bidi="ar-SA"/>
              </w:rPr>
            </w:pPr>
            <w:r>
              <w:rPr>
                <w:rFonts w:ascii="Times New Roman" w:cs="宋体" w:hAnsi="Times New Roman" w:hint="eastAsia"/>
                <w:kern w:val="0"/>
                <w:sz w:val="36"/>
                <w:szCs w:val="36"/>
                <w:lang w:bidi="ar-SA"/>
              </w:rPr>
              <w:t>财政拨款预算“三公”经费支出表</w:t>
            </w:r>
          </w:p>
        </w:tc>
      </w:tr>
      <w:tr>
        <w:trPr>
          <w:trHeight w:val="327"/>
        </w:trPr>
        <w:tc>
          <w:tcPr>
            <w:tcW w:w="7830" w:type="dxa"/>
            <w:gridSpan w:val="7"/>
            <w:tcBorders>
              <w:top w:val="nil"/>
              <w:left w:val="nil"/>
              <w:bottom w:val="single" w:sz="4" w:space="0" w:color="auto"/>
              <w:right w:val="nil"/>
            </w:tcBorders>
            <w:shd w:val="clear" w:color="auto" w:fill="auto"/>
            <w:noWrap/>
            <w:vAlign w:val="center"/>
          </w:tcPr>
          <w:p>
            <w:pPr>
              <w:widowControl/>
              <w:autoSpaceDN w:val="0"/>
              <w:jc w:val="left"/>
              <w:rPr>
                <w:rFonts w:ascii="Times New Roman" w:cs="宋体" w:hAnsi="Times New Roman"/>
                <w:kern w:val="0"/>
                <w:sz w:val="18"/>
                <w:szCs w:val="18"/>
                <w:lang w:bidi="ar-SA"/>
              </w:rPr>
            </w:pPr>
            <w:r>
              <w:rPr>
                <w:rFonts w:ascii="Times New Roman" w:cs="宋体" w:hAnsi="Times New Roman" w:hint="eastAsia"/>
                <w:kern w:val="0"/>
                <w:sz w:val="18"/>
                <w:szCs w:val="18"/>
                <w:lang w:bidi="ar-SA"/>
              </w:rPr>
              <w:t>　</w:t>
            </w:r>
            <w:r>
              <w:rPr>
                <w:rFonts w:ascii="Times New Roman" w:cs="宋体" w:hAnsi="Times New Roman" w:hint="eastAsia"/>
                <w:color w:val="000000"/>
                <w:kern w:val="0"/>
                <w:sz w:val="18"/>
                <w:szCs w:val="18"/>
                <w:lang w:bidi="ar-SA"/>
              </w:rPr>
              <w:t>单位名称：中华人民共和国鄂尔多斯海关</w:t>
            </w:r>
          </w:p>
        </w:tc>
        <w:tc>
          <w:tcPr>
            <w:tcW w:w="1134" w:type="dxa"/>
            <w:gridSpan w:val="2"/>
            <w:tcBorders>
              <w:top w:val="nil"/>
              <w:left w:val="nil"/>
              <w:bottom w:val="single" w:sz="4" w:space="0" w:color="auto"/>
              <w:right w:val="nil"/>
            </w:tcBorders>
            <w:shd w:val="clear" w:color="auto" w:fill="auto"/>
            <w:noWrap/>
            <w:vAlign w:val="center"/>
          </w:tcPr>
          <w:p>
            <w:pPr>
              <w:widowControl/>
              <w:autoSpaceDN w:val="0"/>
              <w:jc w:val="left"/>
              <w:rPr>
                <w:rFonts w:ascii="Times New Roman" w:cs="宋体" w:hAnsi="Times New Roman"/>
                <w:kern w:val="0"/>
                <w:sz w:val="18"/>
                <w:szCs w:val="18"/>
                <w:lang w:bidi="ar-SA"/>
              </w:rPr>
            </w:pPr>
            <w:r>
              <w:rPr>
                <w:rFonts w:ascii="Times New Roman" w:cs="宋体" w:hAnsi="Times New Roman" w:hint="eastAsia"/>
                <w:kern w:val="0"/>
                <w:sz w:val="18"/>
                <w:szCs w:val="18"/>
                <w:lang w:bidi="ar-SA"/>
              </w:rPr>
              <w:t>　</w:t>
            </w:r>
          </w:p>
        </w:tc>
        <w:tc>
          <w:tcPr>
            <w:tcW w:w="5036" w:type="dxa"/>
            <w:gridSpan w:val="2"/>
            <w:tcBorders>
              <w:top w:val="nil"/>
              <w:left w:val="nil"/>
              <w:bottom w:val="single" w:sz="4" w:space="0" w:color="auto"/>
              <w:right w:val="nil"/>
            </w:tcBorders>
            <w:shd w:val="clear" w:color="auto" w:fill="auto"/>
            <w:noWrap/>
            <w:vAlign w:val="center"/>
          </w:tcPr>
          <w:p>
            <w:pPr>
              <w:widowControl/>
              <w:autoSpaceDN w:val="0"/>
              <w:jc w:val="left"/>
              <w:rPr>
                <w:rFonts w:ascii="Times New Roman" w:cs="宋体" w:hAnsi="Times New Roman"/>
                <w:kern w:val="0"/>
                <w:sz w:val="18"/>
                <w:szCs w:val="18"/>
                <w:lang w:bidi="ar-SA"/>
              </w:rPr>
            </w:pPr>
            <w:r>
              <w:rPr>
                <w:rFonts w:ascii="Times New Roman" w:cs="宋体" w:hAnsi="Times New Roman" w:hint="eastAsia"/>
                <w:kern w:val="0"/>
                <w:sz w:val="18"/>
                <w:szCs w:val="18"/>
                <w:lang w:bidi="ar-SA"/>
              </w:rPr>
              <w:t>　单位：万元</w:t>
            </w:r>
          </w:p>
        </w:tc>
      </w:tr>
      <w:tr>
        <w:trPr>
          <w:trHeight w:val="660"/>
        </w:trPr>
        <w:tc>
          <w:tcPr>
            <w:tcW w:w="14000" w:type="dxa"/>
            <w:gridSpan w:val="11"/>
            <w:tcBorders>
              <w:top w:val="single" w:sz="4" w:space="0" w:color="auto"/>
              <w:left w:val="single" w:sz="4" w:space="0" w:color="auto"/>
              <w:bottom w:val="single" w:sz="4" w:space="0" w:color="auto"/>
              <w:right w:val="single" w:sz="4" w:space="0" w:color="000000"/>
            </w:tcBorders>
            <w:shd w:val="clear" w:color="auto" w:fill="auto"/>
            <w:vAlign w:val="center"/>
          </w:tcPr>
          <w:p>
            <w:pPr>
              <w:widowControl/>
              <w:autoSpaceDN w:val="0"/>
              <w:jc w:val="center"/>
              <w:rPr>
                <w:rFonts w:ascii="Times New Roman" w:cs="宋体" w:hAnsi="Times New Roman"/>
                <w:kern w:val="0"/>
                <w:sz w:val="20"/>
                <w:szCs w:val="20"/>
                <w:lang w:bidi="ar-SA"/>
              </w:rPr>
            </w:pPr>
            <w:r>
              <w:rPr>
                <w:rFonts w:ascii="Times New Roman" w:cs="宋体" w:hAnsi="Times New Roman"/>
                <w:kern w:val="0"/>
                <w:sz w:val="20"/>
                <w:szCs w:val="20"/>
                <w:lang w:bidi="ar-SA"/>
              </w:rPr>
              <w:t>2024</w:t>
            </w:r>
            <w:r>
              <w:rPr>
                <w:rFonts w:ascii="Times New Roman" w:cs="宋体" w:hAnsi="Times New Roman" w:hint="eastAsia"/>
                <w:kern w:val="0"/>
                <w:sz w:val="20"/>
                <w:szCs w:val="20"/>
                <w:lang w:bidi="ar-SA"/>
              </w:rPr>
              <w:t>年预算数</w:t>
            </w:r>
          </w:p>
        </w:tc>
      </w:tr>
      <w:tr>
        <w:trPr>
          <w:trHeight w:val="870"/>
        </w:trPr>
        <w:tc>
          <w:tcPr>
            <w:tcW w:w="2235" w:type="dxa"/>
            <w:vMerge w:val="restart"/>
            <w:tcBorders>
              <w:top w:val="nil"/>
              <w:left w:val="single" w:sz="4" w:space="0" w:color="auto"/>
              <w:bottom w:val="single" w:sz="4" w:space="0" w:color="000000"/>
              <w:right w:val="single" w:sz="4" w:space="0" w:color="auto"/>
            </w:tcBorders>
            <w:shd w:val="clear" w:color="auto" w:fill="auto"/>
            <w:vAlign w:val="center"/>
          </w:tcPr>
          <w:p>
            <w:pPr>
              <w:widowControl/>
              <w:autoSpaceDN w:val="0"/>
              <w:jc w:val="center"/>
              <w:rPr>
                <w:rFonts w:ascii="Times New Roman" w:cs="宋体" w:hAnsi="Times New Roman"/>
                <w:kern w:val="0"/>
                <w:sz w:val="20"/>
                <w:szCs w:val="20"/>
                <w:lang w:bidi="ar-SA"/>
              </w:rPr>
            </w:pPr>
            <w:r>
              <w:rPr>
                <w:rFonts w:ascii="Times New Roman" w:cs="宋体" w:hAnsi="Times New Roman" w:hint="eastAsia"/>
                <w:kern w:val="0"/>
                <w:sz w:val="20"/>
                <w:szCs w:val="20"/>
                <w:lang w:bidi="ar-SA"/>
              </w:rPr>
              <w:t>合计</w:t>
            </w:r>
          </w:p>
        </w:tc>
        <w:tc>
          <w:tcPr>
            <w:tcW w:w="2409" w:type="dxa"/>
            <w:gridSpan w:val="2"/>
            <w:vMerge w:val="restart"/>
            <w:tcBorders>
              <w:top w:val="nil"/>
              <w:left w:val="single" w:sz="4" w:space="0" w:color="auto"/>
              <w:bottom w:val="single" w:sz="4" w:space="0" w:color="000000"/>
              <w:right w:val="single" w:sz="4" w:space="0" w:color="auto"/>
            </w:tcBorders>
            <w:shd w:val="clear" w:color="auto" w:fill="auto"/>
            <w:vAlign w:val="center"/>
          </w:tcPr>
          <w:p>
            <w:pPr>
              <w:widowControl/>
              <w:autoSpaceDN w:val="0"/>
              <w:jc w:val="center"/>
              <w:rPr>
                <w:rFonts w:ascii="Times New Roman" w:cs="宋体" w:hAnsi="Times New Roman"/>
                <w:kern w:val="0"/>
                <w:sz w:val="20"/>
                <w:szCs w:val="20"/>
                <w:lang w:bidi="ar-SA"/>
              </w:rPr>
            </w:pPr>
            <w:r>
              <w:rPr>
                <w:rFonts w:ascii="Times New Roman" w:cs="宋体" w:hAnsi="Times New Roman" w:hint="eastAsia"/>
                <w:kern w:val="0"/>
                <w:sz w:val="20"/>
                <w:szCs w:val="20"/>
                <w:lang w:bidi="ar-SA"/>
              </w:rPr>
              <w:t>因公出国（境）费</w:t>
            </w:r>
          </w:p>
        </w:tc>
        <w:tc>
          <w:tcPr>
            <w:tcW w:w="6379" w:type="dxa"/>
            <w:gridSpan w:val="7"/>
            <w:tcBorders>
              <w:top w:val="single" w:sz="4" w:space="0" w:color="auto"/>
              <w:left w:val="nil"/>
              <w:bottom w:val="single" w:sz="4" w:space="0" w:color="auto"/>
              <w:right w:val="single" w:sz="4" w:space="0" w:color="000000"/>
            </w:tcBorders>
            <w:shd w:val="clear" w:color="auto" w:fill="auto"/>
            <w:vAlign w:val="center"/>
          </w:tcPr>
          <w:p>
            <w:pPr>
              <w:widowControl/>
              <w:autoSpaceDN w:val="0"/>
              <w:jc w:val="center"/>
              <w:rPr>
                <w:rFonts w:ascii="Times New Roman" w:cs="宋体" w:hAnsi="Times New Roman"/>
                <w:kern w:val="0"/>
                <w:sz w:val="20"/>
                <w:szCs w:val="20"/>
                <w:lang w:bidi="ar-SA"/>
              </w:rPr>
            </w:pPr>
            <w:r>
              <w:rPr>
                <w:rFonts w:ascii="Times New Roman" w:cs="宋体" w:hAnsi="Times New Roman" w:hint="eastAsia"/>
                <w:kern w:val="0"/>
                <w:sz w:val="20"/>
                <w:szCs w:val="20"/>
                <w:lang w:bidi="ar-SA"/>
              </w:rPr>
              <w:t>公务用车购置及运行费</w:t>
            </w:r>
          </w:p>
        </w:tc>
        <w:tc>
          <w:tcPr>
            <w:tcW w:w="2977" w:type="dxa"/>
            <w:vMerge w:val="restart"/>
            <w:tcBorders>
              <w:top w:val="nil"/>
              <w:left w:val="single" w:sz="4" w:space="0" w:color="auto"/>
              <w:bottom w:val="single" w:sz="4" w:space="0" w:color="000000"/>
              <w:right w:val="single" w:sz="4" w:space="0" w:color="auto"/>
            </w:tcBorders>
            <w:shd w:val="clear" w:color="auto" w:fill="auto"/>
            <w:vAlign w:val="center"/>
          </w:tcPr>
          <w:p>
            <w:pPr>
              <w:widowControl/>
              <w:autoSpaceDN w:val="0"/>
              <w:jc w:val="center"/>
              <w:rPr>
                <w:rFonts w:ascii="Times New Roman" w:cs="宋体" w:hAnsi="Times New Roman"/>
                <w:kern w:val="0"/>
                <w:sz w:val="20"/>
                <w:szCs w:val="20"/>
                <w:lang w:bidi="ar-SA"/>
              </w:rPr>
            </w:pPr>
            <w:r>
              <w:rPr>
                <w:rFonts w:ascii="Times New Roman" w:cs="宋体" w:hAnsi="Times New Roman" w:hint="eastAsia"/>
                <w:kern w:val="0"/>
                <w:sz w:val="20"/>
                <w:szCs w:val="20"/>
                <w:lang w:bidi="ar-SA"/>
              </w:rPr>
              <w:t>公务接待费</w:t>
            </w:r>
          </w:p>
        </w:tc>
      </w:tr>
      <w:tr>
        <w:trPr>
          <w:trHeight w:val="735"/>
        </w:trPr>
        <w:tc>
          <w:tcPr>
            <w:tcW w:w="2235" w:type="dxa"/>
            <w:vMerge/>
            <w:tcBorders>
              <w:top w:val="nil"/>
              <w:left w:val="single" w:sz="4" w:space="0" w:color="auto"/>
              <w:bottom w:val="single" w:sz="4" w:space="0" w:color="000000"/>
              <w:right w:val="single" w:sz="4" w:space="0" w:color="auto"/>
            </w:tcBorders>
            <w:vAlign w:val="center"/>
          </w:tcPr>
          <w:p/>
        </w:tc>
        <w:tc>
          <w:tcPr>
            <w:tcW w:w="2409" w:type="dxa"/>
            <w:gridSpan w:val="2"/>
            <w:vMerge/>
            <w:tcBorders>
              <w:top w:val="nil"/>
              <w:left w:val="single" w:sz="4" w:space="0" w:color="auto"/>
              <w:bottom w:val="single" w:sz="4" w:space="0" w:color="000000"/>
              <w:right w:val="single" w:sz="4" w:space="0" w:color="auto"/>
            </w:tcBorders>
            <w:vAlign w:val="center"/>
          </w:tcPr>
          <w:p/>
        </w:tc>
        <w:tc>
          <w:tcPr>
            <w:tcW w:w="1701" w:type="dxa"/>
            <w:gridSpan w:val="2"/>
            <w:tcBorders>
              <w:top w:val="nil"/>
              <w:left w:val="nil"/>
              <w:bottom w:val="single" w:sz="4" w:space="0" w:color="auto"/>
              <w:right w:val="single" w:sz="4" w:space="0" w:color="auto"/>
            </w:tcBorders>
            <w:shd w:val="clear" w:color="auto" w:fill="auto"/>
            <w:vAlign w:val="center"/>
          </w:tcPr>
          <w:p>
            <w:pPr>
              <w:widowControl/>
              <w:autoSpaceDN w:val="0"/>
              <w:jc w:val="center"/>
              <w:rPr>
                <w:rFonts w:ascii="Times New Roman" w:cs="宋体" w:hAnsi="Times New Roman"/>
                <w:kern w:val="0"/>
                <w:sz w:val="20"/>
                <w:szCs w:val="20"/>
                <w:lang w:bidi="ar-SA"/>
              </w:rPr>
            </w:pPr>
            <w:r>
              <w:rPr>
                <w:rFonts w:ascii="Times New Roman" w:cs="宋体" w:hAnsi="Times New Roman" w:hint="eastAsia"/>
                <w:kern w:val="0"/>
                <w:sz w:val="20"/>
                <w:szCs w:val="20"/>
                <w:lang w:bidi="ar-SA"/>
              </w:rPr>
              <w:t>小计</w:t>
            </w:r>
          </w:p>
        </w:tc>
        <w:tc>
          <w:tcPr>
            <w:tcW w:w="2268" w:type="dxa"/>
            <w:gridSpan w:val="3"/>
            <w:tcBorders>
              <w:top w:val="nil"/>
              <w:left w:val="nil"/>
              <w:bottom w:val="single" w:sz="4" w:space="0" w:color="auto"/>
              <w:right w:val="single" w:sz="4" w:space="0" w:color="auto"/>
            </w:tcBorders>
            <w:shd w:val="clear" w:color="auto" w:fill="auto"/>
            <w:vAlign w:val="center"/>
          </w:tcPr>
          <w:p>
            <w:pPr>
              <w:widowControl/>
              <w:autoSpaceDN w:val="0"/>
              <w:jc w:val="center"/>
              <w:rPr>
                <w:rFonts w:ascii="Times New Roman" w:cs="宋体" w:hAnsi="Times New Roman"/>
                <w:kern w:val="0"/>
                <w:sz w:val="20"/>
                <w:szCs w:val="20"/>
                <w:lang w:bidi="ar-SA"/>
              </w:rPr>
            </w:pPr>
            <w:r>
              <w:rPr>
                <w:rFonts w:ascii="Times New Roman" w:cs="宋体" w:hAnsi="Times New Roman" w:hint="eastAsia"/>
                <w:kern w:val="0"/>
                <w:sz w:val="20"/>
                <w:szCs w:val="20"/>
                <w:lang w:bidi="ar-SA"/>
              </w:rPr>
              <w:t>公务用车购置费</w:t>
            </w:r>
          </w:p>
        </w:tc>
        <w:tc>
          <w:tcPr>
            <w:tcW w:w="2410" w:type="dxa"/>
            <w:gridSpan w:val="2"/>
            <w:tcBorders>
              <w:top w:val="nil"/>
              <w:left w:val="nil"/>
              <w:bottom w:val="single" w:sz="4" w:space="0" w:color="auto"/>
              <w:right w:val="single" w:sz="4" w:space="0" w:color="auto"/>
            </w:tcBorders>
            <w:shd w:val="clear" w:color="auto" w:fill="auto"/>
            <w:vAlign w:val="center"/>
          </w:tcPr>
          <w:p>
            <w:pPr>
              <w:widowControl/>
              <w:autoSpaceDN w:val="0"/>
              <w:jc w:val="center"/>
              <w:rPr>
                <w:rFonts w:ascii="Times New Roman" w:cs="宋体" w:hAnsi="Times New Roman"/>
                <w:kern w:val="0"/>
                <w:sz w:val="20"/>
                <w:szCs w:val="20"/>
                <w:lang w:bidi="ar-SA"/>
              </w:rPr>
            </w:pPr>
            <w:r>
              <w:rPr>
                <w:rFonts w:ascii="Times New Roman" w:cs="宋体" w:hAnsi="Times New Roman" w:hint="eastAsia"/>
                <w:kern w:val="0"/>
                <w:sz w:val="20"/>
                <w:szCs w:val="20"/>
                <w:lang w:bidi="ar-SA"/>
              </w:rPr>
              <w:t>公务用车运行费</w:t>
            </w:r>
          </w:p>
        </w:tc>
        <w:tc>
          <w:tcPr>
            <w:tcW w:w="2977" w:type="dxa"/>
            <w:vMerge/>
            <w:tcBorders>
              <w:top w:val="nil"/>
              <w:left w:val="single" w:sz="4" w:space="0" w:color="auto"/>
              <w:bottom w:val="single" w:sz="4" w:space="0" w:color="000000"/>
              <w:right w:val="single" w:sz="4" w:space="0" w:color="auto"/>
            </w:tcBorders>
            <w:vAlign w:val="center"/>
          </w:tcPr>
          <w:p/>
        </w:tc>
      </w:tr>
      <w:tr>
        <w:trPr>
          <w:trHeight w:val="1335"/>
        </w:trPr>
        <w:tc>
          <w:tcPr>
            <w:tcW w:w="2235" w:type="dxa"/>
            <w:tcBorders>
              <w:top w:val="nil"/>
              <w:left w:val="single" w:sz="4" w:space="0" w:color="auto"/>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kern w:val="0"/>
                <w:sz w:val="20"/>
                <w:szCs w:val="20"/>
                <w:lang w:bidi="ar-SA"/>
              </w:rPr>
            </w:pPr>
            <w:r>
              <w:rPr>
                <w:rFonts w:ascii="Times New Roman" w:cs="Times New Roman" w:hAnsi="Times New Roman" w:hint="eastAsia"/>
                <w:kern w:val="0"/>
                <w:sz w:val="20"/>
                <w:szCs w:val="20"/>
                <w:lang w:bidi="ar-SA"/>
              </w:rPr>
              <w:t>49.24</w:t>
            </w:r>
          </w:p>
        </w:tc>
        <w:tc>
          <w:tcPr>
            <w:tcW w:w="2409" w:type="dxa"/>
            <w:gridSpan w:val="2"/>
            <w:tcBorders>
              <w:top w:val="nil"/>
              <w:left w:val="nil"/>
              <w:bottom w:val="single" w:sz="4" w:space="0" w:color="auto"/>
              <w:right w:val="single" w:sz="4" w:space="0" w:color="auto"/>
            </w:tcBorders>
            <w:shd w:val="clear" w:color="auto" w:fill="auto"/>
            <w:noWrap/>
            <w:vAlign w:val="center"/>
          </w:tcPr>
          <w:p>
            <w:pPr>
              <w:widowControl/>
              <w:autoSpaceDN w:val="0"/>
              <w:jc w:val="right"/>
              <w:rPr>
                <w:rFonts w:ascii="Times New Roman" w:cs="Times New Roman" w:hAnsi="Times New Roman"/>
                <w:kern w:val="0"/>
                <w:sz w:val="20"/>
                <w:szCs w:val="20"/>
                <w:lang w:bidi="ar-SA"/>
              </w:rPr>
            </w:pPr>
          </w:p>
        </w:tc>
        <w:tc>
          <w:tcPr>
            <w:tcW w:w="1701" w:type="dxa"/>
            <w:gridSpan w:val="2"/>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kern w:val="0"/>
                <w:sz w:val="20"/>
                <w:szCs w:val="20"/>
                <w:lang w:bidi="ar-SA"/>
              </w:rPr>
            </w:pPr>
            <w:r>
              <w:rPr>
                <w:rFonts w:ascii="Times New Roman" w:cs="Times New Roman" w:hAnsi="Times New Roman" w:hint="eastAsia"/>
                <w:kern w:val="0"/>
                <w:sz w:val="20"/>
                <w:szCs w:val="20"/>
                <w:lang w:bidi="ar-SA"/>
              </w:rPr>
              <w:t>49.24</w:t>
            </w:r>
          </w:p>
        </w:tc>
        <w:tc>
          <w:tcPr>
            <w:tcW w:w="2268" w:type="dxa"/>
            <w:gridSpan w:val="3"/>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kern w:val="0"/>
                <w:sz w:val="20"/>
                <w:szCs w:val="20"/>
                <w:lang w:bidi="ar-SA"/>
              </w:rPr>
            </w:pPr>
            <w:r>
              <w:rPr>
                <w:rFonts w:ascii="Times New Roman" w:cs="Times New Roman" w:hAnsi="Times New Roman" w:hint="eastAsia"/>
                <w:kern w:val="0"/>
                <w:sz w:val="20"/>
                <w:szCs w:val="20"/>
                <w:lang w:bidi="ar-SA"/>
              </w:rPr>
              <w:t>25.00</w:t>
            </w:r>
          </w:p>
        </w:tc>
        <w:tc>
          <w:tcPr>
            <w:tcW w:w="2410" w:type="dxa"/>
            <w:gridSpan w:val="2"/>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kern w:val="0"/>
                <w:sz w:val="20"/>
                <w:szCs w:val="20"/>
                <w:lang w:bidi="ar-SA"/>
              </w:rPr>
            </w:pPr>
            <w:r>
              <w:rPr>
                <w:rFonts w:ascii="Times New Roman" w:cs="Times New Roman" w:hAnsi="Times New Roman" w:hint="eastAsia"/>
                <w:kern w:val="0"/>
                <w:sz w:val="20"/>
                <w:szCs w:val="20"/>
                <w:lang w:bidi="ar-SA"/>
              </w:rPr>
              <w:t>24.24</w:t>
            </w:r>
          </w:p>
        </w:tc>
        <w:tc>
          <w:tcPr>
            <w:tcW w:w="2977"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Times New Roman" w:cs="Times New Roman" w:hAnsi="Times New Roman"/>
                <w:kern w:val="0"/>
                <w:sz w:val="20"/>
                <w:szCs w:val="20"/>
                <w:lang w:bidi="ar-SA"/>
              </w:rPr>
            </w:pPr>
          </w:p>
        </w:tc>
      </w:tr>
    </w:tbl>
    <w:p>
      <w:pPr>
        <w:widowControl/>
        <w:jc w:val="left"/>
        <w:rPr>
          <w:rFonts w:ascii="宋体" w:cs="宋体"/>
          <w:kern w:val="0"/>
          <w:sz w:val="24"/>
          <w:szCs w:val="24"/>
        </w:rPr>
        <w:sectPr>
          <w:pgSz w:w="16838" w:h="11906" w:orient="landscape"/>
          <w:pgMar w:top="1800" w:right="1440" w:bottom="1800" w:left="1440" w:header="851" w:footer="992" w:gutter="0"/>
          <w:docGrid w:type="lines" w:linePitch="312" w:charSpace="0"/>
        </w:sectPr>
      </w:pPr>
    </w:p>
    <w:p>
      <w:pPr>
        <w:autoSpaceDN w:val="0"/>
        <w:jc w:val="center"/>
        <w:rPr>
          <w:rFonts w:ascii="Times New Roman" w:cs="Times New Roman" w:hAnsi="Times New Roman"/>
          <w:b/>
          <w:bCs/>
          <w:sz w:val="84"/>
          <w:szCs w:val="84"/>
        </w:rPr>
      </w:pPr>
    </w:p>
    <w:p>
      <w:pPr>
        <w:autoSpaceDN w:val="0"/>
        <w:jc w:val="center"/>
        <w:rPr>
          <w:rFonts w:ascii="Times New Roman" w:cs="Times New Roman" w:hAnsi="Times New Roman"/>
          <w:b/>
          <w:bCs/>
          <w:sz w:val="84"/>
          <w:szCs w:val="84"/>
        </w:rPr>
      </w:pPr>
    </w:p>
    <w:p>
      <w:pPr>
        <w:autoSpaceDN w:val="0"/>
        <w:jc w:val="center"/>
        <w:rPr>
          <w:rFonts w:ascii="Times New Roman" w:cs="Times New Roman" w:hAnsi="Times New Roman"/>
          <w:b/>
          <w:bCs/>
          <w:sz w:val="84"/>
          <w:szCs w:val="84"/>
        </w:rPr>
      </w:pPr>
    </w:p>
    <w:p>
      <w:pPr>
        <w:autoSpaceDN w:val="0"/>
        <w:jc w:val="center"/>
        <w:rPr>
          <w:rFonts w:ascii="Times New Roman" w:cs="Times New Roman" w:hAnsi="Times New Roman"/>
          <w:b/>
          <w:bCs/>
          <w:sz w:val="84"/>
          <w:szCs w:val="84"/>
        </w:rPr>
      </w:pPr>
    </w:p>
    <w:p>
      <w:pPr>
        <w:autoSpaceDN w:val="0"/>
        <w:jc w:val="center"/>
        <w:rPr>
          <w:rFonts w:ascii="Times New Roman" w:cs="Times New Roman" w:hAnsi="Times New Roman"/>
          <w:b/>
          <w:bCs/>
          <w:sz w:val="84"/>
          <w:szCs w:val="84"/>
        </w:rPr>
      </w:pPr>
      <w:r>
        <w:rPr>
          <w:rFonts w:ascii="Times New Roman" w:hAnsi="Times New Roman" w:hint="eastAsia"/>
          <w:b/>
          <w:bCs/>
          <w:sz w:val="84"/>
          <w:szCs w:val="84"/>
        </w:rPr>
        <w:t>第三部分</w:t>
      </w:r>
      <w:r>
        <w:rPr>
          <w:rFonts w:ascii="Times New Roman" w:cs="Times New Roman" w:hAnsi="Times New Roman"/>
          <w:b/>
          <w:bCs/>
          <w:sz w:val="84"/>
          <w:szCs w:val="84"/>
        </w:rPr>
        <w:t xml:space="preserve">  </w:t>
      </w:r>
    </w:p>
    <w:p>
      <w:pPr>
        <w:autoSpaceDN w:val="0"/>
        <w:jc w:val="center"/>
        <w:rPr>
          <w:rFonts w:ascii="Times New Roman" w:cs="Times New Roman" w:hAnsi="Times New Roman"/>
          <w:b/>
          <w:bCs/>
          <w:sz w:val="80"/>
          <w:szCs w:val="80"/>
        </w:rPr>
      </w:pPr>
      <w:r>
        <w:rPr>
          <w:rFonts w:ascii="Times New Roman" w:hAnsi="Times New Roman" w:hint="eastAsia"/>
          <w:b/>
          <w:bCs/>
          <w:sz w:val="80"/>
          <w:szCs w:val="80"/>
        </w:rPr>
        <w:t>海关</w:t>
      </w:r>
      <w:r>
        <w:rPr>
          <w:rFonts w:ascii="Times New Roman" w:cs="Times New Roman" w:hAnsi="Times New Roman"/>
          <w:b/>
          <w:bCs/>
          <w:sz w:val="80"/>
          <w:szCs w:val="80"/>
        </w:rPr>
        <w:t>2024</w:t>
      </w:r>
      <w:r>
        <w:rPr>
          <w:rFonts w:ascii="Times New Roman" w:hAnsi="Times New Roman" w:hint="eastAsia"/>
          <w:b/>
          <w:bCs/>
          <w:sz w:val="80"/>
          <w:szCs w:val="80"/>
        </w:rPr>
        <w:t>年</w:t>
      </w:r>
    </w:p>
    <w:p>
      <w:pPr>
        <w:autoSpaceDN w:val="0"/>
        <w:jc w:val="center"/>
        <w:rPr>
          <w:rFonts w:ascii="Times New Roman" w:cs="Times New Roman" w:hAnsi="Times New Roman"/>
          <w:b/>
          <w:bCs/>
          <w:sz w:val="80"/>
          <w:szCs w:val="80"/>
        </w:rPr>
      </w:pPr>
      <w:r>
        <w:rPr>
          <w:rFonts w:ascii="Times New Roman" w:hAnsi="Times New Roman" w:hint="eastAsia"/>
          <w:b/>
          <w:bCs/>
          <w:sz w:val="80"/>
          <w:szCs w:val="80"/>
        </w:rPr>
        <w:t>部门预算情况说明</w:t>
      </w:r>
    </w:p>
    <w:p>
      <w:pPr>
        <w:pStyle w:val="17"/>
        <w:autoSpaceDN w:val="0"/>
        <w:spacing w:line="560" w:lineRule="exact"/>
        <w:rPr>
          <w:b/>
          <w:bCs/>
          <w:sz w:val="84"/>
          <w:szCs w:val="84"/>
        </w:rPr>
      </w:pPr>
      <w:r>
        <w:rPr>
          <w:b/>
          <w:bCs/>
          <w:sz w:val="84"/>
          <w:szCs w:val="84"/>
        </w:rPr>
        <w:t xml:space="preserve"> </w:t>
      </w:r>
    </w:p>
    <w:p>
      <w:pPr>
        <w:autoSpaceDN w:val="0"/>
        <w:rPr>
          <w:rFonts w:ascii="Times New Roman" w:cs="Times New Roman" w:hAnsi="Times New Roman"/>
          <w:b/>
          <w:bCs/>
          <w:sz w:val="84"/>
          <w:szCs w:val="84"/>
        </w:rPr>
      </w:pPr>
      <w:r>
        <w:rPr>
          <w:rFonts w:ascii="Times New Roman" w:cs="Times New Roman" w:hAnsi="Times New Roman"/>
          <w:b/>
          <w:bCs/>
          <w:sz w:val="84"/>
          <w:szCs w:val="84"/>
        </w:rPr>
        <w:t xml:space="preserve"> </w:t>
      </w:r>
    </w:p>
    <w:p>
      <w:pPr>
        <w:autoSpaceDN w:val="0"/>
        <w:rPr>
          <w:rFonts w:ascii="Times New Roman" w:cs="Times New Roman" w:hAnsi="Times New Roman"/>
          <w:b/>
          <w:bCs/>
          <w:sz w:val="84"/>
          <w:szCs w:val="84"/>
        </w:rPr>
      </w:pPr>
      <w:r>
        <w:rPr>
          <w:rFonts w:ascii="Times New Roman" w:cs="Times New Roman" w:hAnsi="Times New Roman"/>
          <w:b/>
          <w:bCs/>
          <w:sz w:val="84"/>
          <w:szCs w:val="84"/>
        </w:rPr>
        <w:t xml:space="preserve"> </w:t>
      </w:r>
    </w:p>
    <w:p>
      <w:pPr>
        <w:autoSpaceDN w:val="0"/>
        <w:rPr>
          <w:rFonts w:ascii="Times New Roman" w:cs="Times New Roman" w:hAnsi="Times New Roman"/>
          <w:b/>
          <w:bCs/>
          <w:sz w:val="84"/>
          <w:szCs w:val="84"/>
        </w:rPr>
      </w:pPr>
      <w:r>
        <w:rPr>
          <w:rFonts w:ascii="Times New Roman" w:cs="Times New Roman" w:hAnsi="Times New Roman"/>
          <w:b/>
          <w:bCs/>
          <w:sz w:val="84"/>
          <w:szCs w:val="84"/>
        </w:rPr>
        <w:t xml:space="preserve"> </w:t>
      </w:r>
    </w:p>
    <w:p>
      <w:pPr>
        <w:widowControl/>
        <w:jc w:val="left"/>
        <w:rPr>
          <w:rFonts w:ascii="宋体" w:cs="宋体"/>
          <w:kern w:val="0"/>
          <w:sz w:val="24"/>
          <w:szCs w:val="24"/>
        </w:rPr>
        <w:sectPr>
          <w:pgSz w:w="11906" w:h="16838"/>
          <w:pgMar w:top="1440" w:right="1800" w:bottom="1440" w:left="1800" w:header="851" w:footer="992" w:gutter="0"/>
          <w:docGrid w:type="lines" w:linePitch="312" w:charSpace="0"/>
        </w:sectPr>
      </w:pPr>
    </w:p>
    <w:p>
      <w:pPr>
        <w:pStyle w:val="17"/>
        <w:autoSpaceDN w:val="0"/>
        <w:spacing w:line="560" w:lineRule="exact"/>
        <w:ind w:firstLineChars="200" w:firstLine="640"/>
        <w:rPr>
          <w:rFonts w:eastAsia="方正仿宋_GBK"/>
          <w:sz w:val="32"/>
          <w:szCs w:val="32"/>
        </w:rPr>
      </w:pPr>
      <w:r>
        <w:rPr>
          <w:rFonts w:eastAsia="方正黑体_GBK" w:hint="eastAsia"/>
          <w:sz w:val="32"/>
          <w:szCs w:val="32"/>
        </w:rPr>
        <w:t>一、关于</w:t>
      </w:r>
      <w:r>
        <w:rPr>
          <w:rFonts w:eastAsia="方正黑体_GBK"/>
          <w:sz w:val="32"/>
          <w:szCs w:val="32"/>
        </w:rPr>
        <w:t>2024</w:t>
      </w:r>
      <w:r>
        <w:rPr>
          <w:rFonts w:eastAsia="方正黑体_GBK" w:hint="eastAsia"/>
          <w:sz w:val="32"/>
          <w:szCs w:val="32"/>
        </w:rPr>
        <w:t>年收支预算情况的总体说明</w:t>
      </w:r>
    </w:p>
    <w:p>
      <w:pPr>
        <w:pStyle w:val="17"/>
        <w:autoSpaceDN w:val="0"/>
        <w:spacing w:line="560" w:lineRule="exact"/>
        <w:ind w:firstLineChars="200" w:firstLine="640"/>
        <w:rPr>
          <w:rFonts w:eastAsia="方正仿宋_GBK"/>
          <w:sz w:val="32"/>
          <w:szCs w:val="32"/>
        </w:rPr>
      </w:pPr>
      <w:r>
        <w:rPr>
          <w:rFonts w:eastAsia="方正仿宋_GBK" w:hint="eastAsia"/>
          <w:sz w:val="32"/>
          <w:szCs w:val="32"/>
        </w:rPr>
        <w:t>按照综合预算的原则，鄂尔多斯海关所有收入和支出均纳入部门预算管理。收入包括：一般公共预算拨款收入、其他收入、上年结转；支出包括：一般公共服务支出、社会保障和就业支出、卫生健康支出、住房保障支出。鄂尔多斯海关</w:t>
      </w:r>
      <w:r>
        <w:rPr>
          <w:rFonts w:eastAsia="方正仿宋_GBK"/>
          <w:sz w:val="32"/>
          <w:szCs w:val="32"/>
        </w:rPr>
        <w:t>2024</w:t>
      </w:r>
      <w:r>
        <w:rPr>
          <w:rFonts w:eastAsia="方正仿宋_GBK" w:hint="eastAsia"/>
          <w:sz w:val="32"/>
          <w:szCs w:val="32"/>
        </w:rPr>
        <w:t>年收支总预算982.95万元。</w:t>
      </w:r>
    </w:p>
    <w:p>
      <w:pPr>
        <w:pStyle w:val="17"/>
        <w:autoSpaceDN w:val="0"/>
        <w:spacing w:line="560" w:lineRule="exact"/>
        <w:ind w:firstLineChars="200" w:firstLine="640"/>
        <w:rPr>
          <w:rFonts w:eastAsia="方正黑体_GBK"/>
          <w:sz w:val="32"/>
          <w:szCs w:val="32"/>
        </w:rPr>
      </w:pPr>
      <w:r>
        <w:rPr>
          <w:rFonts w:eastAsia="方正黑体_GBK" w:hint="eastAsia"/>
          <w:sz w:val="32"/>
          <w:szCs w:val="32"/>
        </w:rPr>
        <w:t>二、关于</w:t>
      </w:r>
      <w:r>
        <w:rPr>
          <w:rFonts w:eastAsia="方正黑体_GBK"/>
          <w:sz w:val="32"/>
          <w:szCs w:val="32"/>
        </w:rPr>
        <w:t>2024</w:t>
      </w:r>
      <w:r>
        <w:rPr>
          <w:rFonts w:eastAsia="方正黑体_GBK" w:hint="eastAsia"/>
          <w:sz w:val="32"/>
          <w:szCs w:val="32"/>
        </w:rPr>
        <w:t>年收入预算情况说明</w:t>
      </w:r>
    </w:p>
    <w:p>
      <w:pPr>
        <w:pStyle w:val="24"/>
        <w:autoSpaceDN w:val="0"/>
        <w:spacing w:line="560" w:lineRule="exact"/>
        <w:ind w:firstLineChars="200" w:firstLine="640"/>
        <w:rPr>
          <w:rFonts w:eastAsia="方正仿宋_GBK"/>
          <w:sz w:val="32"/>
          <w:szCs w:val="32"/>
        </w:rPr>
      </w:pPr>
      <w:r>
        <w:rPr>
          <w:rFonts w:eastAsia="方正仿宋_GBK" w:hint="eastAsia"/>
          <w:sz w:val="32"/>
          <w:szCs w:val="32"/>
        </w:rPr>
        <w:t>鄂尔多斯海关</w:t>
      </w:r>
      <w:r>
        <w:rPr>
          <w:rFonts w:eastAsia="方正仿宋_GBK"/>
          <w:sz w:val="32"/>
          <w:szCs w:val="32"/>
        </w:rPr>
        <w:t>2024</w:t>
      </w:r>
      <w:r>
        <w:rPr>
          <w:rFonts w:eastAsia="方正仿宋_GBK" w:hint="eastAsia"/>
          <w:sz w:val="32"/>
          <w:szCs w:val="32"/>
        </w:rPr>
        <w:t>年收入预算982.95万元，其中：上年结转</w:t>
      </w:r>
      <w:r>
        <w:rPr>
          <w:rFonts w:eastAsia="方正仿宋_GBK"/>
          <w:sz w:val="32"/>
          <w:szCs w:val="32"/>
        </w:rPr>
        <w:t xml:space="preserve"> </w:t>
      </w:r>
      <w:r>
        <w:rPr>
          <w:rFonts w:eastAsia="方正仿宋_GBK" w:hint="eastAsia"/>
          <w:sz w:val="32"/>
          <w:szCs w:val="32"/>
        </w:rPr>
        <w:t>99.80</w:t>
      </w:r>
      <w:r>
        <w:rPr>
          <w:rFonts w:eastAsia="方正仿宋_GBK"/>
          <w:sz w:val="32"/>
          <w:szCs w:val="32"/>
        </w:rPr>
        <w:t xml:space="preserve"> </w:t>
      </w:r>
      <w:r>
        <w:rPr>
          <w:rFonts w:eastAsia="方正仿宋_GBK" w:hint="eastAsia"/>
          <w:sz w:val="32"/>
          <w:szCs w:val="32"/>
        </w:rPr>
        <w:t>万元，占10.15</w:t>
      </w:r>
      <w:r>
        <w:rPr>
          <w:rFonts w:eastAsia="方正仿宋_GBK"/>
          <w:sz w:val="32"/>
          <w:szCs w:val="32"/>
        </w:rPr>
        <w:t>%</w:t>
      </w:r>
      <w:r>
        <w:rPr>
          <w:rFonts w:eastAsia="方正仿宋_GBK" w:hint="eastAsia"/>
          <w:sz w:val="32"/>
          <w:szCs w:val="32"/>
        </w:rPr>
        <w:t>；一般公共预算财政拨款</w:t>
      </w:r>
      <w:r>
        <w:rPr>
          <w:rFonts w:eastAsia="方正仿宋_GBK"/>
          <w:sz w:val="32"/>
          <w:szCs w:val="32"/>
        </w:rPr>
        <w:t xml:space="preserve">  </w:t>
      </w:r>
      <w:r>
        <w:rPr>
          <w:rFonts w:eastAsia="方正仿宋_GBK" w:hint="eastAsia"/>
          <w:sz w:val="32"/>
          <w:szCs w:val="32"/>
        </w:rPr>
        <w:t>837.65万元，占85.22</w:t>
      </w:r>
      <w:r>
        <w:rPr>
          <w:rFonts w:eastAsia="方正仿宋_GBK"/>
          <w:sz w:val="32"/>
          <w:szCs w:val="32"/>
        </w:rPr>
        <w:t>%</w:t>
      </w:r>
      <w:r>
        <w:rPr>
          <w:rFonts w:eastAsia="方正仿宋_GBK" w:hint="eastAsia"/>
          <w:sz w:val="32"/>
          <w:szCs w:val="32"/>
        </w:rPr>
        <w:t>；其他收入45.50万元，占4.63</w:t>
      </w:r>
      <w:r>
        <w:rPr>
          <w:rFonts w:eastAsia="方正仿宋_GBK"/>
          <w:sz w:val="32"/>
          <w:szCs w:val="32"/>
        </w:rPr>
        <w:t>%</w:t>
      </w:r>
      <w:r>
        <w:rPr>
          <w:rFonts w:eastAsia="方正仿宋_GBK" w:hint="eastAsia"/>
          <w:sz w:val="32"/>
          <w:szCs w:val="32"/>
        </w:rPr>
        <w:t>。</w:t>
      </w:r>
    </w:p>
    <w:p>
      <w:pPr>
        <w:pStyle w:val="17"/>
        <w:autoSpaceDN w:val="0"/>
        <w:spacing w:line="560" w:lineRule="exact"/>
        <w:ind w:firstLineChars="200" w:firstLine="420"/>
        <w:rPr>
          <w:rFonts w:eastAsia="方正仿宋_GBK"/>
          <w:sz w:val="32"/>
          <w:szCs w:val="32"/>
        </w:rPr>
      </w:pPr>
      <w:r>
        <w:drawing>
          <wp:anchor distT="0" distB="0" distL="114300" distR="114300" simplePos="0" relativeHeight="21" behindDoc="0" locked="0" layoutInCell="1" hidden="0" allowOverlap="1">
            <wp:simplePos x="0" y="0"/>
            <wp:positionH relativeFrom="margin">
              <wp:posOffset>41909</wp:posOffset>
            </wp:positionH>
            <wp:positionV relativeFrom="margin">
              <wp:posOffset>3832859</wp:posOffset>
            </wp:positionV>
            <wp:extent cx="5274310" cy="3025138"/>
            <wp:effectExtent l="0" t="0" r="0" b="0"/>
            <wp:wrapSquare wrapText="bothSides"/>
            <wp:docPr id="4" name="图片 4"/>
            <wp:cNvGraphicFramePr>
              <a:graphicFrameLocks noChangeAspect="1"/>
            </wp:cNvGraphicFramePr>
            <a:graphic>
              <a:graphicData uri="http://schemas.openxmlformats.org/drawingml/2006/picture">
                <pic:pic>
                  <pic:nvPicPr>
                    <pic:cNvPr id="6" name="图片 4 6"/>
                    <pic:cNvPicPr/>
                  </pic:nvPicPr>
                  <pic:blipFill>
                    <a:blip r:embed="rId3"/>
                    <a:stretch>
                      <a:fillRect/>
                    </a:stretch>
                  </pic:blipFill>
                  <pic:spPr>
                    <a:xfrm rot="0">
                      <a:off x="0" y="0"/>
                      <a:ext cx="5274310" cy="3025138"/>
                    </a:xfrm>
                    <a:prstGeom prst="rect"/>
                    <a:noFill/>
                    <a:ln w="9525" cmpd="sng" cap="flat">
                      <a:noFill/>
                      <a:prstDash val="solid"/>
                      <a:miter/>
                    </a:ln>
                  </pic:spPr>
                </pic:pic>
              </a:graphicData>
            </a:graphic>
          </wp:anchor>
        </w:drawing>
      </w:r>
      <w:r>
        <mc:AlternateContent>
          <mc:Choice Requires="wps">
            <w:drawing>
              <wp:anchor distT="0" distB="0" distL="114298" distR="114298" simplePos="0" relativeHeight="18" behindDoc="0" locked="0" layoutInCell="1" hidden="0" allowOverlap="1">
                <wp:simplePos x="0" y="0"/>
                <wp:positionH relativeFrom="column">
                  <wp:posOffset>0</wp:posOffset>
                </wp:positionH>
                <wp:positionV relativeFrom="paragraph">
                  <wp:posOffset>0</wp:posOffset>
                </wp:positionV>
                <wp:extent cx="634999" cy="634999"/>
                <wp:effectExtent l="0" t="0" r="0" b="0"/>
                <wp:wrapNone/>
                <wp:docPr id="7" name="矩形 7"/>
                <wp:cNvGraphicFramePr>
                  <a:graphicFrameLocks noChangeAspect="0"/>
                </wp:cNvGraphicFramePr>
                <a:graphic>
                  <a:graphicData uri="http://schemas.microsoft.com/office/word/2010/wordprocessingShape">
                    <wps:wsp>
                      <wps:cNvSpPr/>
                      <wps:spPr>
                        <a:xfrm rot="0">
                          <a:off x="0" y="0"/>
                          <a:ext cx="634999" cy="634999"/>
                        </a:xfrm>
                        <a:prstGeom prst="rect"/>
                        <a:solidFill>
                          <a:srgbClr val="FFFFFF"/>
                        </a:solidFill>
                        <a:ln w="9525" cmpd="sng"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rect type="#_x0000_t1" id="矩形 7 8" o:spid="_x0000_s8" fillcolor="#FFFFFF" stroked="t" style="position:absolute;margin-left:0.0pt;margin-top:0.0pt;width:49.999996pt;height:49.999996pt;z-index:18;mso-position-horizontal:absolute;mso-position-vertical:absolute;mso-wrap-distance-left:8.999863pt;mso-wrap-distance-right:8.999863pt;">
                <v:stroke color="#000000"/>
              </v:rect>
            </w:pict>
          </mc:Fallback>
        </mc:AlternateContent>
      </w:r>
    </w:p>
    <w:p>
      <w:pPr>
        <w:pStyle w:val="17"/>
        <w:autoSpaceDN w:val="0"/>
        <w:spacing w:line="560" w:lineRule="exact"/>
        <w:ind w:firstLineChars="200" w:firstLine="640"/>
        <w:rPr>
          <w:rFonts w:eastAsia="方正黑体_GBK"/>
          <w:sz w:val="32"/>
          <w:szCs w:val="32"/>
        </w:rPr>
      </w:pPr>
      <w:r>
        <w:rPr>
          <w:rFonts w:eastAsia="方正黑体_GBK" w:hint="eastAsia"/>
          <w:sz w:val="32"/>
          <w:szCs w:val="32"/>
        </w:rPr>
        <w:t>三、关于</w:t>
      </w:r>
      <w:r>
        <w:rPr>
          <w:rFonts w:eastAsia="方正黑体_GBK"/>
          <w:sz w:val="32"/>
          <w:szCs w:val="32"/>
        </w:rPr>
        <w:t>2024</w:t>
      </w:r>
      <w:r>
        <w:rPr>
          <w:rFonts w:eastAsia="方正黑体_GBK" w:hint="eastAsia"/>
          <w:sz w:val="32"/>
          <w:szCs w:val="32"/>
        </w:rPr>
        <w:t>年支出预算情况说明</w:t>
      </w:r>
    </w:p>
    <w:p>
      <w:pPr>
        <w:pStyle w:val="17"/>
        <w:autoSpaceDN w:val="0"/>
        <w:spacing w:line="560" w:lineRule="exact"/>
        <w:ind w:firstLineChars="200" w:firstLine="640"/>
        <w:rPr>
          <w:rFonts w:eastAsia="方正仿宋_GBK"/>
          <w:sz w:val="32"/>
          <w:szCs w:val="32"/>
        </w:rPr>
      </w:pPr>
      <w:r>
        <w:rPr>
          <w:rFonts w:eastAsia="方正仿宋_GBK" w:hint="eastAsia"/>
          <w:sz w:val="32"/>
          <w:szCs w:val="32"/>
        </w:rPr>
        <w:t>鄂尔多斯海关</w:t>
      </w:r>
      <w:r>
        <w:rPr>
          <w:rFonts w:eastAsia="方正仿宋_GBK"/>
          <w:sz w:val="32"/>
          <w:szCs w:val="32"/>
        </w:rPr>
        <w:t>2024</w:t>
      </w:r>
      <w:r>
        <w:rPr>
          <w:rFonts w:eastAsia="方正仿宋_GBK" w:hint="eastAsia"/>
          <w:sz w:val="32"/>
          <w:szCs w:val="32"/>
        </w:rPr>
        <w:t>年支出预算982.95万元，其中：基本支出720.37万元，占73.29</w:t>
      </w:r>
      <w:r>
        <w:rPr>
          <w:rFonts w:eastAsia="方正仿宋_GBK"/>
          <w:sz w:val="32"/>
          <w:szCs w:val="32"/>
        </w:rPr>
        <w:t>%</w:t>
      </w:r>
      <w:r>
        <w:rPr>
          <w:rFonts w:eastAsia="方正仿宋_GBK" w:hint="eastAsia"/>
          <w:sz w:val="32"/>
          <w:szCs w:val="32"/>
        </w:rPr>
        <w:t>；项目支出262.58万元，占26.71</w:t>
      </w:r>
      <w:r>
        <w:rPr>
          <w:rFonts w:eastAsia="方正仿宋_GBK"/>
          <w:sz w:val="32"/>
          <w:szCs w:val="32"/>
        </w:rPr>
        <w:t>%</w:t>
      </w:r>
      <w:r>
        <w:rPr>
          <w:rFonts w:eastAsia="方正仿宋_GBK" w:hint="eastAsia"/>
          <w:sz w:val="32"/>
          <w:szCs w:val="32"/>
        </w:rPr>
        <w:t>。</w:t>
      </w:r>
    </w:p>
    <w:p>
      <w:pPr>
        <w:pStyle w:val="17"/>
        <w:autoSpaceDN w:val="0"/>
        <w:spacing w:line="560" w:lineRule="exact"/>
        <w:ind w:firstLineChars="200" w:firstLine="420"/>
        <w:rPr>
          <w:rFonts w:eastAsia="方正黑体_GBK"/>
          <w:sz w:val="32"/>
          <w:szCs w:val="32"/>
        </w:rPr>
      </w:pPr>
      <w:r>
        <w:drawing>
          <wp:anchor distT="0" distB="0" distL="114300" distR="114300" simplePos="0" relativeHeight="22" behindDoc="0" locked="0" layoutInCell="1" hidden="0" allowOverlap="1">
            <wp:simplePos x="0" y="0"/>
            <wp:positionH relativeFrom="margin">
              <wp:align>left</wp:align>
            </wp:positionH>
            <wp:positionV relativeFrom="margin">
              <wp:posOffset>60960</wp:posOffset>
            </wp:positionV>
            <wp:extent cx="5274310" cy="3025139"/>
            <wp:effectExtent l="0" t="0" r="0" b="0"/>
            <wp:wrapSquare wrapText="bothSides"/>
            <wp:docPr id="9" name="图片 9"/>
            <wp:cNvGraphicFramePr>
              <a:graphicFrameLocks noChangeAspect="1"/>
            </wp:cNvGraphicFramePr>
            <a:graphic>
              <a:graphicData uri="http://schemas.openxmlformats.org/drawingml/2006/picture">
                <pic:pic>
                  <pic:nvPicPr>
                    <pic:cNvPr id="11" name="图片 9 11"/>
                    <pic:cNvPicPr/>
                  </pic:nvPicPr>
                  <pic:blipFill>
                    <a:blip r:embed="rId4"/>
                    <a:stretch>
                      <a:fillRect/>
                    </a:stretch>
                  </pic:blipFill>
                  <pic:spPr>
                    <a:xfrm rot="0">
                      <a:off x="0" y="0"/>
                      <a:ext cx="5274310" cy="3025139"/>
                    </a:xfrm>
                    <a:prstGeom prst="rect"/>
                    <a:noFill/>
                    <a:ln w="9525" cmpd="sng" cap="flat">
                      <a:noFill/>
                      <a:prstDash val="solid"/>
                      <a:miter/>
                    </a:ln>
                  </pic:spPr>
                </pic:pic>
              </a:graphicData>
            </a:graphic>
          </wp:anchor>
        </w:drawing>
      </w:r>
      <w:r>
        <mc:AlternateContent>
          <mc:Choice Requires="wps">
            <w:drawing>
              <wp:anchor distT="0" distB="0" distL="114298" distR="114298" simplePos="0" relativeHeight="19" behindDoc="0" locked="0" layoutInCell="1" hidden="0" allowOverlap="1">
                <wp:simplePos x="0" y="0"/>
                <wp:positionH relativeFrom="column">
                  <wp:posOffset>0</wp:posOffset>
                </wp:positionH>
                <wp:positionV relativeFrom="paragraph">
                  <wp:posOffset>0</wp:posOffset>
                </wp:positionV>
                <wp:extent cx="634999" cy="634999"/>
                <wp:effectExtent l="0" t="0" r="0" b="0"/>
                <wp:wrapNone/>
                <wp:docPr id="12" name="矩形 12"/>
                <wp:cNvGraphicFramePr>
                  <a:graphicFrameLocks noChangeAspect="0"/>
                </wp:cNvGraphicFramePr>
                <a:graphic>
                  <a:graphicData uri="http://schemas.microsoft.com/office/word/2010/wordprocessingShape">
                    <wps:wsp>
                      <wps:cNvSpPr/>
                      <wps:spPr>
                        <a:xfrm rot="0">
                          <a:off x="0" y="0"/>
                          <a:ext cx="634999" cy="634999"/>
                        </a:xfrm>
                        <a:prstGeom prst="rect"/>
                        <a:solidFill>
                          <a:srgbClr val="FFFFFF"/>
                        </a:solidFill>
                        <a:ln w="9525" cmpd="sng"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rect type="#_x0000_t1" id="矩形 12 13" o:spid="_x0000_s13" fillcolor="#FFFFFF" stroked="t" style="position:absolute;margin-left:0.0pt;margin-top:0.0pt;width:49.999996pt;height:49.999996pt;z-index:19;mso-position-horizontal:absolute;mso-position-vertical:absolute;mso-wrap-distance-left:8.999863pt;mso-wrap-distance-right:8.999863pt;">
                <v:stroke color="#000000"/>
              </v:rect>
            </w:pict>
          </mc:Fallback>
        </mc:AlternateContent>
      </w:r>
      <w:r>
        <w:rPr>
          <w:rFonts w:eastAsia="方正黑体_GBK" w:hint="eastAsia"/>
          <w:sz w:val="32"/>
          <w:szCs w:val="32"/>
        </w:rPr>
        <w:t>四、关于</w:t>
      </w:r>
      <w:r>
        <w:rPr>
          <w:rFonts w:eastAsia="方正黑体_GBK"/>
          <w:sz w:val="32"/>
          <w:szCs w:val="32"/>
        </w:rPr>
        <w:t>2024</w:t>
      </w:r>
      <w:r>
        <w:rPr>
          <w:rFonts w:eastAsia="方正黑体_GBK" w:hint="eastAsia"/>
          <w:sz w:val="32"/>
          <w:szCs w:val="32"/>
        </w:rPr>
        <w:t>年财政拨款收支预算情况的总体说明</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sz w:val="32"/>
          <w:szCs w:val="32"/>
        </w:rPr>
        <w:drawing>
          <wp:anchor distT="0" distB="0" distL="114300" distR="114300" simplePos="0" relativeHeight="23" behindDoc="0" locked="0" layoutInCell="1" hidden="0" allowOverlap="1">
            <wp:simplePos x="0" y="0"/>
            <wp:positionH relativeFrom="margin">
              <wp:posOffset>-118110</wp:posOffset>
            </wp:positionH>
            <wp:positionV relativeFrom="margin">
              <wp:posOffset>5638800</wp:posOffset>
            </wp:positionV>
            <wp:extent cx="5414009" cy="3101340"/>
            <wp:effectExtent l="0" t="0" r="0" b="0"/>
            <wp:wrapSquare wrapText="bothSides"/>
            <wp:docPr id="14" name="图片 14"/>
            <wp:cNvGraphicFramePr>
              <a:graphicFrameLocks noChangeAspect="1"/>
            </wp:cNvGraphicFramePr>
            <a:graphic>
              <a:graphicData uri="http://schemas.openxmlformats.org/drawingml/2006/picture">
                <pic:pic>
                  <pic:nvPicPr>
                    <pic:cNvPr id="16" name="图片 14 16"/>
                    <pic:cNvPicPr/>
                  </pic:nvPicPr>
                  <pic:blipFill>
                    <a:blip r:embed="rId5"/>
                    <a:stretch>
                      <a:fillRect/>
                    </a:stretch>
                  </pic:blipFill>
                  <pic:spPr>
                    <a:xfrm rot="0">
                      <a:off x="0" y="0"/>
                      <a:ext cx="5414009" cy="3101340"/>
                    </a:xfrm>
                    <a:prstGeom prst="rect"/>
                    <a:noFill/>
                    <a:ln w="9525" cmpd="sng" cap="flat">
                      <a:noFill/>
                      <a:prstDash val="solid"/>
                      <a:miter/>
                    </a:ln>
                  </pic:spPr>
                </pic:pic>
              </a:graphicData>
            </a:graphic>
          </wp:anchor>
        </w:drawing>
      </w:r>
      <w:r>
        <w:rPr>
          <w:rFonts w:ascii="Times New Roman" w:eastAsia="方正仿宋_GBK" w:hAnsi="Times New Roman" w:hint="eastAsia"/>
          <w:sz w:val="32"/>
          <w:szCs w:val="32"/>
        </w:rPr>
        <w:t>鄂尔多斯海关</w:t>
      </w:r>
      <w:r>
        <w:rPr>
          <w:rFonts w:ascii="Times New Roman" w:eastAsia="方正仿宋_GBK" w:cs="Times New Roman" w:hAnsi="Times New Roman"/>
          <w:sz w:val="32"/>
          <w:szCs w:val="32"/>
        </w:rPr>
        <w:t>2024</w:t>
      </w:r>
      <w:r>
        <w:rPr>
          <w:rFonts w:ascii="Times New Roman" w:eastAsia="方正仿宋_GBK" w:hAnsi="Times New Roman" w:hint="eastAsia"/>
          <w:sz w:val="32"/>
          <w:szCs w:val="32"/>
        </w:rPr>
        <w:t>年财政拨款收支总预算</w:t>
      </w:r>
      <w:r>
        <w:rPr>
          <w:rFonts w:ascii="Times New Roman" w:eastAsia="方正仿宋_GBK" w:cs="Times New Roman" w:hAnsi="Times New Roman" w:hint="eastAsia"/>
          <w:sz w:val="32"/>
          <w:szCs w:val="32"/>
        </w:rPr>
        <w:t>840.73</w:t>
      </w:r>
      <w:r>
        <w:rPr>
          <w:rFonts w:ascii="Times New Roman" w:eastAsia="方正仿宋_GBK" w:hAnsi="Times New Roman" w:hint="eastAsia"/>
          <w:sz w:val="32"/>
          <w:szCs w:val="32"/>
        </w:rPr>
        <w:t>万元。收入全部为一般公共预算拨款，无政府性基金预算拨款和国有资本经营预算拨款。收入包括：一般公共预算当年财政拨款收入</w:t>
      </w:r>
      <w:r>
        <w:rPr>
          <w:rFonts w:ascii="Times New Roman" w:eastAsia="方正仿宋_GBK" w:cs="Times New Roman" w:hAnsi="Times New Roman" w:hint="eastAsia"/>
          <w:sz w:val="32"/>
          <w:szCs w:val="32"/>
        </w:rPr>
        <w:t>837.65</w:t>
      </w:r>
      <w:r>
        <w:rPr>
          <w:rFonts w:ascii="Times New Roman" w:eastAsia="方正仿宋_GBK" w:hAnsi="Times New Roman" w:hint="eastAsia"/>
          <w:sz w:val="32"/>
          <w:szCs w:val="32"/>
        </w:rPr>
        <w:t>万元、上年结转</w:t>
      </w:r>
      <w:r>
        <w:rPr>
          <w:rFonts w:ascii="Times New Roman" w:eastAsia="方正仿宋_GBK" w:cs="Times New Roman" w:hAnsi="Times New Roman" w:hint="eastAsia"/>
          <w:sz w:val="32"/>
          <w:szCs w:val="32"/>
        </w:rPr>
        <w:t>3.08</w:t>
      </w:r>
      <w:r>
        <w:rPr>
          <w:rFonts w:ascii="Times New Roman" w:eastAsia="方正仿宋_GBK" w:hAnsi="Times New Roman" w:hint="eastAsia"/>
          <w:sz w:val="32"/>
          <w:szCs w:val="32"/>
        </w:rPr>
        <w:t>万元。支出包括：一般公共服务支出</w:t>
      </w:r>
      <w:r>
        <w:rPr>
          <w:rFonts w:ascii="Times New Roman" w:eastAsia="方正仿宋_GBK" w:cs="Times New Roman" w:hAnsi="Times New Roman" w:hint="eastAsia"/>
          <w:sz w:val="32"/>
          <w:szCs w:val="32"/>
        </w:rPr>
        <w:t>681.53</w:t>
      </w:r>
      <w:r>
        <w:rPr>
          <w:rFonts w:ascii="Times New Roman" w:eastAsia="方正仿宋_GBK" w:hAnsi="Times New Roman" w:hint="eastAsia"/>
          <w:sz w:val="32"/>
          <w:szCs w:val="32"/>
        </w:rPr>
        <w:t>万元、社会保障和就业支出</w:t>
      </w:r>
      <w:r>
        <w:rPr>
          <w:rFonts w:ascii="Times New Roman" w:eastAsia="方正仿宋_GBK" w:cs="Times New Roman" w:hAnsi="Times New Roman" w:hint="eastAsia"/>
          <w:sz w:val="32"/>
          <w:szCs w:val="32"/>
        </w:rPr>
        <w:t>66.84</w:t>
      </w:r>
      <w:r>
        <w:rPr>
          <w:rFonts w:ascii="Times New Roman" w:eastAsia="方正仿宋_GBK" w:hAnsi="Times New Roman" w:hint="eastAsia"/>
          <w:sz w:val="32"/>
          <w:szCs w:val="32"/>
        </w:rPr>
        <w:t>万元、卫生健康支出</w:t>
      </w:r>
      <w:r>
        <w:rPr>
          <w:rFonts w:ascii="Times New Roman" w:eastAsia="方正仿宋_GBK" w:cs="Times New Roman" w:hAnsi="Times New Roman" w:hint="eastAsia"/>
          <w:sz w:val="32"/>
          <w:szCs w:val="32"/>
        </w:rPr>
        <w:t>24.05</w:t>
      </w:r>
      <w:r>
        <w:rPr>
          <w:rFonts w:ascii="Times New Roman" w:eastAsia="方正仿宋_GBK" w:hAnsi="Times New Roman" w:hint="eastAsia"/>
          <w:sz w:val="32"/>
          <w:szCs w:val="32"/>
        </w:rPr>
        <w:t>万元、住房保障支出</w:t>
      </w:r>
      <w:r>
        <w:rPr>
          <w:rFonts w:ascii="Times New Roman" w:eastAsia="方正仿宋_GBK" w:cs="Times New Roman" w:hAnsi="Times New Roman" w:hint="eastAsia"/>
          <w:sz w:val="32"/>
          <w:szCs w:val="32"/>
        </w:rPr>
        <w:t>68.31</w:t>
      </w:r>
      <w:r>
        <w:rPr>
          <w:rFonts w:ascii="Times New Roman" w:eastAsia="方正仿宋_GBK" w:hAnsi="Times New Roman" w:hint="eastAsia"/>
          <w:sz w:val="32"/>
          <w:szCs w:val="32"/>
        </w:rPr>
        <w:t>万元。</w:t>
      </w:r>
    </w:p>
    <w:p>
      <w:pPr>
        <w:autoSpaceDN w:val="0"/>
        <w:spacing w:line="560" w:lineRule="exact"/>
        <w:ind w:firstLineChars="200" w:firstLine="640"/>
      </w:pPr>
      <w:r>
        <w:rPr>
          <w:rFonts w:ascii="Times New Roman" w:eastAsia="方正黑体_GBK" w:hAnsi="Times New Roman" w:hint="eastAsia"/>
          <w:sz w:val="32"/>
          <w:szCs w:val="32"/>
        </w:rPr>
        <w:t>五、关于</w:t>
      </w:r>
      <w:r>
        <w:rPr>
          <w:rFonts w:ascii="Times New Roman" w:eastAsia="方正黑体_GBK" w:cs="Times New Roman" w:hAnsi="Times New Roman"/>
          <w:sz w:val="32"/>
          <w:szCs w:val="32"/>
        </w:rPr>
        <w:t>2023</w:t>
      </w:r>
      <w:r>
        <w:rPr>
          <w:rFonts w:ascii="Times New Roman" w:eastAsia="方正黑体_GBK" w:hAnsi="Times New Roman" w:hint="eastAsia"/>
          <w:sz w:val="32"/>
          <w:szCs w:val="32"/>
        </w:rPr>
        <w:t>年一般公共预算当年财政拨款情况</w:t>
      </w:r>
    </w:p>
    <w:p>
      <w:pPr>
        <w:autoSpaceDN w:val="0"/>
        <w:spacing w:line="560" w:lineRule="exact"/>
        <w:ind w:firstLineChars="200" w:firstLine="640"/>
        <w:jc w:val="left"/>
        <w:rPr>
          <w:rFonts w:ascii="Times New Roman" w:eastAsia="方正楷体_GBK" w:cs="Times New Roman" w:hAnsi="Times New Roman"/>
          <w:b/>
          <w:bCs/>
          <w:sz w:val="32"/>
          <w:szCs w:val="32"/>
        </w:rPr>
      </w:pPr>
      <w:r>
        <w:rPr>
          <w:rFonts w:ascii="Times New Roman" w:eastAsia="方正楷体_GBK" w:hAnsi="Times New Roman" w:hint="eastAsia"/>
          <w:b/>
          <w:bCs/>
          <w:sz w:val="32"/>
          <w:szCs w:val="32"/>
        </w:rPr>
        <w:t>（一）一般公共预算当年财政拨款规模变化情况。</w:t>
      </w:r>
    </w:p>
    <w:p>
      <w:pPr>
        <w:autoSpaceDN w:val="0"/>
        <w:spacing w:line="560" w:lineRule="exact"/>
        <w:ind w:firstLineChars="200" w:firstLine="640"/>
        <w:rPr>
          <w:rFonts w:ascii="Times New Roman" w:cs="Times New Roman" w:hAnsi="Times New Roman"/>
          <w:szCs w:val="21"/>
        </w:rPr>
      </w:pPr>
      <w:r>
        <w:rPr>
          <w:rFonts w:ascii="Times New Roman" w:eastAsia="方正仿宋_GBK" w:hAnsi="Times New Roman" w:hint="eastAsia"/>
          <w:sz w:val="32"/>
          <w:szCs w:val="32"/>
        </w:rPr>
        <w:t>鄂尔多斯海关</w:t>
      </w:r>
      <w:r>
        <w:rPr>
          <w:rFonts w:ascii="Times New Roman" w:eastAsia="方正仿宋_GBK" w:cs="Times New Roman" w:hAnsi="Times New Roman"/>
          <w:sz w:val="32"/>
          <w:szCs w:val="32"/>
        </w:rPr>
        <w:t>2024</w:t>
      </w:r>
      <w:r>
        <w:rPr>
          <w:rFonts w:ascii="Times New Roman" w:eastAsia="方正仿宋_GBK" w:hAnsi="Times New Roman" w:hint="eastAsia"/>
          <w:sz w:val="32"/>
          <w:szCs w:val="32"/>
        </w:rPr>
        <w:t>年一般公共预算当年财政拨款预算</w:t>
      </w:r>
      <w:r>
        <w:rPr>
          <w:rFonts w:ascii="Times New Roman" w:eastAsia="方正仿宋_GBK" w:cs="Times New Roman" w:hAnsi="Times New Roman" w:hint="eastAsia"/>
          <w:sz w:val="32"/>
          <w:szCs w:val="32"/>
        </w:rPr>
        <w:t>837.65</w:t>
      </w:r>
      <w:r>
        <w:rPr>
          <w:rFonts w:ascii="Times New Roman" w:eastAsia="方正仿宋_GBK" w:hAnsi="Times New Roman" w:hint="eastAsia"/>
          <w:sz w:val="32"/>
          <w:szCs w:val="32"/>
        </w:rPr>
        <w:t>万元，比</w:t>
      </w:r>
      <w:r>
        <w:rPr>
          <w:rFonts w:ascii="Times New Roman" w:eastAsia="方正仿宋_GBK" w:cs="Times New Roman" w:hAnsi="Times New Roman"/>
          <w:sz w:val="32"/>
          <w:szCs w:val="32"/>
        </w:rPr>
        <w:t>2023</w:t>
      </w:r>
      <w:r>
        <w:rPr>
          <w:rFonts w:ascii="Times New Roman" w:eastAsia="方正仿宋_GBK" w:hAnsi="Times New Roman" w:hint="eastAsia"/>
          <w:sz w:val="32"/>
          <w:szCs w:val="32"/>
        </w:rPr>
        <w:t>年执行数减少</w:t>
      </w:r>
      <w:r>
        <w:rPr>
          <w:rFonts w:ascii="Times New Roman" w:eastAsia="方正仿宋_GBK" w:cs="Times New Roman" w:hAnsi="Times New Roman" w:hint="eastAsia"/>
          <w:sz w:val="32"/>
          <w:szCs w:val="32"/>
        </w:rPr>
        <w:t>193.74</w:t>
      </w:r>
      <w:r>
        <w:rPr>
          <w:rFonts w:ascii="Times New Roman" w:eastAsia="方正仿宋_GBK" w:hAnsi="Times New Roman" w:hint="eastAsia"/>
          <w:sz w:val="32"/>
          <w:szCs w:val="32"/>
        </w:rPr>
        <w:t>万元，减少</w:t>
      </w:r>
      <w:r>
        <w:rPr>
          <w:rFonts w:ascii="Times New Roman" w:eastAsia="方正仿宋_GBK" w:cs="Times New Roman" w:hAnsi="Times New Roman" w:hint="eastAsia"/>
          <w:sz w:val="32"/>
          <w:szCs w:val="32"/>
        </w:rPr>
        <w:t>18.78</w:t>
      </w:r>
      <w:r>
        <w:rPr>
          <w:rFonts w:ascii="Times New Roman" w:eastAsia="方正仿宋_GBK" w:cs="Times New Roman" w:hAnsi="Times New Roman"/>
          <w:sz w:val="32"/>
          <w:szCs w:val="32"/>
        </w:rPr>
        <w:t>%</w:t>
      </w:r>
      <w:r>
        <w:rPr>
          <w:rFonts w:ascii="Times New Roman" w:eastAsia="方正仿宋_GBK" w:hAnsi="Times New Roman" w:hint="eastAsia"/>
          <w:sz w:val="32"/>
          <w:szCs w:val="32"/>
        </w:rPr>
        <w:t>。</w:t>
      </w:r>
      <w:r>
        <w:rPr>
          <w:rFonts w:ascii="Times New Roman" w:eastAsia="方正仿宋_GBK" w:cs="Times New Roman" w:hAnsi="Times New Roman"/>
          <w:sz w:val="32"/>
          <w:szCs w:val="32"/>
        </w:rPr>
        <w:t>2024</w:t>
      </w:r>
      <w:r>
        <w:rPr>
          <w:rFonts w:ascii="Times New Roman" w:eastAsia="方正仿宋_GBK" w:hAnsi="Times New Roman" w:hint="eastAsia"/>
          <w:sz w:val="32"/>
          <w:szCs w:val="32"/>
        </w:rPr>
        <w:t>年，按照党中央、国务院关于过紧日子的有关要求，全面加强各类资源统筹，优化支出结构，坚持钱要花到要处，坚持优先保障民生、重点保障刚性运转，精准保障海关改革发展。大力压减一般性支出，重点压减非急需非刚性支出，同时合理保障了海关关务、检验检疫等必要支出需求，体现在有关支出科目中。</w:t>
      </w:r>
    </w:p>
    <w:p>
      <w:pPr>
        <w:autoSpaceDN w:val="0"/>
        <w:spacing w:line="560" w:lineRule="exact"/>
        <w:ind w:firstLineChars="200" w:firstLine="640"/>
        <w:jc w:val="left"/>
        <w:rPr>
          <w:rFonts w:ascii="Times New Roman" w:eastAsia="方正楷体_GBK" w:cs="Times New Roman" w:hAnsi="Times New Roman"/>
          <w:b/>
          <w:bCs/>
          <w:sz w:val="32"/>
          <w:szCs w:val="32"/>
        </w:rPr>
      </w:pPr>
      <w:r>
        <w:rPr>
          <w:rFonts w:ascii="Times New Roman" w:eastAsia="方正楷体_GBK" w:hAnsi="Times New Roman" w:hint="eastAsia"/>
          <w:b/>
          <w:bCs/>
          <w:sz w:val="32"/>
          <w:szCs w:val="32"/>
        </w:rPr>
        <w:t>（二）一般公共预算当年财政拨款结构情况。</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drawing>
          <wp:anchor distT="0" distB="0" distL="114300" distR="114300" simplePos="0" relativeHeight="24" behindDoc="0" locked="0" layoutInCell="1" hidden="0" allowOverlap="1">
            <wp:simplePos x="0" y="0"/>
            <wp:positionH relativeFrom="margin">
              <wp:posOffset>-41909</wp:posOffset>
            </wp:positionH>
            <wp:positionV relativeFrom="margin">
              <wp:posOffset>5646420</wp:posOffset>
            </wp:positionV>
            <wp:extent cx="5414009" cy="3101339"/>
            <wp:effectExtent l="0" t="0" r="0" b="0"/>
            <wp:wrapSquare wrapText="bothSides"/>
            <wp:docPr id="17" name="图片 17"/>
            <wp:cNvGraphicFramePr>
              <a:graphicFrameLocks noChangeAspect="1"/>
            </wp:cNvGraphicFramePr>
            <a:graphic>
              <a:graphicData uri="http://schemas.openxmlformats.org/drawingml/2006/picture">
                <pic:pic>
                  <pic:nvPicPr>
                    <pic:cNvPr id="19" name="图片 17 19"/>
                    <pic:cNvPicPr/>
                  </pic:nvPicPr>
                  <pic:blipFill>
                    <a:blip r:embed="rId6"/>
                    <a:stretch>
                      <a:fillRect/>
                    </a:stretch>
                  </pic:blipFill>
                  <pic:spPr>
                    <a:xfrm rot="0">
                      <a:off x="0" y="0"/>
                      <a:ext cx="5414009" cy="3101339"/>
                    </a:xfrm>
                    <a:prstGeom prst="rect"/>
                    <a:noFill/>
                    <a:ln w="9525" cmpd="sng" cap="flat">
                      <a:noFill/>
                      <a:prstDash val="solid"/>
                      <a:miter/>
                    </a:ln>
                  </pic:spPr>
                </pic:pic>
              </a:graphicData>
            </a:graphic>
          </wp:anchor>
        </w:drawing>
      </w:r>
      <w:r>
        <w:rPr>
          <w:rFonts w:ascii="Times New Roman" w:eastAsia="方正仿宋_GBK" w:cs="Times New Roman" w:hAnsi="Times New Roman"/>
          <w:sz w:val="32"/>
          <w:szCs w:val="32"/>
        </w:rPr>
        <w:t>2024</w:t>
      </w:r>
      <w:r>
        <w:rPr>
          <w:rFonts w:ascii="Times New Roman" w:eastAsia="方正仿宋_GBK" w:hAnsi="Times New Roman" w:hint="eastAsia"/>
          <w:sz w:val="32"/>
          <w:szCs w:val="32"/>
        </w:rPr>
        <w:t>年部门预算中，一般公共预算当年财政拨款用于以下方面：一般公共服务（类）支出</w:t>
      </w:r>
      <w:r>
        <w:rPr>
          <w:rFonts w:ascii="Times New Roman" w:eastAsia="方正仿宋_GBK" w:cs="Times New Roman" w:hAnsi="Times New Roman" w:hint="eastAsia"/>
          <w:sz w:val="32"/>
          <w:szCs w:val="32"/>
        </w:rPr>
        <w:t>678.45</w:t>
      </w:r>
      <w:r>
        <w:rPr>
          <w:rFonts w:ascii="Times New Roman" w:eastAsia="方正仿宋_GBK" w:hAnsi="Times New Roman" w:hint="eastAsia"/>
          <w:sz w:val="32"/>
          <w:szCs w:val="32"/>
        </w:rPr>
        <w:t>万元，占</w:t>
      </w:r>
      <w:r>
        <w:rPr>
          <w:rFonts w:ascii="Times New Roman" w:eastAsia="方正仿宋_GBK" w:cs="Times New Roman" w:hAnsi="Times New Roman" w:hint="eastAsia"/>
          <w:sz w:val="32"/>
          <w:szCs w:val="32"/>
        </w:rPr>
        <w:t>81.00</w:t>
      </w:r>
      <w:r>
        <w:rPr>
          <w:rFonts w:ascii="Times New Roman" w:eastAsia="方正仿宋_GBK" w:cs="Times New Roman" w:hAnsi="Times New Roman"/>
          <w:sz w:val="32"/>
          <w:szCs w:val="32"/>
        </w:rPr>
        <w:t>%</w:t>
      </w:r>
      <w:r>
        <w:rPr>
          <w:rFonts w:ascii="Times New Roman" w:eastAsia="方正仿宋_GBK" w:hAnsi="Times New Roman" w:hint="eastAsia"/>
          <w:sz w:val="32"/>
          <w:szCs w:val="32"/>
        </w:rPr>
        <w:t>；社会保障和就业（类）支出</w:t>
      </w:r>
      <w:r>
        <w:rPr>
          <w:rFonts w:ascii="Times New Roman" w:eastAsia="方正仿宋_GBK" w:cs="Times New Roman" w:hAnsi="Times New Roman" w:hint="eastAsia"/>
          <w:sz w:val="32"/>
          <w:szCs w:val="32"/>
        </w:rPr>
        <w:t>66.84</w:t>
      </w:r>
      <w:r>
        <w:rPr>
          <w:rFonts w:ascii="Times New Roman" w:eastAsia="方正仿宋_GBK" w:hAnsi="Times New Roman" w:hint="eastAsia"/>
          <w:sz w:val="32"/>
          <w:szCs w:val="32"/>
        </w:rPr>
        <w:t>万元，占</w:t>
      </w:r>
      <w:r>
        <w:rPr>
          <w:rFonts w:ascii="Times New Roman" w:eastAsia="方正仿宋_GBK" w:cs="Times New Roman" w:hAnsi="Times New Roman" w:hint="eastAsia"/>
          <w:sz w:val="32"/>
          <w:szCs w:val="32"/>
        </w:rPr>
        <w:t>7.98</w:t>
      </w:r>
      <w:r>
        <w:rPr>
          <w:rFonts w:ascii="Times New Roman" w:eastAsia="方正仿宋_GBK" w:cs="Times New Roman" w:hAnsi="Times New Roman"/>
          <w:sz w:val="32"/>
          <w:szCs w:val="32"/>
        </w:rPr>
        <w:t>%</w:t>
      </w:r>
      <w:r>
        <w:rPr>
          <w:rFonts w:ascii="Times New Roman" w:eastAsia="方正仿宋_GBK" w:hAnsi="Times New Roman" w:hint="eastAsia"/>
          <w:sz w:val="32"/>
          <w:szCs w:val="32"/>
        </w:rPr>
        <w:t>；卫生健康（类）支出</w:t>
      </w:r>
      <w:r>
        <w:rPr>
          <w:rFonts w:ascii="Times New Roman" w:eastAsia="方正仿宋_GBK" w:cs="Times New Roman" w:hAnsi="Times New Roman" w:hint="eastAsia"/>
          <w:sz w:val="32"/>
          <w:szCs w:val="32"/>
        </w:rPr>
        <w:t>24.05</w:t>
      </w:r>
      <w:r>
        <w:rPr>
          <w:rFonts w:ascii="Times New Roman" w:eastAsia="方正仿宋_GBK" w:hAnsi="Times New Roman" w:hint="eastAsia"/>
          <w:sz w:val="32"/>
          <w:szCs w:val="32"/>
        </w:rPr>
        <w:t>万元，占</w:t>
      </w:r>
      <w:r>
        <w:rPr>
          <w:rFonts w:ascii="Times New Roman" w:eastAsia="方正仿宋_GBK" w:cs="Times New Roman" w:hAnsi="Times New Roman" w:hint="eastAsia"/>
          <w:sz w:val="32"/>
          <w:szCs w:val="32"/>
        </w:rPr>
        <w:t>2.87</w:t>
      </w:r>
      <w:r>
        <w:rPr>
          <w:rFonts w:ascii="Times New Roman" w:eastAsia="方正仿宋_GBK" w:cs="Times New Roman" w:hAnsi="Times New Roman"/>
          <w:sz w:val="32"/>
          <w:szCs w:val="32"/>
        </w:rPr>
        <w:t>%</w:t>
      </w:r>
      <w:r>
        <w:rPr>
          <w:rFonts w:ascii="Times New Roman" w:eastAsia="方正仿宋_GBK" w:hAnsi="Times New Roman" w:hint="eastAsia"/>
          <w:sz w:val="32"/>
          <w:szCs w:val="32"/>
        </w:rPr>
        <w:t>；住房保障（类）支出</w:t>
      </w:r>
      <w:r>
        <w:rPr>
          <w:rFonts w:ascii="Times New Roman" w:eastAsia="方正仿宋_GBK" w:cs="Times New Roman" w:hAnsi="Times New Roman" w:hint="eastAsia"/>
          <w:sz w:val="32"/>
          <w:szCs w:val="32"/>
        </w:rPr>
        <w:t>68.31</w:t>
      </w:r>
      <w:r>
        <w:rPr>
          <w:rFonts w:ascii="Times New Roman" w:eastAsia="方正仿宋_GBK" w:hAnsi="Times New Roman" w:hint="eastAsia"/>
          <w:sz w:val="32"/>
          <w:szCs w:val="32"/>
        </w:rPr>
        <w:t>万元，占</w:t>
      </w:r>
      <w:r>
        <w:rPr>
          <w:rFonts w:ascii="Times New Roman" w:eastAsia="方正仿宋_GBK" w:cs="Times New Roman" w:hAnsi="Times New Roman"/>
          <w:sz w:val="32"/>
          <w:szCs w:val="32"/>
        </w:rPr>
        <w:t>8.</w:t>
      </w:r>
      <w:r>
        <w:rPr>
          <w:rFonts w:ascii="Times New Roman" w:eastAsia="方正仿宋_GBK" w:cs="Times New Roman" w:hAnsi="Times New Roman" w:hint="eastAsia"/>
          <w:sz w:val="32"/>
          <w:szCs w:val="32"/>
        </w:rPr>
        <w:t>15</w:t>
      </w:r>
      <w:r>
        <w:rPr>
          <w:rFonts w:ascii="Times New Roman" w:eastAsia="方正仿宋_GBK" w:cs="Times New Roman" w:hAnsi="Times New Roman"/>
          <w:sz w:val="32"/>
          <w:szCs w:val="32"/>
        </w:rPr>
        <w:t>%</w:t>
      </w:r>
      <w:r>
        <w:rPr>
          <w:rFonts w:ascii="Times New Roman" w:eastAsia="方正仿宋_GBK" w:hAnsi="Times New Roman" w:hint="eastAsia"/>
          <w:sz w:val="32"/>
          <w:szCs w:val="32"/>
        </w:rPr>
        <w:t>。</w:t>
      </w:r>
    </w:p>
    <w:p>
      <w:pPr>
        <w:autoSpaceDN w:val="0"/>
        <w:spacing w:line="560" w:lineRule="exact"/>
        <w:ind w:firstLineChars="337" w:firstLine="708"/>
        <w:rPr>
          <w:rFonts w:ascii="Times New Roman" w:eastAsia="方正楷体_GBK" w:cs="Times New Roman" w:hAnsi="Times New Roman"/>
          <w:b/>
          <w:bCs/>
          <w:sz w:val="32"/>
          <w:szCs w:val="32"/>
        </w:rPr>
      </w:pPr>
      <w:r>
        <mc:AlternateContent>
          <mc:Choice Requires="wps">
            <w:drawing>
              <wp:anchor distT="0" distB="0" distL="114298" distR="114298" simplePos="0" relativeHeight="20" behindDoc="0" locked="0" layoutInCell="1" hidden="0" allowOverlap="1">
                <wp:simplePos x="0" y="0"/>
                <wp:positionH relativeFrom="column">
                  <wp:posOffset>0</wp:posOffset>
                </wp:positionH>
                <wp:positionV relativeFrom="paragraph">
                  <wp:posOffset>0</wp:posOffset>
                </wp:positionV>
                <wp:extent cx="634999" cy="634999"/>
                <wp:effectExtent l="0" t="0" r="0" b="0"/>
                <wp:wrapNone/>
                <wp:docPr id="20" name="矩形 20"/>
                <wp:cNvGraphicFramePr>
                  <a:graphicFrameLocks noChangeAspect="0"/>
                </wp:cNvGraphicFramePr>
                <a:graphic>
                  <a:graphicData uri="http://schemas.microsoft.com/office/word/2010/wordprocessingShape">
                    <wps:wsp>
                      <wps:cNvSpPr/>
                      <wps:spPr>
                        <a:xfrm rot="0">
                          <a:off x="0" y="0"/>
                          <a:ext cx="634999" cy="634999"/>
                        </a:xfrm>
                        <a:prstGeom prst="rect"/>
                        <a:solidFill>
                          <a:srgbClr val="FFFFFF"/>
                        </a:solidFill>
                        <a:ln w="9525" cmpd="sng" cap="flat">
                          <a:solidFill>
                            <a:srgbClr val="000000"/>
                          </a:solidFill>
                          <a:prstDash val="solid"/>
                          <a:miter/>
                        </a:ln>
                      </wps:spPr>
                      <wps:bodyPr vert="horz" wrap="square" lIns="91440" tIns="45720" rIns="91440" bIns="45720" anchor="t" anchorCtr="0" upright="1">
                        <a:noAutofit/>
                      </wps:bodyPr>
                    </wps:wsp>
                  </a:graphicData>
                </a:graphic>
              </wp:anchor>
            </w:drawing>
          </mc:Choice>
          <mc:Fallback>
            <w:pict>
              <v:rect type="#_x0000_t1" id="矩形 20 21" o:spid="_x0000_s21" fillcolor="#FFFFFF" stroked="t" style="position:absolute;margin-left:0.0pt;margin-top:0.0pt;width:49.999996pt;height:49.999996pt;z-index:20;mso-position-horizontal:absolute;mso-position-vertical:absolute;mso-wrap-distance-left:8.999863pt;mso-wrap-distance-right:8.999863pt;">
                <v:stroke color="#000000"/>
              </v:rect>
            </w:pict>
          </mc:Fallback>
        </mc:AlternateContent>
      </w:r>
      <w:r>
        <w:rPr>
          <w:rFonts w:ascii="Times New Roman" w:eastAsia="方正楷体_GBK" w:hAnsi="Times New Roman" w:hint="eastAsia"/>
          <w:b/>
          <w:bCs/>
          <w:sz w:val="32"/>
          <w:szCs w:val="32"/>
        </w:rPr>
        <w:t>（三）一般公共预算当年财政拨款具体使用情况。</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1</w:t>
      </w:r>
      <w:r>
        <w:rPr>
          <w:rFonts w:ascii="Times New Roman" w:eastAsia="方正仿宋_GBK" w:hAnsi="Times New Roman" w:hint="eastAsia"/>
          <w:sz w:val="32"/>
          <w:szCs w:val="32"/>
        </w:rPr>
        <w:t>．一般公共服务支出（类）海关事务（款）</w:t>
      </w:r>
      <w:r>
        <w:rPr>
          <w:rFonts w:ascii="Times New Roman" w:eastAsia="方正仿宋_GBK" w:cs="Times New Roman" w:hAnsi="Times New Roman"/>
          <w:sz w:val="32"/>
          <w:szCs w:val="32"/>
        </w:rPr>
        <w:t>2024</w:t>
      </w:r>
      <w:r>
        <w:rPr>
          <w:rFonts w:ascii="Times New Roman" w:eastAsia="方正仿宋_GBK" w:hAnsi="Times New Roman" w:hint="eastAsia"/>
          <w:sz w:val="32"/>
          <w:szCs w:val="32"/>
        </w:rPr>
        <w:t>年预算</w:t>
      </w:r>
      <w:r>
        <w:rPr>
          <w:rFonts w:ascii="Times New Roman" w:eastAsia="方正仿宋_GBK" w:cs="Times New Roman" w:hAnsi="Times New Roman" w:hint="eastAsia"/>
          <w:sz w:val="32"/>
          <w:szCs w:val="32"/>
        </w:rPr>
        <w:t>678.45</w:t>
      </w:r>
      <w:r>
        <w:rPr>
          <w:rFonts w:ascii="Times New Roman" w:eastAsia="方正仿宋_GBK" w:hAnsi="Times New Roman" w:hint="eastAsia"/>
          <w:sz w:val="32"/>
          <w:szCs w:val="32"/>
        </w:rPr>
        <w:t>万元，比</w:t>
      </w:r>
      <w:r>
        <w:rPr>
          <w:rFonts w:ascii="Times New Roman" w:eastAsia="方正仿宋_GBK" w:cs="Times New Roman" w:hAnsi="Times New Roman"/>
          <w:sz w:val="32"/>
          <w:szCs w:val="32"/>
        </w:rPr>
        <w:t>2023</w:t>
      </w:r>
      <w:r>
        <w:rPr>
          <w:rFonts w:ascii="Times New Roman" w:eastAsia="方正仿宋_GBK" w:hAnsi="Times New Roman" w:hint="eastAsia"/>
          <w:sz w:val="32"/>
          <w:szCs w:val="32"/>
        </w:rPr>
        <w:t>年执行数减少</w:t>
      </w:r>
      <w:r>
        <w:rPr>
          <w:rFonts w:ascii="Times New Roman" w:eastAsia="方正仿宋_GBK" w:cs="Times New Roman" w:hAnsi="Times New Roman" w:hint="eastAsia"/>
          <w:sz w:val="32"/>
          <w:szCs w:val="32"/>
        </w:rPr>
        <w:t>201.86</w:t>
      </w:r>
      <w:r>
        <w:rPr>
          <w:rFonts w:ascii="Times New Roman" w:eastAsia="方正仿宋_GBK" w:hAnsi="Times New Roman" w:hint="eastAsia"/>
          <w:sz w:val="32"/>
          <w:szCs w:val="32"/>
        </w:rPr>
        <w:t>万元，下降</w:t>
      </w:r>
      <w:r>
        <w:rPr>
          <w:rFonts w:ascii="Times New Roman" w:eastAsia="方正仿宋_GBK" w:cs="Times New Roman" w:hAnsi="Times New Roman" w:hint="eastAsia"/>
          <w:sz w:val="32"/>
          <w:szCs w:val="32"/>
        </w:rPr>
        <w:t>29.75</w:t>
      </w:r>
      <w:r>
        <w:rPr>
          <w:rFonts w:ascii="Times New Roman" w:eastAsia="方正仿宋_GBK" w:cs="Times New Roman" w:hAnsi="Times New Roman"/>
          <w:sz w:val="32"/>
          <w:szCs w:val="32"/>
        </w:rPr>
        <w:t>%</w:t>
      </w:r>
      <w:r>
        <w:rPr>
          <w:rFonts w:ascii="Times New Roman" w:eastAsia="方正仿宋_GBK" w:hAnsi="Times New Roman" w:hint="eastAsia"/>
          <w:sz w:val="32"/>
          <w:szCs w:val="32"/>
        </w:rPr>
        <w:t>，其中：</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sz w:val="32"/>
          <w:szCs w:val="32"/>
        </w:rPr>
        <w:t>（</w:t>
      </w:r>
      <w:r>
        <w:rPr>
          <w:rFonts w:ascii="Times New Roman" w:eastAsia="方正仿宋_GBK" w:cs="Times New Roman" w:hAnsi="Times New Roman"/>
          <w:sz w:val="32"/>
          <w:szCs w:val="32"/>
        </w:rPr>
        <w:t>1</w:t>
      </w:r>
      <w:r>
        <w:rPr>
          <w:rFonts w:ascii="Times New Roman" w:eastAsia="方正仿宋_GBK" w:hAnsi="Times New Roman" w:hint="eastAsia"/>
          <w:sz w:val="32"/>
          <w:szCs w:val="32"/>
        </w:rPr>
        <w:t>）行政运行（项）</w:t>
      </w:r>
      <w:r>
        <w:rPr>
          <w:rFonts w:ascii="Times New Roman" w:eastAsia="方正仿宋_GBK" w:cs="Times New Roman" w:hAnsi="Times New Roman"/>
          <w:sz w:val="32"/>
          <w:szCs w:val="32"/>
        </w:rPr>
        <w:t>2024</w:t>
      </w:r>
      <w:r>
        <w:rPr>
          <w:rFonts w:ascii="Times New Roman" w:eastAsia="方正仿宋_GBK" w:hAnsi="Times New Roman" w:hint="eastAsia"/>
          <w:sz w:val="32"/>
          <w:szCs w:val="32"/>
        </w:rPr>
        <w:t>年预算</w:t>
      </w:r>
      <w:r>
        <w:rPr>
          <w:rFonts w:ascii="Times New Roman" w:eastAsia="方正仿宋_GBK" w:cs="Times New Roman" w:hAnsi="Times New Roman" w:hint="eastAsia"/>
          <w:sz w:val="32"/>
          <w:szCs w:val="32"/>
        </w:rPr>
        <w:t>558.09</w:t>
      </w:r>
      <w:r>
        <w:rPr>
          <w:rFonts w:ascii="Times New Roman" w:eastAsia="方正仿宋_GBK" w:hAnsi="Times New Roman" w:hint="eastAsia"/>
          <w:sz w:val="32"/>
          <w:szCs w:val="32"/>
        </w:rPr>
        <w:t>万元，比</w:t>
      </w:r>
      <w:r>
        <w:rPr>
          <w:rFonts w:ascii="Times New Roman" w:eastAsia="方正仿宋_GBK" w:cs="Times New Roman" w:hAnsi="Times New Roman"/>
          <w:sz w:val="32"/>
          <w:szCs w:val="32"/>
        </w:rPr>
        <w:t>2023</w:t>
      </w:r>
      <w:r>
        <w:rPr>
          <w:rFonts w:ascii="Times New Roman" w:eastAsia="方正仿宋_GBK" w:hAnsi="Times New Roman" w:hint="eastAsia"/>
          <w:sz w:val="32"/>
          <w:szCs w:val="32"/>
        </w:rPr>
        <w:t>年执行数减少</w:t>
      </w:r>
      <w:r>
        <w:rPr>
          <w:rFonts w:ascii="Times New Roman" w:eastAsia="方正仿宋_GBK" w:cs="Times New Roman" w:hAnsi="Times New Roman" w:hint="eastAsia"/>
          <w:sz w:val="32"/>
          <w:szCs w:val="32"/>
        </w:rPr>
        <w:t>53.43</w:t>
      </w:r>
      <w:r>
        <w:rPr>
          <w:rFonts w:ascii="Times New Roman" w:eastAsia="方正仿宋_GBK" w:hAnsi="Times New Roman" w:hint="eastAsia"/>
          <w:sz w:val="32"/>
          <w:szCs w:val="32"/>
        </w:rPr>
        <w:t>万元，下降</w:t>
      </w:r>
      <w:r>
        <w:rPr>
          <w:rFonts w:ascii="Times New Roman" w:eastAsia="方正仿宋_GBK" w:cs="Times New Roman" w:hAnsi="Times New Roman" w:hint="eastAsia"/>
          <w:sz w:val="32"/>
          <w:szCs w:val="32"/>
        </w:rPr>
        <w:t>8.74</w:t>
      </w:r>
      <w:r>
        <w:rPr>
          <w:rFonts w:ascii="Times New Roman" w:eastAsia="方正仿宋_GBK" w:cs="Times New Roman" w:hAnsi="Times New Roman"/>
          <w:sz w:val="32"/>
          <w:szCs w:val="32"/>
        </w:rPr>
        <w:t>%</w:t>
      </w:r>
      <w:r>
        <w:rPr>
          <w:rFonts w:ascii="Times New Roman" w:eastAsia="方正仿宋_GBK" w:hAnsi="Times New Roman" w:hint="eastAsia"/>
          <w:sz w:val="32"/>
          <w:szCs w:val="32"/>
        </w:rPr>
        <w:t>。主要是落实过紧日子要求，压减相关经费。</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sz w:val="32"/>
          <w:szCs w:val="32"/>
        </w:rPr>
        <w:t>（</w:t>
      </w:r>
      <w:r>
        <w:rPr>
          <w:rFonts w:ascii="Times New Roman" w:eastAsia="方正仿宋_GBK" w:cs="Times New Roman" w:hAnsi="Times New Roman"/>
          <w:sz w:val="32"/>
          <w:szCs w:val="32"/>
        </w:rPr>
        <w:t>2</w:t>
      </w:r>
      <w:r>
        <w:rPr>
          <w:rFonts w:ascii="Times New Roman" w:eastAsia="方正仿宋_GBK" w:hAnsi="Times New Roman" w:hint="eastAsia"/>
          <w:sz w:val="32"/>
          <w:szCs w:val="32"/>
        </w:rPr>
        <w:t>）一般行政管理事务（项）</w:t>
      </w:r>
      <w:r>
        <w:rPr>
          <w:rFonts w:ascii="Times New Roman" w:eastAsia="方正仿宋_GBK" w:cs="Times New Roman" w:hAnsi="Times New Roman"/>
          <w:sz w:val="32"/>
          <w:szCs w:val="32"/>
        </w:rPr>
        <w:t>2024</w:t>
      </w:r>
      <w:r>
        <w:rPr>
          <w:rFonts w:ascii="Times New Roman" w:eastAsia="方正仿宋_GBK" w:hAnsi="Times New Roman" w:hint="eastAsia"/>
          <w:sz w:val="32"/>
          <w:szCs w:val="32"/>
        </w:rPr>
        <w:t>年预算</w:t>
      </w:r>
      <w:r>
        <w:rPr>
          <w:rFonts w:ascii="Times New Roman" w:eastAsia="方正仿宋_GBK" w:cs="Times New Roman" w:hAnsi="Times New Roman" w:hint="eastAsia"/>
          <w:sz w:val="32"/>
          <w:szCs w:val="32"/>
        </w:rPr>
        <w:t>0.00</w:t>
      </w:r>
      <w:r>
        <w:rPr>
          <w:rFonts w:ascii="Times New Roman" w:eastAsia="方正仿宋_GBK" w:hAnsi="Times New Roman" w:hint="eastAsia"/>
          <w:sz w:val="32"/>
          <w:szCs w:val="32"/>
        </w:rPr>
        <w:t>万元，比</w:t>
      </w:r>
      <w:r>
        <w:rPr>
          <w:rFonts w:ascii="Times New Roman" w:eastAsia="方正仿宋_GBK" w:cs="Times New Roman" w:hAnsi="Times New Roman"/>
          <w:sz w:val="32"/>
          <w:szCs w:val="32"/>
        </w:rPr>
        <w:t>2023</w:t>
      </w:r>
      <w:r>
        <w:rPr>
          <w:rFonts w:ascii="Times New Roman" w:eastAsia="方正仿宋_GBK" w:hAnsi="Times New Roman" w:hint="eastAsia"/>
          <w:sz w:val="32"/>
          <w:szCs w:val="32"/>
        </w:rPr>
        <w:t>年执行数减少</w:t>
      </w:r>
      <w:r>
        <w:rPr>
          <w:rFonts w:ascii="Times New Roman" w:eastAsia="方正仿宋_GBK" w:cs="Times New Roman" w:hAnsi="Times New Roman" w:hint="eastAsia"/>
          <w:sz w:val="32"/>
          <w:szCs w:val="32"/>
        </w:rPr>
        <w:t>6.00</w:t>
      </w:r>
      <w:r>
        <w:rPr>
          <w:rFonts w:ascii="Times New Roman" w:eastAsia="方正仿宋_GBK" w:hAnsi="Times New Roman" w:hint="eastAsia"/>
          <w:sz w:val="32"/>
          <w:szCs w:val="32"/>
        </w:rPr>
        <w:t>万元，下降</w:t>
      </w:r>
      <w:r>
        <w:rPr>
          <w:rFonts w:ascii="Times New Roman" w:eastAsia="方正仿宋_GBK" w:cs="Times New Roman" w:hAnsi="Times New Roman" w:hint="eastAsia"/>
          <w:sz w:val="32"/>
          <w:szCs w:val="32"/>
        </w:rPr>
        <w:t>100.00</w:t>
      </w:r>
      <w:r>
        <w:rPr>
          <w:rFonts w:ascii="Times New Roman" w:eastAsia="方正仿宋_GBK" w:cs="Times New Roman" w:hAnsi="Times New Roman"/>
          <w:sz w:val="32"/>
          <w:szCs w:val="32"/>
        </w:rPr>
        <w:t>%</w:t>
      </w:r>
      <w:r>
        <w:rPr>
          <w:rFonts w:ascii="Times New Roman" w:eastAsia="方正仿宋_GBK" w:hAnsi="Times New Roman" w:hint="eastAsia"/>
          <w:sz w:val="32"/>
          <w:szCs w:val="32"/>
        </w:rPr>
        <w:t>。主要是</w:t>
      </w:r>
      <w:r>
        <w:rPr>
          <w:rFonts w:ascii="Times New Roman" w:eastAsia="方正仿宋_GBK" w:cs="Times New Roman" w:hAnsi="Times New Roman"/>
          <w:sz w:val="32"/>
          <w:szCs w:val="32"/>
        </w:rPr>
        <w:t>2024</w:t>
      </w:r>
      <w:r>
        <w:rPr>
          <w:rFonts w:ascii="Times New Roman" w:eastAsia="方正仿宋_GBK" w:hAnsi="Times New Roman" w:hint="eastAsia"/>
          <w:sz w:val="32"/>
          <w:szCs w:val="32"/>
        </w:rPr>
        <w:t>年无中央基建投资。</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sz w:val="32"/>
          <w:szCs w:val="32"/>
        </w:rPr>
        <w:t>（</w:t>
      </w:r>
      <w:r>
        <w:rPr>
          <w:rFonts w:ascii="Times New Roman" w:eastAsia="方正仿宋_GBK" w:cs="Times New Roman" w:hAnsi="Times New Roman" w:hint="eastAsia"/>
          <w:sz w:val="32"/>
          <w:szCs w:val="32"/>
        </w:rPr>
        <w:t>3</w:t>
      </w:r>
      <w:r>
        <w:rPr>
          <w:rFonts w:ascii="Times New Roman" w:eastAsia="方正仿宋_GBK" w:hAnsi="Times New Roman" w:hint="eastAsia"/>
          <w:sz w:val="32"/>
          <w:szCs w:val="32"/>
        </w:rPr>
        <w:t>）缉私办案（项）</w:t>
      </w:r>
      <w:r>
        <w:rPr>
          <w:rFonts w:ascii="Times New Roman" w:eastAsia="方正仿宋_GBK" w:cs="Times New Roman" w:hAnsi="Times New Roman"/>
          <w:sz w:val="32"/>
          <w:szCs w:val="32"/>
        </w:rPr>
        <w:t>2024</w:t>
      </w:r>
      <w:r>
        <w:rPr>
          <w:rFonts w:ascii="Times New Roman" w:eastAsia="方正仿宋_GBK" w:hAnsi="Times New Roman" w:hint="eastAsia"/>
          <w:sz w:val="32"/>
          <w:szCs w:val="32"/>
        </w:rPr>
        <w:t>年预算</w:t>
      </w:r>
      <w:r>
        <w:rPr>
          <w:rFonts w:ascii="Times New Roman" w:eastAsia="方正仿宋_GBK" w:cs="Times New Roman" w:hAnsi="Times New Roman" w:hint="eastAsia"/>
          <w:sz w:val="32"/>
          <w:szCs w:val="32"/>
        </w:rPr>
        <w:t>2.00</w:t>
      </w:r>
      <w:r>
        <w:rPr>
          <w:rFonts w:ascii="Times New Roman" w:eastAsia="方正仿宋_GBK" w:hAnsi="Times New Roman" w:hint="eastAsia"/>
          <w:sz w:val="32"/>
          <w:szCs w:val="32"/>
        </w:rPr>
        <w:t>万元，比</w:t>
      </w:r>
      <w:r>
        <w:rPr>
          <w:rFonts w:ascii="Times New Roman" w:eastAsia="方正仿宋_GBK" w:cs="Times New Roman" w:hAnsi="Times New Roman"/>
          <w:sz w:val="32"/>
          <w:szCs w:val="32"/>
        </w:rPr>
        <w:t>2023</w:t>
      </w:r>
      <w:r>
        <w:rPr>
          <w:rFonts w:ascii="Times New Roman" w:eastAsia="方正仿宋_GBK" w:hAnsi="Times New Roman" w:hint="eastAsia"/>
          <w:sz w:val="32"/>
          <w:szCs w:val="32"/>
        </w:rPr>
        <w:t>年执行数增加</w:t>
      </w:r>
      <w:r>
        <w:rPr>
          <w:rFonts w:ascii="Times New Roman" w:eastAsia="方正仿宋_GBK" w:cs="Times New Roman" w:hAnsi="Times New Roman" w:hint="eastAsia"/>
          <w:sz w:val="32"/>
          <w:szCs w:val="32"/>
        </w:rPr>
        <w:t>1.00</w:t>
      </w:r>
      <w:r>
        <w:rPr>
          <w:rFonts w:ascii="Times New Roman" w:eastAsia="方正仿宋_GBK" w:hAnsi="Times New Roman" w:hint="eastAsia"/>
          <w:sz w:val="32"/>
          <w:szCs w:val="32"/>
        </w:rPr>
        <w:t>万元，增长</w:t>
      </w:r>
      <w:r>
        <w:rPr>
          <w:rFonts w:ascii="Times New Roman" w:eastAsia="方正仿宋_GBK" w:cs="Times New Roman" w:hAnsi="Times New Roman" w:hint="eastAsia"/>
          <w:sz w:val="32"/>
          <w:szCs w:val="32"/>
        </w:rPr>
        <w:t>100.00</w:t>
      </w:r>
      <w:r>
        <w:rPr>
          <w:rFonts w:ascii="Times New Roman" w:eastAsia="方正仿宋_GBK" w:cs="Times New Roman" w:hAnsi="Times New Roman"/>
          <w:sz w:val="32"/>
          <w:szCs w:val="32"/>
        </w:rPr>
        <w:t>%</w:t>
      </w:r>
      <w:r>
        <w:rPr>
          <w:rFonts w:ascii="Times New Roman" w:eastAsia="方正仿宋_GBK" w:hAnsi="Times New Roman" w:hint="eastAsia"/>
          <w:sz w:val="32"/>
          <w:szCs w:val="32"/>
        </w:rPr>
        <w:t>，主要是缉私办案支出增加。</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sz w:val="32"/>
          <w:szCs w:val="32"/>
        </w:rPr>
        <w:t>（</w:t>
      </w:r>
      <w:r>
        <w:rPr>
          <w:rFonts w:ascii="Times New Roman" w:eastAsia="方正仿宋_GBK" w:cs="Times New Roman" w:hAnsi="Times New Roman" w:hint="eastAsia"/>
          <w:sz w:val="32"/>
          <w:szCs w:val="32"/>
        </w:rPr>
        <w:t>4</w:t>
      </w:r>
      <w:r>
        <w:rPr>
          <w:rFonts w:ascii="Times New Roman" w:eastAsia="方正仿宋_GBK" w:hAnsi="Times New Roman" w:hint="eastAsia"/>
          <w:sz w:val="32"/>
          <w:szCs w:val="32"/>
        </w:rPr>
        <w:t>）信息化建设（项）</w:t>
      </w:r>
      <w:r>
        <w:rPr>
          <w:rFonts w:ascii="Times New Roman" w:eastAsia="方正仿宋_GBK" w:cs="Times New Roman" w:hAnsi="Times New Roman"/>
          <w:sz w:val="32"/>
          <w:szCs w:val="32"/>
        </w:rPr>
        <w:t>2024</w:t>
      </w:r>
      <w:r>
        <w:rPr>
          <w:rFonts w:ascii="Times New Roman" w:eastAsia="方正仿宋_GBK" w:hAnsi="Times New Roman" w:hint="eastAsia"/>
          <w:sz w:val="32"/>
          <w:szCs w:val="32"/>
        </w:rPr>
        <w:t>年预算</w:t>
      </w:r>
      <w:r>
        <w:rPr>
          <w:rFonts w:ascii="Times New Roman" w:eastAsia="方正仿宋_GBK" w:cs="Times New Roman" w:hAnsi="Times New Roman" w:hint="eastAsia"/>
          <w:sz w:val="32"/>
          <w:szCs w:val="32"/>
        </w:rPr>
        <w:t>0.00</w:t>
      </w:r>
      <w:r>
        <w:rPr>
          <w:rFonts w:ascii="Times New Roman" w:eastAsia="方正仿宋_GBK" w:hAnsi="Times New Roman" w:hint="eastAsia"/>
          <w:sz w:val="32"/>
          <w:szCs w:val="32"/>
        </w:rPr>
        <w:t>万元，比</w:t>
      </w:r>
      <w:r>
        <w:rPr>
          <w:rFonts w:ascii="Times New Roman" w:eastAsia="方正仿宋_GBK" w:cs="Times New Roman" w:hAnsi="Times New Roman"/>
          <w:sz w:val="32"/>
          <w:szCs w:val="32"/>
        </w:rPr>
        <w:t>2023</w:t>
      </w:r>
      <w:r>
        <w:rPr>
          <w:rFonts w:ascii="Times New Roman" w:eastAsia="方正仿宋_GBK" w:hAnsi="Times New Roman" w:hint="eastAsia"/>
          <w:sz w:val="32"/>
          <w:szCs w:val="32"/>
        </w:rPr>
        <w:t>年执行数减少</w:t>
      </w:r>
      <w:r>
        <w:rPr>
          <w:rFonts w:ascii="Times New Roman" w:eastAsia="方正仿宋_GBK" w:cs="Times New Roman" w:hAnsi="Times New Roman" w:hint="eastAsia"/>
          <w:sz w:val="32"/>
          <w:szCs w:val="32"/>
        </w:rPr>
        <w:t>10.00</w:t>
      </w:r>
      <w:r>
        <w:rPr>
          <w:rFonts w:ascii="Times New Roman" w:eastAsia="方正仿宋_GBK" w:hAnsi="Times New Roman" w:hint="eastAsia"/>
          <w:sz w:val="32"/>
          <w:szCs w:val="32"/>
        </w:rPr>
        <w:t>万元，下降</w:t>
      </w:r>
      <w:r>
        <w:rPr>
          <w:rFonts w:ascii="Times New Roman" w:eastAsia="方正仿宋_GBK" w:cs="Times New Roman" w:hAnsi="Times New Roman" w:hint="eastAsia"/>
          <w:sz w:val="32"/>
          <w:szCs w:val="32"/>
        </w:rPr>
        <w:t>100.00</w:t>
      </w:r>
      <w:r>
        <w:rPr>
          <w:rFonts w:ascii="Times New Roman" w:eastAsia="方正仿宋_GBK" w:cs="Times New Roman" w:hAnsi="Times New Roman"/>
          <w:sz w:val="32"/>
          <w:szCs w:val="32"/>
        </w:rPr>
        <w:t>%</w:t>
      </w:r>
      <w:r>
        <w:rPr>
          <w:rFonts w:ascii="Times New Roman" w:eastAsia="方正仿宋_GBK" w:hAnsi="Times New Roman" w:hint="eastAsia"/>
          <w:sz w:val="32"/>
          <w:szCs w:val="32"/>
        </w:rPr>
        <w:t>。主要是2024年无信息化建设支出预算。</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sz w:val="32"/>
          <w:szCs w:val="32"/>
        </w:rPr>
        <w:t>（</w:t>
      </w:r>
      <w:r>
        <w:rPr>
          <w:rFonts w:ascii="Times New Roman" w:eastAsia="方正仿宋_GBK" w:cs="Times New Roman" w:hAnsi="Times New Roman" w:hint="eastAsia"/>
          <w:sz w:val="32"/>
          <w:szCs w:val="32"/>
        </w:rPr>
        <w:t>5</w:t>
      </w:r>
      <w:r>
        <w:rPr>
          <w:rFonts w:ascii="Times New Roman" w:eastAsia="方正仿宋_GBK" w:hAnsi="Times New Roman" w:hint="eastAsia"/>
          <w:sz w:val="32"/>
          <w:szCs w:val="32"/>
        </w:rPr>
        <w:t>）海关关务（项）</w:t>
      </w:r>
      <w:r>
        <w:rPr>
          <w:rFonts w:ascii="Times New Roman" w:eastAsia="方正仿宋_GBK" w:cs="Times New Roman" w:hAnsi="Times New Roman"/>
          <w:sz w:val="32"/>
          <w:szCs w:val="32"/>
        </w:rPr>
        <w:t>2024</w:t>
      </w:r>
      <w:r>
        <w:rPr>
          <w:rFonts w:ascii="Times New Roman" w:eastAsia="方正仿宋_GBK" w:hAnsi="Times New Roman" w:hint="eastAsia"/>
          <w:sz w:val="32"/>
          <w:szCs w:val="32"/>
        </w:rPr>
        <w:t>年预算</w:t>
      </w:r>
      <w:r>
        <w:rPr>
          <w:rFonts w:ascii="Times New Roman" w:eastAsia="方正仿宋_GBK" w:cs="Times New Roman" w:hAnsi="Times New Roman" w:hint="eastAsia"/>
          <w:sz w:val="32"/>
          <w:szCs w:val="32"/>
        </w:rPr>
        <w:t>103.27</w:t>
      </w:r>
      <w:r>
        <w:rPr>
          <w:rFonts w:ascii="Times New Roman" w:eastAsia="方正仿宋_GBK" w:hAnsi="Times New Roman" w:hint="eastAsia"/>
          <w:sz w:val="32"/>
          <w:szCs w:val="32"/>
        </w:rPr>
        <w:t>万元，比</w:t>
      </w:r>
      <w:r>
        <w:rPr>
          <w:rFonts w:ascii="Times New Roman" w:eastAsia="方正仿宋_GBK" w:cs="Times New Roman" w:hAnsi="Times New Roman"/>
          <w:sz w:val="32"/>
          <w:szCs w:val="32"/>
        </w:rPr>
        <w:t>2023</w:t>
      </w:r>
      <w:r>
        <w:rPr>
          <w:rFonts w:ascii="Times New Roman" w:eastAsia="方正仿宋_GBK" w:hAnsi="Times New Roman" w:hint="eastAsia"/>
          <w:sz w:val="32"/>
          <w:szCs w:val="32"/>
        </w:rPr>
        <w:t>年执行数增加7.15万元，增长7.44</w:t>
      </w:r>
      <w:r>
        <w:rPr>
          <w:rFonts w:ascii="Times New Roman" w:eastAsia="方正仿宋_GBK" w:cs="Times New Roman" w:hAnsi="Times New Roman"/>
          <w:sz w:val="32"/>
          <w:szCs w:val="32"/>
        </w:rPr>
        <w:t>%</w:t>
      </w:r>
      <w:r>
        <w:rPr>
          <w:rFonts w:ascii="Times New Roman" w:eastAsia="方正仿宋_GBK" w:hAnsi="Times New Roman" w:hint="eastAsia"/>
          <w:sz w:val="32"/>
          <w:szCs w:val="32"/>
        </w:rPr>
        <w:t>。主要是新增了艰苦地区边关综合保障专项。</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hAnsi="Times New Roman" w:hint="eastAsia"/>
          <w:sz w:val="32"/>
          <w:szCs w:val="32"/>
        </w:rPr>
        <w:t>（</w:t>
      </w:r>
      <w:r>
        <w:rPr>
          <w:rFonts w:ascii="Times New Roman" w:eastAsia="方正仿宋_GBK" w:cs="Times New Roman" w:hAnsi="Times New Roman" w:hint="eastAsia"/>
          <w:sz w:val="32"/>
          <w:szCs w:val="32"/>
        </w:rPr>
        <w:t>6</w:t>
      </w:r>
      <w:r>
        <w:rPr>
          <w:rFonts w:ascii="Times New Roman" w:eastAsia="方正仿宋_GBK" w:hAnsi="Times New Roman" w:hint="eastAsia"/>
          <w:sz w:val="32"/>
          <w:szCs w:val="32"/>
        </w:rPr>
        <w:t>）海关监管（项）</w:t>
      </w:r>
      <w:r>
        <w:rPr>
          <w:rFonts w:ascii="Times New Roman" w:eastAsia="方正仿宋_GBK" w:cs="Times New Roman" w:hAnsi="Times New Roman"/>
          <w:sz w:val="32"/>
          <w:szCs w:val="32"/>
        </w:rPr>
        <w:t>2024</w:t>
      </w:r>
      <w:r>
        <w:rPr>
          <w:rFonts w:ascii="Times New Roman" w:eastAsia="方正仿宋_GBK" w:hAnsi="Times New Roman" w:hint="eastAsia"/>
          <w:sz w:val="32"/>
          <w:szCs w:val="32"/>
        </w:rPr>
        <w:t>年预算5.79万元，比</w:t>
      </w:r>
      <w:r>
        <w:rPr>
          <w:rFonts w:ascii="Times New Roman" w:eastAsia="方正仿宋_GBK" w:cs="Times New Roman" w:hAnsi="Times New Roman"/>
          <w:sz w:val="32"/>
          <w:szCs w:val="32"/>
        </w:rPr>
        <w:t>2023</w:t>
      </w:r>
      <w:r>
        <w:rPr>
          <w:rFonts w:ascii="Times New Roman" w:eastAsia="方正仿宋_GBK" w:hAnsi="Times New Roman" w:hint="eastAsia"/>
          <w:sz w:val="32"/>
          <w:szCs w:val="32"/>
        </w:rPr>
        <w:t>年执行数增加</w:t>
      </w:r>
      <w:r>
        <w:rPr>
          <w:rFonts w:ascii="Times New Roman" w:eastAsia="方正仿宋_GBK" w:cs="Times New Roman" w:hAnsi="Times New Roman" w:hint="eastAsia"/>
          <w:sz w:val="32"/>
          <w:szCs w:val="32"/>
        </w:rPr>
        <w:t>1.79</w:t>
      </w:r>
      <w:r>
        <w:rPr>
          <w:rFonts w:ascii="Times New Roman" w:eastAsia="方正仿宋_GBK" w:hAnsi="Times New Roman" w:hint="eastAsia"/>
          <w:sz w:val="32"/>
          <w:szCs w:val="32"/>
        </w:rPr>
        <w:t>万元，增长</w:t>
      </w:r>
      <w:r>
        <w:rPr>
          <w:rFonts w:ascii="Times New Roman" w:eastAsia="方正仿宋_GBK" w:cs="Times New Roman" w:hAnsi="Times New Roman" w:hint="eastAsia"/>
          <w:sz w:val="32"/>
          <w:szCs w:val="32"/>
        </w:rPr>
        <w:t>44.75</w:t>
      </w:r>
      <w:r>
        <w:rPr>
          <w:rFonts w:ascii="Times New Roman" w:eastAsia="方正仿宋_GBK" w:cs="Times New Roman" w:hAnsi="Times New Roman"/>
          <w:sz w:val="32"/>
          <w:szCs w:val="32"/>
        </w:rPr>
        <w:t>%</w:t>
      </w:r>
      <w:r>
        <w:rPr>
          <w:rFonts w:ascii="Times New Roman" w:eastAsia="方正仿宋_GBK" w:hAnsi="Times New Roman" w:hint="eastAsia"/>
          <w:sz w:val="32"/>
          <w:szCs w:val="32"/>
        </w:rPr>
        <w:t>。主要是海关监管支出增加。</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sz w:val="32"/>
          <w:szCs w:val="32"/>
        </w:rPr>
        <w:t>（</w:t>
      </w:r>
      <w:r>
        <w:rPr>
          <w:rFonts w:ascii="Times New Roman" w:eastAsia="方正仿宋_GBK" w:cs="Times New Roman" w:hAnsi="Times New Roman" w:hint="eastAsia"/>
          <w:sz w:val="32"/>
          <w:szCs w:val="32"/>
        </w:rPr>
        <w:t>7</w:t>
      </w:r>
      <w:r>
        <w:rPr>
          <w:rFonts w:ascii="Times New Roman" w:eastAsia="方正仿宋_GBK" w:hAnsi="Times New Roman" w:hint="eastAsia"/>
          <w:sz w:val="32"/>
          <w:szCs w:val="32"/>
        </w:rPr>
        <w:t>）检验检疫（项）</w:t>
      </w:r>
      <w:r>
        <w:rPr>
          <w:rFonts w:ascii="Times New Roman" w:eastAsia="方正仿宋_GBK" w:cs="Times New Roman" w:hAnsi="Times New Roman"/>
          <w:sz w:val="32"/>
          <w:szCs w:val="32"/>
        </w:rPr>
        <w:t>2024</w:t>
      </w:r>
      <w:r>
        <w:rPr>
          <w:rFonts w:ascii="Times New Roman" w:eastAsia="方正仿宋_GBK" w:hAnsi="Times New Roman" w:hint="eastAsia"/>
          <w:sz w:val="32"/>
          <w:szCs w:val="32"/>
        </w:rPr>
        <w:t>年预算</w:t>
      </w:r>
      <w:r>
        <w:rPr>
          <w:rFonts w:ascii="Times New Roman" w:eastAsia="方正仿宋_GBK" w:cs="Times New Roman" w:hAnsi="Times New Roman" w:hint="eastAsia"/>
          <w:sz w:val="32"/>
          <w:szCs w:val="32"/>
        </w:rPr>
        <w:t>9.30</w:t>
      </w:r>
      <w:r>
        <w:rPr>
          <w:rFonts w:ascii="Times New Roman" w:eastAsia="方正仿宋_GBK" w:hAnsi="Times New Roman" w:hint="eastAsia"/>
          <w:sz w:val="32"/>
          <w:szCs w:val="32"/>
        </w:rPr>
        <w:t>万元，比</w:t>
      </w:r>
      <w:r>
        <w:rPr>
          <w:rFonts w:ascii="Times New Roman" w:eastAsia="方正仿宋_GBK" w:cs="Times New Roman" w:hAnsi="Times New Roman"/>
          <w:sz w:val="32"/>
          <w:szCs w:val="32"/>
        </w:rPr>
        <w:t>2023</w:t>
      </w:r>
      <w:r>
        <w:rPr>
          <w:rFonts w:ascii="Times New Roman" w:eastAsia="方正仿宋_GBK" w:hAnsi="Times New Roman" w:hint="eastAsia"/>
          <w:sz w:val="32"/>
          <w:szCs w:val="32"/>
        </w:rPr>
        <w:t>年执行数减少</w:t>
      </w:r>
      <w:r>
        <w:rPr>
          <w:rFonts w:ascii="Times New Roman" w:eastAsia="方正仿宋_GBK" w:cs="Times New Roman" w:hAnsi="Times New Roman" w:hint="eastAsia"/>
          <w:sz w:val="32"/>
          <w:szCs w:val="32"/>
        </w:rPr>
        <w:t>142.37</w:t>
      </w:r>
      <w:r>
        <w:rPr>
          <w:rFonts w:ascii="Times New Roman" w:eastAsia="方正仿宋_GBK" w:hAnsi="Times New Roman" w:hint="eastAsia"/>
          <w:sz w:val="32"/>
          <w:szCs w:val="32"/>
        </w:rPr>
        <w:t>万元，降低</w:t>
      </w:r>
      <w:r>
        <w:rPr>
          <w:rFonts w:ascii="Times New Roman" w:eastAsia="方正仿宋_GBK" w:cs="Times New Roman" w:hAnsi="Times New Roman" w:hint="eastAsia"/>
          <w:sz w:val="32"/>
          <w:szCs w:val="32"/>
        </w:rPr>
        <w:t>93.87</w:t>
      </w:r>
      <w:r>
        <w:rPr>
          <w:rFonts w:ascii="Times New Roman" w:eastAsia="方正仿宋_GBK" w:cs="Times New Roman" w:hAnsi="Times New Roman"/>
          <w:sz w:val="32"/>
          <w:szCs w:val="32"/>
        </w:rPr>
        <w:t>%</w:t>
      </w:r>
      <w:r>
        <w:rPr>
          <w:rFonts w:ascii="Times New Roman" w:eastAsia="方正仿宋_GBK" w:hAnsi="Times New Roman" w:hint="eastAsia"/>
          <w:sz w:val="32"/>
          <w:szCs w:val="32"/>
        </w:rPr>
        <w:t>。主要是检验检疫支出减少。</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hint="eastAsia"/>
          <w:sz w:val="32"/>
          <w:szCs w:val="32"/>
        </w:rPr>
        <w:t>2</w:t>
      </w:r>
      <w:r>
        <w:rPr>
          <w:rFonts w:ascii="Times New Roman" w:eastAsia="方正仿宋_GBK" w:hAnsi="Times New Roman" w:hint="eastAsia"/>
          <w:sz w:val="32"/>
          <w:szCs w:val="32"/>
        </w:rPr>
        <w:t>．社会保障和就业支出（类）行政事业单位养老支出（款）</w:t>
      </w:r>
      <w:r>
        <w:rPr>
          <w:rFonts w:ascii="Times New Roman" w:eastAsia="方正仿宋_GBK" w:cs="Times New Roman" w:hAnsi="Times New Roman"/>
          <w:sz w:val="32"/>
          <w:szCs w:val="32"/>
        </w:rPr>
        <w:t>2024</w:t>
      </w:r>
      <w:r>
        <w:rPr>
          <w:rFonts w:ascii="Times New Roman" w:eastAsia="方正仿宋_GBK" w:hAnsi="Times New Roman" w:hint="eastAsia"/>
          <w:sz w:val="32"/>
          <w:szCs w:val="32"/>
        </w:rPr>
        <w:t>年预算</w:t>
      </w:r>
      <w:r>
        <w:rPr>
          <w:rFonts w:ascii="Times New Roman" w:eastAsia="方正仿宋_GBK" w:cs="Times New Roman" w:hAnsi="Times New Roman" w:hint="eastAsia"/>
          <w:sz w:val="32"/>
          <w:szCs w:val="32"/>
        </w:rPr>
        <w:t>66.84</w:t>
      </w:r>
      <w:r>
        <w:rPr>
          <w:rFonts w:ascii="Times New Roman" w:eastAsia="方正仿宋_GBK" w:hAnsi="Times New Roman" w:hint="eastAsia"/>
          <w:sz w:val="32"/>
          <w:szCs w:val="32"/>
        </w:rPr>
        <w:t>万元，比</w:t>
      </w:r>
      <w:r>
        <w:rPr>
          <w:rFonts w:ascii="Times New Roman" w:eastAsia="方正仿宋_GBK" w:cs="Times New Roman" w:hAnsi="Times New Roman"/>
          <w:sz w:val="32"/>
          <w:szCs w:val="32"/>
        </w:rPr>
        <w:t>2023</w:t>
      </w:r>
      <w:r>
        <w:rPr>
          <w:rFonts w:ascii="Times New Roman" w:eastAsia="方正仿宋_GBK" w:hAnsi="Times New Roman" w:hint="eastAsia"/>
          <w:sz w:val="32"/>
          <w:szCs w:val="32"/>
        </w:rPr>
        <w:t>年执行数增加</w:t>
      </w:r>
      <w:r>
        <w:rPr>
          <w:rFonts w:ascii="Times New Roman" w:eastAsia="方正仿宋_GBK" w:cs="Times New Roman" w:hAnsi="Times New Roman" w:hint="eastAsia"/>
          <w:sz w:val="32"/>
          <w:szCs w:val="32"/>
        </w:rPr>
        <w:t>0.18</w:t>
      </w:r>
      <w:r>
        <w:rPr>
          <w:rFonts w:ascii="Times New Roman" w:eastAsia="方正仿宋_GBK" w:hAnsi="Times New Roman" w:hint="eastAsia"/>
          <w:sz w:val="32"/>
          <w:szCs w:val="32"/>
        </w:rPr>
        <w:t>万元，增长</w:t>
      </w:r>
      <w:r>
        <w:rPr>
          <w:rFonts w:ascii="Times New Roman" w:eastAsia="方正仿宋_GBK" w:cs="Times New Roman" w:hAnsi="Times New Roman" w:hint="eastAsia"/>
          <w:sz w:val="32"/>
          <w:szCs w:val="32"/>
        </w:rPr>
        <w:t>0.27</w:t>
      </w:r>
      <w:r>
        <w:rPr>
          <w:rFonts w:ascii="Times New Roman" w:eastAsia="方正仿宋_GBK" w:cs="Times New Roman" w:hAnsi="Times New Roman"/>
          <w:sz w:val="32"/>
          <w:szCs w:val="32"/>
        </w:rPr>
        <w:t>%</w:t>
      </w:r>
      <w:r>
        <w:rPr>
          <w:rFonts w:ascii="Times New Roman" w:eastAsia="方正仿宋_GBK" w:hAnsi="Times New Roman" w:hint="eastAsia"/>
          <w:sz w:val="32"/>
          <w:szCs w:val="32"/>
        </w:rPr>
        <w:t>。其中：</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sz w:val="32"/>
          <w:szCs w:val="32"/>
        </w:rPr>
        <w:t>（</w:t>
      </w:r>
      <w:r>
        <w:rPr>
          <w:rFonts w:ascii="Times New Roman" w:eastAsia="方正仿宋_GBK" w:cs="Times New Roman" w:hAnsi="Times New Roman"/>
          <w:sz w:val="32"/>
          <w:szCs w:val="32"/>
        </w:rPr>
        <w:t>1</w:t>
      </w:r>
      <w:r>
        <w:rPr>
          <w:rFonts w:ascii="Times New Roman" w:eastAsia="方正仿宋_GBK" w:hAnsi="Times New Roman" w:hint="eastAsia"/>
          <w:sz w:val="32"/>
          <w:szCs w:val="32"/>
        </w:rPr>
        <w:t>）行政单位离退休（项）</w:t>
      </w:r>
      <w:r>
        <w:rPr>
          <w:rFonts w:ascii="Times New Roman" w:eastAsia="方正仿宋_GBK" w:cs="Times New Roman" w:hAnsi="Times New Roman"/>
          <w:sz w:val="32"/>
          <w:szCs w:val="32"/>
        </w:rPr>
        <w:t>2024</w:t>
      </w:r>
      <w:r>
        <w:rPr>
          <w:rFonts w:ascii="Times New Roman" w:eastAsia="方正仿宋_GBK" w:hAnsi="Times New Roman" w:hint="eastAsia"/>
          <w:sz w:val="32"/>
          <w:szCs w:val="32"/>
        </w:rPr>
        <w:t>年预算</w:t>
      </w:r>
      <w:r>
        <w:rPr>
          <w:rFonts w:ascii="Times New Roman" w:eastAsia="方正仿宋_GBK" w:cs="Times New Roman" w:hAnsi="Times New Roman" w:hint="eastAsia"/>
          <w:sz w:val="32"/>
          <w:szCs w:val="32"/>
        </w:rPr>
        <w:t>0.48</w:t>
      </w:r>
      <w:r>
        <w:rPr>
          <w:rFonts w:ascii="Times New Roman" w:eastAsia="方正仿宋_GBK" w:hAnsi="Times New Roman" w:hint="eastAsia"/>
          <w:sz w:val="32"/>
          <w:szCs w:val="32"/>
        </w:rPr>
        <w:t>万元，比</w:t>
      </w:r>
      <w:r>
        <w:rPr>
          <w:rFonts w:ascii="Times New Roman" w:eastAsia="方正仿宋_GBK" w:cs="Times New Roman" w:hAnsi="Times New Roman"/>
          <w:sz w:val="32"/>
          <w:szCs w:val="32"/>
        </w:rPr>
        <w:t>2023</w:t>
      </w:r>
      <w:r>
        <w:rPr>
          <w:rFonts w:ascii="Times New Roman" w:eastAsia="方正仿宋_GBK" w:hAnsi="Times New Roman" w:hint="eastAsia"/>
          <w:sz w:val="32"/>
          <w:szCs w:val="32"/>
        </w:rPr>
        <w:t>年执行数减少</w:t>
      </w:r>
      <w:r>
        <w:rPr>
          <w:rFonts w:ascii="Times New Roman" w:eastAsia="方正仿宋_GBK" w:cs="Times New Roman" w:hAnsi="Times New Roman" w:hint="eastAsia"/>
          <w:sz w:val="32"/>
          <w:szCs w:val="32"/>
        </w:rPr>
        <w:t>0.15</w:t>
      </w:r>
      <w:r>
        <w:rPr>
          <w:rFonts w:ascii="Times New Roman" w:eastAsia="方正仿宋_GBK" w:hAnsi="Times New Roman" w:hint="eastAsia"/>
          <w:sz w:val="32"/>
          <w:szCs w:val="32"/>
        </w:rPr>
        <w:t>万元，降低</w:t>
      </w:r>
      <w:r>
        <w:rPr>
          <w:rFonts w:ascii="Times New Roman" w:eastAsia="方正仿宋_GBK" w:cs="Times New Roman" w:hAnsi="Times New Roman" w:hint="eastAsia"/>
          <w:sz w:val="32"/>
          <w:szCs w:val="32"/>
        </w:rPr>
        <w:t>23.81</w:t>
      </w:r>
      <w:r>
        <w:rPr>
          <w:rFonts w:ascii="Times New Roman" w:eastAsia="方正仿宋_GBK" w:cs="Times New Roman" w:hAnsi="Times New Roman"/>
          <w:sz w:val="32"/>
          <w:szCs w:val="32"/>
        </w:rPr>
        <w:t>%</w:t>
      </w:r>
      <w:r>
        <w:rPr>
          <w:rFonts w:ascii="Times New Roman" w:eastAsia="方正仿宋_GBK" w:hAnsi="Times New Roman" w:hint="eastAsia"/>
          <w:sz w:val="32"/>
          <w:szCs w:val="32"/>
        </w:rPr>
        <w:t>。主要是行政单位离退休经费减少。</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sz w:val="32"/>
          <w:szCs w:val="32"/>
        </w:rPr>
        <w:t>（</w:t>
      </w:r>
      <w:r>
        <w:rPr>
          <w:rFonts w:ascii="Times New Roman" w:eastAsia="方正仿宋_GBK" w:cs="Times New Roman" w:hAnsi="Times New Roman"/>
          <w:sz w:val="32"/>
          <w:szCs w:val="32"/>
        </w:rPr>
        <w:t>2</w:t>
      </w:r>
      <w:r>
        <w:rPr>
          <w:rFonts w:ascii="Times New Roman" w:eastAsia="方正仿宋_GBK" w:hAnsi="Times New Roman" w:hint="eastAsia"/>
          <w:sz w:val="32"/>
          <w:szCs w:val="32"/>
        </w:rPr>
        <w:t>）机关事业单位基本养老保险缴费支出（项）</w:t>
      </w:r>
      <w:r>
        <w:rPr>
          <w:rFonts w:ascii="Times New Roman" w:eastAsia="方正仿宋_GBK" w:cs="Times New Roman" w:hAnsi="Times New Roman"/>
          <w:sz w:val="32"/>
          <w:szCs w:val="32"/>
        </w:rPr>
        <w:t>2024</w:t>
      </w:r>
      <w:r>
        <w:rPr>
          <w:rFonts w:ascii="Times New Roman" w:eastAsia="方正仿宋_GBK" w:hAnsi="Times New Roman" w:hint="eastAsia"/>
          <w:sz w:val="32"/>
          <w:szCs w:val="32"/>
        </w:rPr>
        <w:t>年预算</w:t>
      </w:r>
      <w:r>
        <w:rPr>
          <w:rFonts w:ascii="Times New Roman" w:eastAsia="方正仿宋_GBK" w:cs="Times New Roman" w:hAnsi="Times New Roman" w:hint="eastAsia"/>
          <w:sz w:val="32"/>
          <w:szCs w:val="32"/>
        </w:rPr>
        <w:t>44.24</w:t>
      </w:r>
      <w:r>
        <w:rPr>
          <w:rFonts w:ascii="Times New Roman" w:eastAsia="方正仿宋_GBK" w:hAnsi="Times New Roman" w:hint="eastAsia"/>
          <w:sz w:val="32"/>
          <w:szCs w:val="32"/>
        </w:rPr>
        <w:t>万元，比</w:t>
      </w:r>
      <w:r>
        <w:rPr>
          <w:rFonts w:ascii="Times New Roman" w:eastAsia="方正仿宋_GBK" w:cs="Times New Roman" w:hAnsi="Times New Roman"/>
          <w:sz w:val="32"/>
          <w:szCs w:val="32"/>
        </w:rPr>
        <w:t>2023</w:t>
      </w:r>
      <w:r>
        <w:rPr>
          <w:rFonts w:ascii="Times New Roman" w:eastAsia="方正仿宋_GBK" w:hAnsi="Times New Roman" w:hint="eastAsia"/>
          <w:sz w:val="32"/>
          <w:szCs w:val="32"/>
        </w:rPr>
        <w:t>年执行数增加</w:t>
      </w:r>
      <w:r>
        <w:rPr>
          <w:rFonts w:ascii="Times New Roman" w:eastAsia="方正仿宋_GBK" w:cs="Times New Roman" w:hAnsi="Times New Roman" w:hint="eastAsia"/>
          <w:sz w:val="32"/>
          <w:szCs w:val="32"/>
        </w:rPr>
        <w:t>0.33</w:t>
      </w:r>
      <w:r>
        <w:rPr>
          <w:rFonts w:ascii="Times New Roman" w:eastAsia="方正仿宋_GBK" w:hAnsi="Times New Roman" w:hint="eastAsia"/>
          <w:sz w:val="32"/>
          <w:szCs w:val="32"/>
        </w:rPr>
        <w:t>万元，增长</w:t>
      </w:r>
      <w:r>
        <w:rPr>
          <w:rFonts w:ascii="Times New Roman" w:eastAsia="方正仿宋_GBK" w:cs="Times New Roman" w:hAnsi="Times New Roman" w:hint="eastAsia"/>
          <w:sz w:val="32"/>
          <w:szCs w:val="32"/>
        </w:rPr>
        <w:t>0.75</w:t>
      </w:r>
      <w:r>
        <w:rPr>
          <w:rFonts w:ascii="Times New Roman" w:eastAsia="方正仿宋_GBK" w:cs="Times New Roman" w:hAnsi="Times New Roman"/>
          <w:sz w:val="32"/>
          <w:szCs w:val="32"/>
        </w:rPr>
        <w:t>%</w:t>
      </w:r>
      <w:r>
        <w:rPr>
          <w:rFonts w:ascii="Times New Roman" w:eastAsia="方正仿宋_GBK" w:hAnsi="Times New Roman" w:hint="eastAsia"/>
          <w:sz w:val="32"/>
          <w:szCs w:val="32"/>
        </w:rPr>
        <w:t>。主要是基本养老保险单位缴费经费增加。</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sz w:val="32"/>
          <w:szCs w:val="32"/>
        </w:rPr>
        <w:t>（</w:t>
      </w:r>
      <w:r>
        <w:rPr>
          <w:rFonts w:ascii="Times New Roman" w:eastAsia="方正仿宋_GBK" w:cs="Times New Roman" w:hAnsi="Times New Roman"/>
          <w:sz w:val="32"/>
          <w:szCs w:val="32"/>
        </w:rPr>
        <w:t>3</w:t>
      </w:r>
      <w:r>
        <w:rPr>
          <w:rFonts w:ascii="Times New Roman" w:eastAsia="方正仿宋_GBK" w:hAnsi="Times New Roman" w:hint="eastAsia"/>
          <w:sz w:val="32"/>
          <w:szCs w:val="32"/>
        </w:rPr>
        <w:t>）机关事业单位职业年金缴费支出（项）</w:t>
      </w:r>
      <w:r>
        <w:rPr>
          <w:rFonts w:ascii="Times New Roman" w:eastAsia="方正仿宋_GBK" w:cs="Times New Roman" w:hAnsi="Times New Roman"/>
          <w:sz w:val="32"/>
          <w:szCs w:val="32"/>
        </w:rPr>
        <w:t>2024</w:t>
      </w:r>
      <w:r>
        <w:rPr>
          <w:rFonts w:ascii="Times New Roman" w:eastAsia="方正仿宋_GBK" w:hAnsi="Times New Roman" w:hint="eastAsia"/>
          <w:sz w:val="32"/>
          <w:szCs w:val="32"/>
        </w:rPr>
        <w:t>年预算</w:t>
      </w:r>
      <w:r>
        <w:rPr>
          <w:rFonts w:ascii="Times New Roman" w:eastAsia="方正仿宋_GBK" w:cs="Times New Roman" w:hAnsi="Times New Roman" w:hint="eastAsia"/>
          <w:sz w:val="32"/>
          <w:szCs w:val="32"/>
        </w:rPr>
        <w:t>22.12</w:t>
      </w:r>
      <w:r>
        <w:rPr>
          <w:rFonts w:ascii="Times New Roman" w:eastAsia="方正仿宋_GBK" w:hAnsi="Times New Roman" w:hint="eastAsia"/>
          <w:sz w:val="32"/>
          <w:szCs w:val="32"/>
        </w:rPr>
        <w:t>万元，同</w:t>
      </w:r>
      <w:r>
        <w:rPr>
          <w:rFonts w:ascii="Times New Roman" w:eastAsia="方正仿宋_GBK" w:cs="Times New Roman" w:hAnsi="Times New Roman"/>
          <w:sz w:val="32"/>
          <w:szCs w:val="32"/>
        </w:rPr>
        <w:t>2023</w:t>
      </w:r>
      <w:r>
        <w:rPr>
          <w:rFonts w:ascii="Times New Roman" w:eastAsia="方正仿宋_GBK" w:hAnsi="Times New Roman" w:hint="eastAsia"/>
          <w:sz w:val="32"/>
          <w:szCs w:val="32"/>
        </w:rPr>
        <w:t>年执行数持平。</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hint="eastAsia"/>
          <w:sz w:val="32"/>
          <w:szCs w:val="32"/>
        </w:rPr>
        <w:t>3</w:t>
      </w:r>
      <w:r>
        <w:rPr>
          <w:rFonts w:ascii="Times New Roman" w:eastAsia="方正仿宋_GBK" w:hAnsi="Times New Roman" w:hint="eastAsia"/>
          <w:sz w:val="32"/>
          <w:szCs w:val="32"/>
        </w:rPr>
        <w:t>．卫生健康支出（类）行政事业单位医疗（款）</w:t>
      </w:r>
      <w:r>
        <w:rPr>
          <w:rFonts w:ascii="Times New Roman" w:eastAsia="方正仿宋_GBK" w:cs="Times New Roman" w:hAnsi="Times New Roman"/>
          <w:sz w:val="32"/>
          <w:szCs w:val="32"/>
        </w:rPr>
        <w:t>2024</w:t>
      </w:r>
      <w:r>
        <w:rPr>
          <w:rFonts w:ascii="Times New Roman" w:eastAsia="方正仿宋_GBK" w:hAnsi="Times New Roman" w:hint="eastAsia"/>
          <w:sz w:val="32"/>
          <w:szCs w:val="32"/>
        </w:rPr>
        <w:t>年预算</w:t>
      </w:r>
      <w:r>
        <w:rPr>
          <w:rFonts w:ascii="Times New Roman" w:eastAsia="方正仿宋_GBK" w:cs="Times New Roman" w:hAnsi="Times New Roman" w:hint="eastAsia"/>
          <w:sz w:val="32"/>
          <w:szCs w:val="32"/>
        </w:rPr>
        <w:t>24.05</w:t>
      </w:r>
      <w:r>
        <w:rPr>
          <w:rFonts w:ascii="Times New Roman" w:eastAsia="方正仿宋_GBK" w:hAnsi="Times New Roman" w:hint="eastAsia"/>
          <w:sz w:val="32"/>
          <w:szCs w:val="32"/>
        </w:rPr>
        <w:t>万元，比</w:t>
      </w:r>
      <w:r>
        <w:rPr>
          <w:rFonts w:ascii="Times New Roman" w:eastAsia="方正仿宋_GBK" w:cs="Times New Roman" w:hAnsi="Times New Roman"/>
          <w:sz w:val="32"/>
          <w:szCs w:val="32"/>
        </w:rPr>
        <w:t>2023</w:t>
      </w:r>
      <w:r>
        <w:rPr>
          <w:rFonts w:ascii="Times New Roman" w:eastAsia="方正仿宋_GBK" w:hAnsi="Times New Roman" w:hint="eastAsia"/>
          <w:sz w:val="32"/>
          <w:szCs w:val="32"/>
        </w:rPr>
        <w:t>年执行数减少0.01万元，下降0.04</w:t>
      </w:r>
      <w:r>
        <w:rPr>
          <w:rFonts w:ascii="Times New Roman" w:eastAsia="方正仿宋_GBK" w:cs="Times New Roman" w:hAnsi="Times New Roman"/>
          <w:sz w:val="32"/>
          <w:szCs w:val="32"/>
        </w:rPr>
        <w:t>%</w:t>
      </w:r>
      <w:r>
        <w:rPr>
          <w:rFonts w:ascii="Times New Roman" w:eastAsia="方正仿宋_GBK" w:hAnsi="Times New Roman" w:hint="eastAsia"/>
          <w:sz w:val="32"/>
          <w:szCs w:val="32"/>
        </w:rPr>
        <w:t>。其中：</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sz w:val="32"/>
          <w:szCs w:val="32"/>
        </w:rPr>
        <w:t>（</w:t>
      </w:r>
      <w:r>
        <w:rPr>
          <w:rFonts w:ascii="Times New Roman" w:eastAsia="方正仿宋_GBK" w:cs="Times New Roman" w:hAnsi="Times New Roman"/>
          <w:sz w:val="32"/>
          <w:szCs w:val="32"/>
        </w:rPr>
        <w:t>1</w:t>
      </w:r>
      <w:r>
        <w:rPr>
          <w:rFonts w:ascii="Times New Roman" w:eastAsia="方正仿宋_GBK" w:hAnsi="Times New Roman" w:hint="eastAsia"/>
          <w:sz w:val="32"/>
          <w:szCs w:val="32"/>
        </w:rPr>
        <w:t>）行政单位医疗（项）</w:t>
      </w:r>
      <w:r>
        <w:rPr>
          <w:rFonts w:ascii="Times New Roman" w:eastAsia="方正仿宋_GBK" w:cs="Times New Roman" w:hAnsi="Times New Roman"/>
          <w:sz w:val="32"/>
          <w:szCs w:val="32"/>
        </w:rPr>
        <w:t>2024</w:t>
      </w:r>
      <w:r>
        <w:rPr>
          <w:rFonts w:ascii="Times New Roman" w:eastAsia="方正仿宋_GBK" w:hAnsi="Times New Roman" w:hint="eastAsia"/>
          <w:sz w:val="32"/>
          <w:szCs w:val="32"/>
        </w:rPr>
        <w:t>年预算</w:t>
      </w:r>
      <w:r>
        <w:rPr>
          <w:rFonts w:ascii="Times New Roman" w:eastAsia="方正仿宋_GBK" w:cs="Times New Roman" w:hAnsi="Times New Roman" w:hint="eastAsia"/>
          <w:sz w:val="32"/>
          <w:szCs w:val="32"/>
        </w:rPr>
        <w:t>17.76</w:t>
      </w:r>
      <w:r>
        <w:rPr>
          <w:rFonts w:ascii="Times New Roman" w:eastAsia="方正仿宋_GBK" w:hAnsi="Times New Roman" w:hint="eastAsia"/>
          <w:sz w:val="32"/>
          <w:szCs w:val="32"/>
        </w:rPr>
        <w:t>万元，比</w:t>
      </w:r>
      <w:r>
        <w:rPr>
          <w:rFonts w:ascii="Times New Roman" w:eastAsia="方正仿宋_GBK" w:cs="Times New Roman" w:hAnsi="Times New Roman"/>
          <w:sz w:val="32"/>
          <w:szCs w:val="32"/>
        </w:rPr>
        <w:t>2023</w:t>
      </w:r>
      <w:r>
        <w:rPr>
          <w:rFonts w:ascii="Times New Roman" w:eastAsia="方正仿宋_GBK" w:hAnsi="Times New Roman" w:hint="eastAsia"/>
          <w:sz w:val="32"/>
          <w:szCs w:val="32"/>
        </w:rPr>
        <w:t>年执行数增加</w:t>
      </w:r>
      <w:r>
        <w:rPr>
          <w:rFonts w:ascii="Times New Roman" w:eastAsia="方正仿宋_GBK" w:cs="Times New Roman" w:hAnsi="Times New Roman" w:hint="eastAsia"/>
          <w:sz w:val="32"/>
          <w:szCs w:val="32"/>
        </w:rPr>
        <w:t>0.30</w:t>
      </w:r>
      <w:r>
        <w:rPr>
          <w:rFonts w:ascii="Times New Roman" w:eastAsia="方正仿宋_GBK" w:hAnsi="Times New Roman" w:hint="eastAsia"/>
          <w:sz w:val="32"/>
          <w:szCs w:val="32"/>
        </w:rPr>
        <w:t>万元，增长</w:t>
      </w:r>
      <w:r>
        <w:rPr>
          <w:rFonts w:ascii="Times New Roman" w:eastAsia="方正仿宋_GBK" w:cs="Times New Roman" w:hAnsi="Times New Roman" w:hint="eastAsia"/>
          <w:sz w:val="32"/>
          <w:szCs w:val="32"/>
        </w:rPr>
        <w:t>1.72</w:t>
      </w:r>
      <w:r>
        <w:rPr>
          <w:rFonts w:ascii="Times New Roman" w:eastAsia="方正仿宋_GBK" w:cs="Times New Roman" w:hAnsi="Times New Roman"/>
          <w:sz w:val="32"/>
          <w:szCs w:val="32"/>
        </w:rPr>
        <w:t>%</w:t>
      </w:r>
      <w:r>
        <w:rPr>
          <w:rFonts w:ascii="Times New Roman" w:eastAsia="方正仿宋_GBK" w:hAnsi="Times New Roman" w:hint="eastAsia"/>
          <w:sz w:val="32"/>
          <w:szCs w:val="32"/>
        </w:rPr>
        <w:t>。主要是行政单位医疗经费增加。</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sz w:val="32"/>
          <w:szCs w:val="32"/>
        </w:rPr>
        <w:t>（</w:t>
      </w:r>
      <w:r>
        <w:rPr>
          <w:rFonts w:ascii="Times New Roman" w:eastAsia="方正仿宋_GBK" w:cs="Times New Roman" w:hAnsi="Times New Roman"/>
          <w:sz w:val="32"/>
          <w:szCs w:val="32"/>
        </w:rPr>
        <w:t>2</w:t>
      </w:r>
      <w:r>
        <w:rPr>
          <w:rFonts w:ascii="Times New Roman" w:eastAsia="方正仿宋_GBK" w:hAnsi="Times New Roman" w:hint="eastAsia"/>
          <w:sz w:val="32"/>
          <w:szCs w:val="32"/>
        </w:rPr>
        <w:t>）公务员医疗补助（项）</w:t>
      </w:r>
      <w:r>
        <w:rPr>
          <w:rFonts w:ascii="Times New Roman" w:eastAsia="方正仿宋_GBK" w:cs="Times New Roman" w:hAnsi="Times New Roman"/>
          <w:sz w:val="32"/>
          <w:szCs w:val="32"/>
        </w:rPr>
        <w:t>2024</w:t>
      </w:r>
      <w:r>
        <w:rPr>
          <w:rFonts w:ascii="Times New Roman" w:eastAsia="方正仿宋_GBK" w:hAnsi="Times New Roman" w:hint="eastAsia"/>
          <w:sz w:val="32"/>
          <w:szCs w:val="32"/>
        </w:rPr>
        <w:t>年预算</w:t>
      </w:r>
      <w:r>
        <w:rPr>
          <w:rFonts w:ascii="Times New Roman" w:eastAsia="方正仿宋_GBK" w:cs="Times New Roman" w:hAnsi="Times New Roman" w:hint="eastAsia"/>
          <w:sz w:val="32"/>
          <w:szCs w:val="32"/>
        </w:rPr>
        <w:t>5.74</w:t>
      </w:r>
      <w:r>
        <w:rPr>
          <w:rFonts w:ascii="Times New Roman" w:eastAsia="方正仿宋_GBK" w:hAnsi="Times New Roman" w:hint="eastAsia"/>
          <w:sz w:val="32"/>
          <w:szCs w:val="32"/>
        </w:rPr>
        <w:t>万元，比</w:t>
      </w:r>
      <w:r>
        <w:rPr>
          <w:rFonts w:ascii="Times New Roman" w:eastAsia="方正仿宋_GBK" w:cs="Times New Roman" w:hAnsi="Times New Roman"/>
          <w:sz w:val="32"/>
          <w:szCs w:val="32"/>
        </w:rPr>
        <w:t>2023</w:t>
      </w:r>
      <w:r>
        <w:rPr>
          <w:rFonts w:ascii="Times New Roman" w:eastAsia="方正仿宋_GBK" w:hAnsi="Times New Roman" w:hint="eastAsia"/>
          <w:sz w:val="32"/>
          <w:szCs w:val="32"/>
        </w:rPr>
        <w:t>年执行数减少</w:t>
      </w:r>
      <w:r>
        <w:rPr>
          <w:rFonts w:ascii="Times New Roman" w:eastAsia="方正仿宋_GBK" w:cs="Times New Roman" w:hAnsi="Times New Roman" w:hint="eastAsia"/>
          <w:sz w:val="32"/>
          <w:szCs w:val="32"/>
        </w:rPr>
        <w:t>0.26</w:t>
      </w:r>
      <w:r>
        <w:rPr>
          <w:rFonts w:ascii="Times New Roman" w:eastAsia="方正仿宋_GBK" w:hAnsi="Times New Roman" w:hint="eastAsia"/>
          <w:sz w:val="32"/>
          <w:szCs w:val="32"/>
        </w:rPr>
        <w:t>万元，下降</w:t>
      </w:r>
      <w:r>
        <w:rPr>
          <w:rFonts w:ascii="Times New Roman" w:eastAsia="方正仿宋_GBK" w:cs="Times New Roman" w:hAnsi="Times New Roman" w:hint="eastAsia"/>
          <w:sz w:val="32"/>
          <w:szCs w:val="32"/>
        </w:rPr>
        <w:t>4.33</w:t>
      </w:r>
      <w:r>
        <w:rPr>
          <w:rFonts w:ascii="Times New Roman" w:eastAsia="方正仿宋_GBK" w:cs="Times New Roman" w:hAnsi="Times New Roman"/>
          <w:sz w:val="32"/>
          <w:szCs w:val="32"/>
        </w:rPr>
        <w:t>%</w:t>
      </w:r>
      <w:r>
        <w:rPr>
          <w:rFonts w:ascii="Times New Roman" w:eastAsia="方正仿宋_GBK" w:hAnsi="Times New Roman" w:hint="eastAsia"/>
          <w:sz w:val="32"/>
          <w:szCs w:val="32"/>
        </w:rPr>
        <w:t>。主要是公务员医疗补助经费减少。</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sz w:val="32"/>
          <w:szCs w:val="32"/>
        </w:rPr>
        <w:t>（</w:t>
      </w:r>
      <w:r>
        <w:rPr>
          <w:rFonts w:ascii="Times New Roman" w:eastAsia="方正仿宋_GBK" w:cs="Times New Roman" w:hAnsi="Times New Roman"/>
          <w:sz w:val="32"/>
          <w:szCs w:val="32"/>
          <w:lang w:bidi="ar-SA"/>
        </w:rPr>
        <w:t>3</w:t>
      </w:r>
      <w:r>
        <w:rPr>
          <w:rFonts w:ascii="Times New Roman" w:eastAsia="方正仿宋_GBK" w:hAnsi="Times New Roman" w:hint="eastAsia"/>
          <w:sz w:val="32"/>
          <w:szCs w:val="32"/>
        </w:rPr>
        <w:t>）其他行政事业单位医疗支出（项）</w:t>
      </w:r>
      <w:r>
        <w:rPr>
          <w:rFonts w:ascii="Times New Roman" w:eastAsia="方正仿宋_GBK" w:cs="Times New Roman" w:hAnsi="Times New Roman"/>
          <w:sz w:val="32"/>
          <w:szCs w:val="32"/>
        </w:rPr>
        <w:t>2024</w:t>
      </w:r>
      <w:r>
        <w:rPr>
          <w:rFonts w:ascii="Times New Roman" w:eastAsia="方正仿宋_GBK" w:hAnsi="Times New Roman" w:hint="eastAsia"/>
          <w:sz w:val="32"/>
          <w:szCs w:val="32"/>
        </w:rPr>
        <w:t>年预算</w:t>
      </w:r>
      <w:r>
        <w:rPr>
          <w:rFonts w:ascii="Times New Roman" w:eastAsia="方正仿宋_GBK" w:cs="Times New Roman" w:hAnsi="Times New Roman" w:hint="eastAsia"/>
          <w:sz w:val="32"/>
          <w:szCs w:val="32"/>
        </w:rPr>
        <w:t>0.55</w:t>
      </w:r>
      <w:r>
        <w:rPr>
          <w:rFonts w:ascii="Times New Roman" w:eastAsia="方正仿宋_GBK" w:hAnsi="Times New Roman" w:hint="eastAsia"/>
          <w:sz w:val="32"/>
          <w:szCs w:val="32"/>
        </w:rPr>
        <w:t>万元，比</w:t>
      </w:r>
      <w:r>
        <w:rPr>
          <w:rFonts w:ascii="Times New Roman" w:eastAsia="方正仿宋_GBK" w:cs="Times New Roman" w:hAnsi="Times New Roman"/>
          <w:sz w:val="32"/>
          <w:szCs w:val="32"/>
        </w:rPr>
        <w:t>2023</w:t>
      </w:r>
      <w:r>
        <w:rPr>
          <w:rFonts w:ascii="Times New Roman" w:eastAsia="方正仿宋_GBK" w:hAnsi="Times New Roman" w:hint="eastAsia"/>
          <w:sz w:val="32"/>
          <w:szCs w:val="32"/>
        </w:rPr>
        <w:t>年执行数减少0.05万元，下降8.33</w:t>
      </w:r>
      <w:r>
        <w:rPr>
          <w:rFonts w:ascii="Times New Roman" w:eastAsia="方正仿宋_GBK" w:cs="Times New Roman" w:hAnsi="Times New Roman"/>
          <w:sz w:val="32"/>
          <w:szCs w:val="32"/>
        </w:rPr>
        <w:t>%</w:t>
      </w:r>
      <w:r>
        <w:rPr>
          <w:rFonts w:ascii="Times New Roman" w:eastAsia="方正仿宋_GBK" w:hAnsi="Times New Roman" w:hint="eastAsia"/>
          <w:sz w:val="32"/>
          <w:szCs w:val="32"/>
        </w:rPr>
        <w:t>，主要是工伤保险经费减少。</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hint="eastAsia"/>
          <w:sz w:val="32"/>
          <w:szCs w:val="32"/>
        </w:rPr>
        <w:t>4</w:t>
      </w:r>
      <w:r>
        <w:rPr>
          <w:rFonts w:ascii="Times New Roman" w:eastAsia="方正仿宋_GBK" w:hAnsi="Times New Roman" w:hint="eastAsia"/>
          <w:sz w:val="32"/>
          <w:szCs w:val="32"/>
        </w:rPr>
        <w:t>．住房保障支出（类）住房改革支出（款）</w:t>
      </w:r>
      <w:r>
        <w:rPr>
          <w:rFonts w:ascii="Times New Roman" w:eastAsia="方正仿宋_GBK" w:cs="Times New Roman" w:hAnsi="Times New Roman"/>
          <w:sz w:val="32"/>
          <w:szCs w:val="32"/>
        </w:rPr>
        <w:t>2024</w:t>
      </w:r>
      <w:r>
        <w:rPr>
          <w:rFonts w:ascii="Times New Roman" w:eastAsia="方正仿宋_GBK" w:hAnsi="Times New Roman" w:hint="eastAsia"/>
          <w:sz w:val="32"/>
          <w:szCs w:val="32"/>
        </w:rPr>
        <w:t>年预算</w:t>
      </w:r>
      <w:r>
        <w:rPr>
          <w:rFonts w:ascii="Times New Roman" w:eastAsia="方正仿宋_GBK" w:cs="Times New Roman" w:hAnsi="Times New Roman" w:hint="eastAsia"/>
          <w:sz w:val="32"/>
          <w:szCs w:val="32"/>
        </w:rPr>
        <w:t>68.31</w:t>
      </w:r>
      <w:r>
        <w:rPr>
          <w:rFonts w:ascii="Times New Roman" w:eastAsia="方正仿宋_GBK" w:hAnsi="Times New Roman" w:hint="eastAsia"/>
          <w:sz w:val="32"/>
          <w:szCs w:val="32"/>
        </w:rPr>
        <w:t>万元，比</w:t>
      </w:r>
      <w:r>
        <w:rPr>
          <w:rFonts w:ascii="Times New Roman" w:eastAsia="方正仿宋_GBK" w:cs="Times New Roman" w:hAnsi="Times New Roman"/>
          <w:sz w:val="32"/>
          <w:szCs w:val="32"/>
        </w:rPr>
        <w:t>2023</w:t>
      </w:r>
      <w:r>
        <w:rPr>
          <w:rFonts w:ascii="Times New Roman" w:eastAsia="方正仿宋_GBK" w:hAnsi="Times New Roman" w:hint="eastAsia"/>
          <w:sz w:val="32"/>
          <w:szCs w:val="32"/>
        </w:rPr>
        <w:t>年执行数增加7.95万元，增长13.17</w:t>
      </w:r>
      <w:r>
        <w:rPr>
          <w:rFonts w:ascii="Times New Roman" w:eastAsia="方正仿宋_GBK" w:cs="Times New Roman" w:hAnsi="Times New Roman"/>
          <w:sz w:val="32"/>
          <w:szCs w:val="32"/>
        </w:rPr>
        <w:t>%</w:t>
      </w:r>
      <w:r>
        <w:rPr>
          <w:rFonts w:ascii="Times New Roman" w:eastAsia="方正仿宋_GBK" w:hAnsi="Times New Roman" w:hint="eastAsia"/>
          <w:sz w:val="32"/>
          <w:szCs w:val="32"/>
        </w:rPr>
        <w:t>。主要是人员级别变动相应增加经费支出。其中：</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sz w:val="32"/>
          <w:szCs w:val="32"/>
        </w:rPr>
        <w:t>（</w:t>
      </w:r>
      <w:r>
        <w:rPr>
          <w:rFonts w:ascii="Times New Roman" w:eastAsia="方正仿宋_GBK" w:cs="Times New Roman" w:hAnsi="Times New Roman"/>
          <w:sz w:val="32"/>
          <w:szCs w:val="32"/>
        </w:rPr>
        <w:t>1</w:t>
      </w:r>
      <w:r>
        <w:rPr>
          <w:rFonts w:ascii="Times New Roman" w:eastAsia="方正仿宋_GBK" w:hAnsi="Times New Roman" w:hint="eastAsia"/>
          <w:sz w:val="32"/>
          <w:szCs w:val="32"/>
        </w:rPr>
        <w:t>）住房公积金（项）</w:t>
      </w:r>
      <w:r>
        <w:rPr>
          <w:rFonts w:ascii="Times New Roman" w:eastAsia="方正仿宋_GBK" w:cs="Times New Roman" w:hAnsi="Times New Roman"/>
          <w:sz w:val="32"/>
          <w:szCs w:val="32"/>
        </w:rPr>
        <w:t>2024</w:t>
      </w:r>
      <w:r>
        <w:rPr>
          <w:rFonts w:ascii="Times New Roman" w:eastAsia="方正仿宋_GBK" w:hAnsi="Times New Roman" w:hint="eastAsia"/>
          <w:sz w:val="32"/>
          <w:szCs w:val="32"/>
        </w:rPr>
        <w:t>年预算</w:t>
      </w:r>
      <w:r>
        <w:rPr>
          <w:rFonts w:ascii="Times New Roman" w:eastAsia="方正仿宋_GBK" w:cs="Times New Roman" w:hAnsi="Times New Roman" w:hint="eastAsia"/>
          <w:sz w:val="32"/>
          <w:szCs w:val="32"/>
        </w:rPr>
        <w:t>54.87</w:t>
      </w:r>
      <w:r>
        <w:rPr>
          <w:rFonts w:ascii="Times New Roman" w:eastAsia="方正仿宋_GBK" w:hAnsi="Times New Roman" w:hint="eastAsia"/>
          <w:sz w:val="32"/>
          <w:szCs w:val="32"/>
        </w:rPr>
        <w:t>万元，比</w:t>
      </w:r>
      <w:r>
        <w:rPr>
          <w:rFonts w:ascii="Times New Roman" w:eastAsia="方正仿宋_GBK" w:cs="Times New Roman" w:hAnsi="Times New Roman"/>
          <w:sz w:val="32"/>
          <w:szCs w:val="32"/>
        </w:rPr>
        <w:t>2023</w:t>
      </w:r>
      <w:r>
        <w:rPr>
          <w:rFonts w:ascii="Times New Roman" w:eastAsia="方正仿宋_GBK" w:hAnsi="Times New Roman" w:hint="eastAsia"/>
          <w:sz w:val="32"/>
          <w:szCs w:val="32"/>
        </w:rPr>
        <w:t>年执行数增加7.95万元，增长16.94</w:t>
      </w:r>
      <w:r>
        <w:rPr>
          <w:rFonts w:ascii="Times New Roman" w:eastAsia="方正仿宋_GBK" w:cs="Times New Roman" w:hAnsi="Times New Roman"/>
          <w:sz w:val="32"/>
          <w:szCs w:val="32"/>
        </w:rPr>
        <w:t>%</w:t>
      </w:r>
      <w:r>
        <w:rPr>
          <w:rFonts w:ascii="Times New Roman" w:eastAsia="方正仿宋_GBK" w:hAnsi="Times New Roman" w:hint="eastAsia"/>
          <w:sz w:val="32"/>
          <w:szCs w:val="32"/>
        </w:rPr>
        <w:t>。</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sz w:val="32"/>
          <w:szCs w:val="32"/>
        </w:rPr>
        <w:t>（</w:t>
      </w:r>
      <w:r>
        <w:rPr>
          <w:rFonts w:ascii="Times New Roman" w:eastAsia="方正仿宋_GBK" w:cs="Times New Roman" w:hAnsi="Times New Roman"/>
          <w:sz w:val="32"/>
          <w:szCs w:val="32"/>
        </w:rPr>
        <w:t>2</w:t>
      </w:r>
      <w:r>
        <w:rPr>
          <w:rFonts w:ascii="Times New Roman" w:eastAsia="方正仿宋_GBK" w:hAnsi="Times New Roman" w:hint="eastAsia"/>
          <w:sz w:val="32"/>
          <w:szCs w:val="32"/>
        </w:rPr>
        <w:t>）购房补贴（项）</w:t>
      </w:r>
      <w:r>
        <w:rPr>
          <w:rFonts w:ascii="Times New Roman" w:eastAsia="方正仿宋_GBK" w:cs="Times New Roman" w:hAnsi="Times New Roman"/>
          <w:sz w:val="32"/>
          <w:szCs w:val="32"/>
        </w:rPr>
        <w:t>2024</w:t>
      </w:r>
      <w:r>
        <w:rPr>
          <w:rFonts w:ascii="Times New Roman" w:eastAsia="方正仿宋_GBK" w:hAnsi="Times New Roman" w:hint="eastAsia"/>
          <w:sz w:val="32"/>
          <w:szCs w:val="32"/>
        </w:rPr>
        <w:t>年预算</w:t>
      </w:r>
      <w:r>
        <w:rPr>
          <w:rFonts w:ascii="Times New Roman" w:eastAsia="方正仿宋_GBK" w:cs="Times New Roman" w:hAnsi="Times New Roman" w:hint="eastAsia"/>
          <w:sz w:val="32"/>
          <w:szCs w:val="32"/>
        </w:rPr>
        <w:t>13.44</w:t>
      </w:r>
      <w:r>
        <w:rPr>
          <w:rFonts w:ascii="Times New Roman" w:eastAsia="方正仿宋_GBK" w:hAnsi="Times New Roman" w:hint="eastAsia"/>
          <w:sz w:val="32"/>
          <w:szCs w:val="32"/>
        </w:rPr>
        <w:t>万元，同</w:t>
      </w:r>
      <w:r>
        <w:rPr>
          <w:rFonts w:ascii="Times New Roman" w:eastAsia="方正仿宋_GBK" w:cs="Times New Roman" w:hAnsi="Times New Roman"/>
          <w:sz w:val="32"/>
          <w:szCs w:val="32"/>
        </w:rPr>
        <w:t>2023</w:t>
      </w:r>
      <w:r>
        <w:rPr>
          <w:rFonts w:ascii="Times New Roman" w:eastAsia="方正仿宋_GBK" w:hAnsi="Times New Roman" w:hint="eastAsia"/>
          <w:sz w:val="32"/>
          <w:szCs w:val="32"/>
        </w:rPr>
        <w:t>年执行数持平。</w:t>
      </w:r>
    </w:p>
    <w:p>
      <w:pPr>
        <w:pStyle w:val="17"/>
        <w:autoSpaceDN w:val="0"/>
        <w:spacing w:line="560" w:lineRule="exact"/>
        <w:ind w:firstLineChars="200" w:firstLine="640"/>
        <w:rPr>
          <w:rFonts w:eastAsia="方正黑体_GBK"/>
          <w:sz w:val="32"/>
          <w:szCs w:val="32"/>
        </w:rPr>
      </w:pPr>
      <w:r>
        <w:rPr>
          <w:rFonts w:eastAsia="方正黑体_GBK" w:hint="eastAsia"/>
          <w:sz w:val="32"/>
          <w:szCs w:val="32"/>
        </w:rPr>
        <w:t>六、关于</w:t>
      </w:r>
      <w:r>
        <w:rPr>
          <w:rFonts w:eastAsia="方正黑体_GBK"/>
          <w:sz w:val="32"/>
          <w:szCs w:val="32"/>
        </w:rPr>
        <w:t>2024</w:t>
      </w:r>
      <w:r>
        <w:rPr>
          <w:rFonts w:eastAsia="方正黑体_GBK" w:hint="eastAsia"/>
          <w:sz w:val="32"/>
          <w:szCs w:val="32"/>
        </w:rPr>
        <w:t>年一般公共预算基本支出情况说明</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sz w:val="32"/>
          <w:szCs w:val="32"/>
        </w:rPr>
        <w:t>鄂尔多斯海关</w:t>
      </w:r>
      <w:r>
        <w:rPr>
          <w:rFonts w:ascii="Times New Roman" w:eastAsia="方正仿宋_GBK" w:cs="Times New Roman" w:hAnsi="Times New Roman"/>
          <w:sz w:val="32"/>
          <w:szCs w:val="32"/>
        </w:rPr>
        <w:t>2024</w:t>
      </w:r>
      <w:r>
        <w:rPr>
          <w:rFonts w:ascii="Times New Roman" w:eastAsia="方正仿宋_GBK" w:hAnsi="Times New Roman" w:hint="eastAsia"/>
          <w:sz w:val="32"/>
          <w:szCs w:val="32"/>
        </w:rPr>
        <w:t>年一般公共预算基本支出</w:t>
      </w:r>
      <w:r>
        <w:rPr>
          <w:rFonts w:ascii="Times New Roman" w:eastAsia="方正仿宋_GBK" w:cs="Times New Roman" w:hAnsi="Times New Roman" w:hint="eastAsia"/>
          <w:sz w:val="32"/>
          <w:szCs w:val="32"/>
        </w:rPr>
        <w:t>717.29</w:t>
      </w:r>
      <w:r>
        <w:rPr>
          <w:rFonts w:ascii="Times New Roman" w:eastAsia="方正仿宋_GBK" w:hAnsi="Times New Roman" w:hint="eastAsia"/>
          <w:sz w:val="32"/>
          <w:szCs w:val="32"/>
        </w:rPr>
        <w:t>万元，其中：</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sz w:val="32"/>
          <w:szCs w:val="32"/>
        </w:rPr>
        <w:t>人员经费</w:t>
      </w:r>
      <w:r>
        <w:rPr>
          <w:rFonts w:ascii="Times New Roman" w:eastAsia="方正仿宋_GBK" w:cs="Times New Roman" w:hAnsi="Times New Roman" w:hint="eastAsia"/>
          <w:sz w:val="32"/>
          <w:szCs w:val="32"/>
        </w:rPr>
        <w:t>499.35</w:t>
      </w:r>
      <w:r>
        <w:rPr>
          <w:rFonts w:ascii="Times New Roman" w:eastAsia="方正仿宋_GBK" w:hAnsi="Times New Roman" w:hint="eastAsia"/>
          <w:sz w:val="32"/>
          <w:szCs w:val="32"/>
        </w:rPr>
        <w:t>万元，主要包括：基本工资、津贴补贴、奖金、机关事业单位基本养老保险缴费、职业年金缴费、职工基本医疗保险缴费、公务员医疗补助缴费、其他社会保障缴费、住房公积金、其他工资福利支出、退休费。</w:t>
      </w:r>
    </w:p>
    <w:p>
      <w:pPr>
        <w:autoSpaceDE w:val="0"/>
        <w:autoSpaceDN w:val="0"/>
        <w:adjustRightInd w:val="0"/>
        <w:spacing w:line="560" w:lineRule="atLeast"/>
        <w:ind w:firstLine="640"/>
        <w:rPr>
          <w:rFonts w:ascii="Times New Roman" w:eastAsia="方正仿宋_GBK" w:cs="Times New Roman" w:hAnsi="Times New Roman"/>
          <w:sz w:val="32"/>
          <w:szCs w:val="32"/>
        </w:rPr>
      </w:pPr>
      <w:r>
        <w:rPr>
          <w:rFonts w:ascii="Times New Roman" w:eastAsia="方正仿宋_GBK" w:hAnsi="Times New Roman" w:hint="eastAsia"/>
          <w:sz w:val="32"/>
          <w:szCs w:val="32"/>
        </w:rPr>
        <w:t>日常公用经费</w:t>
      </w:r>
      <w:r>
        <w:rPr>
          <w:rFonts w:ascii="Times New Roman" w:eastAsia="方正仿宋_GBK" w:cs="Times New Roman" w:hAnsi="Times New Roman" w:hint="eastAsia"/>
          <w:sz w:val="32"/>
          <w:szCs w:val="32"/>
        </w:rPr>
        <w:t>217.94</w:t>
      </w:r>
      <w:r>
        <w:rPr>
          <w:rFonts w:ascii="Times New Roman" w:eastAsia="方正仿宋_GBK" w:hAnsi="Times New Roman" w:hint="eastAsia"/>
          <w:sz w:val="32"/>
          <w:szCs w:val="32"/>
        </w:rPr>
        <w:t>万元，主要包括：办公费、印刷费、水费、电费、邮电费、取暖费、物业管理费、专用材料费、委托业务费、工会经费、福利费、公务用车运行维护费、其他交通费用、其他商品和服务支出。</w:t>
      </w:r>
    </w:p>
    <w:p>
      <w:pPr>
        <w:pStyle w:val="17"/>
        <w:autoSpaceDN w:val="0"/>
        <w:spacing w:line="560" w:lineRule="exact"/>
        <w:ind w:firstLineChars="200" w:firstLine="640"/>
        <w:rPr>
          <w:rFonts w:eastAsia="方正黑体_GBK"/>
          <w:sz w:val="32"/>
          <w:szCs w:val="32"/>
        </w:rPr>
      </w:pPr>
      <w:r>
        <w:rPr>
          <w:rFonts w:eastAsia="方正黑体_GBK" w:hint="eastAsia"/>
          <w:sz w:val="32"/>
          <w:szCs w:val="32"/>
        </w:rPr>
        <w:t>七、关于</w:t>
      </w:r>
      <w:r>
        <w:rPr>
          <w:rFonts w:eastAsia="方正黑体_GBK"/>
          <w:sz w:val="32"/>
          <w:szCs w:val="32"/>
        </w:rPr>
        <w:t>2024</w:t>
      </w:r>
      <w:r>
        <w:rPr>
          <w:rFonts w:eastAsia="方正黑体_GBK" w:hint="eastAsia"/>
          <w:sz w:val="32"/>
          <w:szCs w:val="32"/>
        </w:rPr>
        <w:t>年“三公”经费预算情况说明</w:t>
      </w:r>
    </w:p>
    <w:p>
      <w:pPr>
        <w:autoSpaceDN w:val="0"/>
        <w:spacing w:line="560" w:lineRule="exact"/>
        <w:ind w:firstLineChars="200" w:firstLine="640"/>
        <w:rPr>
          <w:rFonts w:ascii="Times New Roman" w:cs="Times New Roman" w:hAnsi="Times New Roman"/>
          <w:sz w:val="32"/>
          <w:szCs w:val="32"/>
        </w:rPr>
      </w:pPr>
      <w:r>
        <w:rPr>
          <w:rFonts w:ascii="Times New Roman" w:eastAsia="方正仿宋_GBK" w:hAnsi="Times New Roman" w:hint="eastAsia"/>
          <w:sz w:val="32"/>
          <w:szCs w:val="32"/>
        </w:rPr>
        <w:t>鄂尔多斯海关</w:t>
      </w:r>
      <w:r>
        <w:rPr>
          <w:rFonts w:ascii="Times New Roman" w:eastAsia="方正仿宋_GBK" w:cs="Times New Roman" w:hAnsi="Times New Roman"/>
          <w:sz w:val="32"/>
          <w:szCs w:val="32"/>
        </w:rPr>
        <w:t>2024</w:t>
      </w:r>
      <w:r>
        <w:rPr>
          <w:rFonts w:ascii="Times New Roman" w:eastAsia="方正仿宋_GBK" w:hAnsi="Times New Roman" w:hint="eastAsia"/>
          <w:sz w:val="32"/>
          <w:szCs w:val="32"/>
        </w:rPr>
        <w:t>年“三公”经费预算数为</w:t>
      </w:r>
      <w:r>
        <w:rPr>
          <w:rFonts w:ascii="Times New Roman" w:eastAsia="方正仿宋_GBK" w:cs="Times New Roman" w:hAnsi="Times New Roman" w:hint="eastAsia"/>
          <w:sz w:val="32"/>
          <w:szCs w:val="32"/>
        </w:rPr>
        <w:t>49.24</w:t>
      </w:r>
      <w:r>
        <w:rPr>
          <w:rFonts w:ascii="Times New Roman" w:eastAsia="方正仿宋_GBK" w:hAnsi="Times New Roman" w:hint="eastAsia"/>
          <w:sz w:val="32"/>
          <w:szCs w:val="32"/>
        </w:rPr>
        <w:t>万元，比</w:t>
      </w:r>
      <w:r>
        <w:rPr>
          <w:rFonts w:ascii="Times New Roman" w:eastAsia="方正仿宋_GBK" w:cs="Times New Roman" w:hAnsi="Times New Roman"/>
          <w:sz w:val="32"/>
          <w:szCs w:val="32"/>
        </w:rPr>
        <w:t>2023</w:t>
      </w:r>
      <w:r>
        <w:rPr>
          <w:rFonts w:ascii="Times New Roman" w:eastAsia="方正仿宋_GBK" w:hAnsi="Times New Roman" w:hint="eastAsia"/>
          <w:sz w:val="32"/>
          <w:szCs w:val="32"/>
        </w:rPr>
        <w:t>年预算数增加</w:t>
      </w:r>
      <w:r>
        <w:rPr>
          <w:rFonts w:ascii="Times New Roman" w:eastAsia="方正仿宋_GBK" w:cs="Times New Roman" w:hAnsi="Times New Roman" w:hint="eastAsia"/>
          <w:sz w:val="32"/>
          <w:szCs w:val="32"/>
        </w:rPr>
        <w:t>16.24</w:t>
      </w:r>
      <w:r>
        <w:rPr>
          <w:rFonts w:ascii="Times New Roman" w:eastAsia="方正仿宋_GBK" w:hAnsi="Times New Roman" w:hint="eastAsia"/>
          <w:sz w:val="32"/>
          <w:szCs w:val="32"/>
        </w:rPr>
        <w:t>万元。其中：公务用车购置费</w:t>
      </w:r>
      <w:r>
        <w:rPr>
          <w:rFonts w:ascii="Times New Roman" w:eastAsia="方正仿宋_GBK" w:cs="Times New Roman" w:hAnsi="Times New Roman" w:hint="eastAsia"/>
          <w:sz w:val="32"/>
          <w:szCs w:val="32"/>
        </w:rPr>
        <w:t>25.00</w:t>
      </w:r>
      <w:r>
        <w:rPr>
          <w:rFonts w:ascii="Times New Roman" w:eastAsia="方正仿宋_GBK" w:hAnsi="Times New Roman" w:hint="eastAsia"/>
          <w:sz w:val="32"/>
          <w:szCs w:val="32"/>
        </w:rPr>
        <w:t>元，比</w:t>
      </w:r>
      <w:r>
        <w:rPr>
          <w:rFonts w:ascii="Times New Roman" w:eastAsia="方正仿宋_GBK" w:cs="Times New Roman" w:hAnsi="Times New Roman"/>
          <w:sz w:val="32"/>
          <w:szCs w:val="32"/>
        </w:rPr>
        <w:t>2023</w:t>
      </w:r>
      <w:r>
        <w:rPr>
          <w:rFonts w:ascii="Times New Roman" w:eastAsia="方正仿宋_GBK" w:hAnsi="Times New Roman" w:hint="eastAsia"/>
          <w:sz w:val="32"/>
          <w:szCs w:val="32"/>
        </w:rPr>
        <w:t>年预算数增加</w:t>
      </w:r>
      <w:r>
        <w:rPr>
          <w:rFonts w:ascii="Times New Roman" w:eastAsia="方正仿宋_GBK" w:cs="Times New Roman" w:hAnsi="Times New Roman" w:hint="eastAsia"/>
          <w:sz w:val="32"/>
          <w:szCs w:val="32"/>
        </w:rPr>
        <w:t>25.00</w:t>
      </w:r>
      <w:r>
        <w:rPr>
          <w:rFonts w:ascii="Times New Roman" w:eastAsia="方正仿宋_GBK" w:hAnsi="Times New Roman" w:hint="eastAsia"/>
          <w:sz w:val="32"/>
          <w:szCs w:val="32"/>
        </w:rPr>
        <w:t>万元；公务用车运行费</w:t>
      </w:r>
      <w:r>
        <w:rPr>
          <w:rFonts w:ascii="Times New Roman" w:eastAsia="方正仿宋_GBK" w:cs="Times New Roman" w:hAnsi="Times New Roman" w:hint="eastAsia"/>
          <w:sz w:val="32"/>
          <w:szCs w:val="32"/>
        </w:rPr>
        <w:t>24.24</w:t>
      </w:r>
      <w:r>
        <w:rPr>
          <w:rFonts w:ascii="Times New Roman" w:eastAsia="方正仿宋_GBK" w:hAnsi="Times New Roman" w:hint="eastAsia"/>
          <w:sz w:val="32"/>
          <w:szCs w:val="32"/>
        </w:rPr>
        <w:t>万元，比</w:t>
      </w:r>
      <w:r>
        <w:rPr>
          <w:rFonts w:ascii="Times New Roman" w:eastAsia="方正仿宋_GBK" w:cs="Times New Roman" w:hAnsi="Times New Roman"/>
          <w:sz w:val="32"/>
          <w:szCs w:val="32"/>
        </w:rPr>
        <w:t>2023</w:t>
      </w:r>
      <w:r>
        <w:rPr>
          <w:rFonts w:ascii="Times New Roman" w:eastAsia="方正仿宋_GBK" w:hAnsi="Times New Roman" w:hint="eastAsia"/>
          <w:sz w:val="32"/>
          <w:szCs w:val="32"/>
        </w:rPr>
        <w:t>年预算数减少</w:t>
      </w:r>
      <w:r>
        <w:rPr>
          <w:rFonts w:ascii="Times New Roman" w:eastAsia="方正仿宋_GBK" w:cs="Times New Roman" w:hAnsi="Times New Roman" w:hint="eastAsia"/>
          <w:sz w:val="32"/>
          <w:szCs w:val="32"/>
        </w:rPr>
        <w:t>8.76</w:t>
      </w:r>
      <w:r>
        <w:rPr>
          <w:rFonts w:ascii="Times New Roman" w:eastAsia="方正仿宋_GBK" w:hAnsi="Times New Roman" w:hint="eastAsia"/>
          <w:sz w:val="32"/>
          <w:szCs w:val="32"/>
        </w:rPr>
        <w:t>万元；公务接待费</w:t>
      </w:r>
      <w:r>
        <w:rPr>
          <w:rFonts w:ascii="Times New Roman" w:eastAsia="方正仿宋_GBK" w:cs="Times New Roman" w:hAnsi="Times New Roman" w:hint="eastAsia"/>
          <w:sz w:val="32"/>
          <w:szCs w:val="32"/>
        </w:rPr>
        <w:t>0.00</w:t>
      </w:r>
      <w:r>
        <w:rPr>
          <w:rFonts w:ascii="Times New Roman" w:eastAsia="方正仿宋_GBK" w:hAnsi="Times New Roman" w:hint="eastAsia"/>
          <w:sz w:val="32"/>
          <w:szCs w:val="32"/>
        </w:rPr>
        <w:t>万元，与</w:t>
      </w:r>
      <w:r>
        <w:rPr>
          <w:rFonts w:ascii="Times New Roman" w:eastAsia="方正仿宋_GBK" w:cs="Times New Roman" w:hAnsi="Times New Roman"/>
          <w:sz w:val="32"/>
          <w:szCs w:val="32"/>
        </w:rPr>
        <w:t>2023</w:t>
      </w:r>
      <w:r>
        <w:rPr>
          <w:rFonts w:ascii="Times New Roman" w:eastAsia="方正仿宋_GBK" w:hAnsi="Times New Roman" w:hint="eastAsia"/>
          <w:sz w:val="32"/>
          <w:szCs w:val="32"/>
        </w:rPr>
        <w:t>年预算数持平；因公出国（境）费0.00万元，与</w:t>
      </w:r>
      <w:r>
        <w:rPr>
          <w:rFonts w:ascii="Times New Roman" w:eastAsia="方正仿宋_GBK" w:cs="Times New Roman" w:hAnsi="Times New Roman"/>
          <w:sz w:val="32"/>
          <w:szCs w:val="32"/>
        </w:rPr>
        <w:t>2023</w:t>
      </w:r>
      <w:r>
        <w:rPr>
          <w:rFonts w:ascii="Times New Roman" w:eastAsia="方正仿宋_GBK" w:hAnsi="Times New Roman" w:hint="eastAsia"/>
          <w:sz w:val="32"/>
          <w:szCs w:val="32"/>
        </w:rPr>
        <w:t>年预算数持平。主要是海关系统公务用车老化严重，</w:t>
      </w:r>
      <w:r>
        <w:rPr>
          <w:rFonts w:ascii="Times New Roman" w:eastAsia="方正仿宋_GBK" w:cs="Times New Roman" w:hAnsi="Times New Roman"/>
          <w:sz w:val="32"/>
          <w:szCs w:val="32"/>
        </w:rPr>
        <w:t>2024</w:t>
      </w:r>
      <w:r>
        <w:rPr>
          <w:rFonts w:ascii="Times New Roman" w:eastAsia="方正仿宋_GBK" w:hAnsi="Times New Roman" w:hint="eastAsia"/>
          <w:sz w:val="32"/>
          <w:szCs w:val="32"/>
        </w:rPr>
        <w:t>年根据实际需求增加公务用车购置，相应减少公务用车运行费支出。</w:t>
      </w:r>
    </w:p>
    <w:p>
      <w:pPr>
        <w:pStyle w:val="17"/>
        <w:autoSpaceDN w:val="0"/>
        <w:spacing w:line="560" w:lineRule="exact"/>
        <w:ind w:firstLineChars="200" w:firstLine="640"/>
        <w:rPr>
          <w:rFonts w:eastAsia="方正黑体_GBK"/>
          <w:sz w:val="32"/>
          <w:szCs w:val="32"/>
        </w:rPr>
      </w:pPr>
      <w:r>
        <w:rPr>
          <w:rFonts w:eastAsia="方正黑体_GBK" w:hint="eastAsia"/>
          <w:sz w:val="32"/>
          <w:szCs w:val="32"/>
        </w:rPr>
        <w:t>八、关于</w:t>
      </w:r>
      <w:r>
        <w:rPr>
          <w:rFonts w:eastAsia="方正黑体_GBK"/>
          <w:sz w:val="32"/>
          <w:szCs w:val="32"/>
        </w:rPr>
        <w:t>2024</w:t>
      </w:r>
      <w:r>
        <w:rPr>
          <w:rFonts w:eastAsia="方正黑体_GBK" w:hint="eastAsia"/>
          <w:sz w:val="32"/>
          <w:szCs w:val="32"/>
        </w:rPr>
        <w:t>年政府性基金预算收支情况说明</w:t>
      </w:r>
    </w:p>
    <w:p>
      <w:pPr>
        <w:autoSpaceDN w:val="0"/>
        <w:spacing w:line="560" w:lineRule="exact"/>
        <w:ind w:firstLineChars="200" w:firstLine="640"/>
        <w:rPr>
          <w:rFonts w:ascii="Times New Roman" w:cs="Times New Roman" w:hAnsi="Times New Roman"/>
          <w:sz w:val="32"/>
          <w:szCs w:val="32"/>
        </w:rPr>
      </w:pPr>
      <w:r>
        <w:rPr>
          <w:rFonts w:ascii="Times New Roman" w:eastAsia="方正仿宋_GBK" w:hAnsi="Times New Roman" w:hint="eastAsia"/>
          <w:sz w:val="32"/>
          <w:szCs w:val="32"/>
        </w:rPr>
        <w:t>鄂尔多斯海关</w:t>
      </w:r>
      <w:r>
        <w:rPr>
          <w:rFonts w:ascii="Times New Roman" w:eastAsia="方正仿宋_GBK" w:cs="Times New Roman" w:hAnsi="Times New Roman"/>
          <w:sz w:val="32"/>
          <w:szCs w:val="32"/>
        </w:rPr>
        <w:t>2024</w:t>
      </w:r>
      <w:r>
        <w:rPr>
          <w:rFonts w:ascii="Times New Roman" w:eastAsia="方正仿宋_GBK" w:hAnsi="Times New Roman" w:hint="eastAsia"/>
          <w:sz w:val="32"/>
          <w:szCs w:val="32"/>
        </w:rPr>
        <w:t>年无政府性基金预算收支。</w:t>
      </w:r>
    </w:p>
    <w:p>
      <w:pPr>
        <w:pStyle w:val="17"/>
        <w:autoSpaceDN w:val="0"/>
        <w:spacing w:line="560" w:lineRule="exact"/>
        <w:ind w:firstLineChars="200" w:firstLine="640"/>
        <w:rPr>
          <w:rFonts w:eastAsia="方正黑体_GBK"/>
          <w:sz w:val="32"/>
          <w:szCs w:val="32"/>
        </w:rPr>
      </w:pPr>
      <w:r>
        <w:rPr>
          <w:rFonts w:eastAsia="方正黑体_GBK" w:hint="eastAsia"/>
          <w:sz w:val="32"/>
          <w:szCs w:val="32"/>
        </w:rPr>
        <w:t>九、关于</w:t>
      </w:r>
      <w:r>
        <w:rPr>
          <w:rFonts w:eastAsia="方正黑体_GBK"/>
          <w:sz w:val="32"/>
          <w:szCs w:val="32"/>
        </w:rPr>
        <w:t>2024</w:t>
      </w:r>
      <w:r>
        <w:rPr>
          <w:rFonts w:eastAsia="方正黑体_GBK" w:hint="eastAsia"/>
          <w:sz w:val="32"/>
          <w:szCs w:val="32"/>
        </w:rPr>
        <w:t>年国有资本经营预算收支情况说明</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sz w:val="32"/>
          <w:szCs w:val="32"/>
        </w:rPr>
        <w:t>鄂尔多斯海关</w:t>
      </w:r>
      <w:r>
        <w:rPr>
          <w:rFonts w:ascii="Times New Roman" w:eastAsia="方正仿宋_GBK" w:cs="Times New Roman" w:hAnsi="Times New Roman"/>
          <w:sz w:val="32"/>
          <w:szCs w:val="32"/>
        </w:rPr>
        <w:t>2024</w:t>
      </w:r>
      <w:r>
        <w:rPr>
          <w:rFonts w:ascii="Times New Roman" w:eastAsia="方正仿宋_GBK" w:hAnsi="Times New Roman" w:hint="eastAsia"/>
          <w:sz w:val="32"/>
          <w:szCs w:val="32"/>
        </w:rPr>
        <w:t>年无国有资本经营预算收支。</w:t>
      </w:r>
    </w:p>
    <w:p>
      <w:pPr>
        <w:pStyle w:val="17"/>
        <w:autoSpaceDN w:val="0"/>
        <w:spacing w:line="560" w:lineRule="exact"/>
        <w:ind w:firstLineChars="200" w:firstLine="640"/>
        <w:rPr>
          <w:rFonts w:eastAsia="方正黑体_GBK"/>
          <w:sz w:val="32"/>
          <w:szCs w:val="32"/>
        </w:rPr>
      </w:pPr>
      <w:r>
        <w:rPr>
          <w:rFonts w:eastAsia="方正黑体_GBK" w:hint="eastAsia"/>
          <w:sz w:val="32"/>
          <w:szCs w:val="32"/>
        </w:rPr>
        <w:t>十、其他重要事项情况说明</w:t>
      </w:r>
    </w:p>
    <w:p>
      <w:pPr>
        <w:autoSpaceDN w:val="0"/>
        <w:spacing w:line="560" w:lineRule="exact"/>
        <w:ind w:firstLineChars="200" w:firstLine="640"/>
        <w:jc w:val="left"/>
        <w:rPr>
          <w:rFonts w:ascii="Times New Roman" w:eastAsia="方正楷体_GBK" w:cs="Times New Roman" w:hAnsi="Times New Roman"/>
          <w:b/>
          <w:bCs/>
          <w:sz w:val="32"/>
          <w:szCs w:val="32"/>
        </w:rPr>
      </w:pPr>
      <w:r>
        <w:rPr>
          <w:rFonts w:ascii="Times New Roman" w:eastAsia="方正楷体_GBK" w:hAnsi="Times New Roman" w:hint="eastAsia"/>
          <w:b/>
          <w:bCs/>
          <w:sz w:val="32"/>
          <w:szCs w:val="32"/>
        </w:rPr>
        <w:t>（一）机关运行经费。</w:t>
      </w:r>
    </w:p>
    <w:p>
      <w:pPr>
        <w:autoSpaceDE w:val="0"/>
        <w:autoSpaceDN w:val="0"/>
        <w:adjustRightInd w:val="0"/>
        <w:spacing w:line="560" w:lineRule="atLeast"/>
        <w:ind w:firstLine="640"/>
        <w:rPr>
          <w:rFonts w:ascii="Times New Roman" w:eastAsia="方正仿宋_GBK" w:cs="Times New Roman" w:hAnsi="Times New Roman"/>
          <w:color w:val="000000"/>
          <w:sz w:val="32"/>
          <w:szCs w:val="32"/>
        </w:rPr>
      </w:pPr>
      <w:r>
        <w:rPr>
          <w:rFonts w:ascii="Times New Roman" w:eastAsia="方正仿宋_GBK" w:cs="Times New Roman" w:hAnsi="Times New Roman"/>
          <w:sz w:val="32"/>
          <w:szCs w:val="32"/>
        </w:rPr>
        <w:t>2024</w:t>
      </w:r>
      <w:r>
        <w:rPr>
          <w:rFonts w:ascii="Times New Roman" w:eastAsia="方正仿宋_GBK" w:hAnsi="Times New Roman" w:hint="eastAsia"/>
          <w:sz w:val="32"/>
          <w:szCs w:val="32"/>
        </w:rPr>
        <w:t>年鄂尔多斯海关运行经费财政拨款预</w:t>
      </w:r>
      <w:r>
        <w:rPr>
          <w:rFonts w:ascii="Times New Roman" w:eastAsia="方正仿宋_GBK" w:hAnsi="Times New Roman" w:hint="eastAsia"/>
          <w:color w:val="000000"/>
          <w:sz w:val="32"/>
          <w:szCs w:val="32"/>
        </w:rPr>
        <w:t>算</w:t>
      </w:r>
      <w:r>
        <w:rPr>
          <w:rFonts w:ascii="Times New Roman" w:eastAsia="方正仿宋_GBK" w:cs="Times New Roman" w:hAnsi="Times New Roman" w:hint="eastAsia"/>
          <w:color w:val="000000"/>
          <w:sz w:val="32"/>
          <w:szCs w:val="32"/>
        </w:rPr>
        <w:t>217.94</w:t>
      </w:r>
      <w:r>
        <w:rPr>
          <w:rFonts w:ascii="Times New Roman" w:eastAsia="方正仿宋_GBK" w:hAnsi="Times New Roman" w:hint="eastAsia"/>
          <w:sz w:val="32"/>
          <w:szCs w:val="32"/>
        </w:rPr>
        <w:t>万元，较</w:t>
      </w:r>
      <w:r>
        <w:rPr>
          <w:rFonts w:ascii="Times New Roman" w:eastAsia="方正仿宋_GBK" w:cs="Times New Roman" w:hAnsi="Times New Roman"/>
          <w:sz w:val="32"/>
          <w:szCs w:val="32"/>
        </w:rPr>
        <w:t>2023</w:t>
      </w:r>
      <w:r>
        <w:rPr>
          <w:rFonts w:ascii="Times New Roman" w:eastAsia="方正仿宋_GBK" w:hAnsi="Times New Roman" w:hint="eastAsia"/>
          <w:sz w:val="32"/>
          <w:szCs w:val="32"/>
        </w:rPr>
        <w:t>年预</w:t>
      </w:r>
      <w:r>
        <w:rPr>
          <w:rFonts w:ascii="Times New Roman" w:eastAsia="方正仿宋_GBK" w:hAnsi="Times New Roman" w:hint="eastAsia"/>
          <w:color w:val="000000"/>
          <w:sz w:val="32"/>
          <w:szCs w:val="32"/>
        </w:rPr>
        <w:t>算增加</w:t>
      </w:r>
      <w:r>
        <w:rPr>
          <w:rFonts w:ascii="Times New Roman" w:eastAsia="方正仿宋_GBK" w:cs="Times New Roman" w:hAnsi="Times New Roman" w:hint="eastAsia"/>
          <w:color w:val="000000"/>
          <w:sz w:val="32"/>
          <w:szCs w:val="32"/>
        </w:rPr>
        <w:t>1.86</w:t>
      </w:r>
      <w:r>
        <w:rPr>
          <w:rFonts w:ascii="Times New Roman" w:eastAsia="方正仿宋_GBK" w:hAnsi="Times New Roman" w:hint="eastAsia"/>
          <w:color w:val="000000"/>
          <w:sz w:val="32"/>
          <w:szCs w:val="32"/>
        </w:rPr>
        <w:t>万元，增加</w:t>
      </w:r>
      <w:r>
        <w:rPr>
          <w:rFonts w:ascii="Times New Roman" w:eastAsia="方正仿宋_GBK" w:cs="Times New Roman" w:hAnsi="Times New Roman" w:hint="eastAsia"/>
          <w:color w:val="000000"/>
          <w:sz w:val="32"/>
          <w:szCs w:val="32"/>
        </w:rPr>
        <w:t>0.86</w:t>
      </w:r>
      <w:r>
        <w:rPr>
          <w:rFonts w:ascii="Times New Roman" w:eastAsia="方正仿宋_GBK" w:cs="Times New Roman" w:hAnsi="Times New Roman"/>
          <w:color w:val="000000"/>
          <w:sz w:val="32"/>
          <w:szCs w:val="32"/>
        </w:rPr>
        <w:t>%</w:t>
      </w:r>
      <w:r>
        <w:rPr>
          <w:rFonts w:ascii="Times New Roman" w:eastAsia="方正仿宋_GBK" w:hAnsi="Times New Roman" w:hint="eastAsia"/>
          <w:color w:val="000000"/>
          <w:sz w:val="32"/>
          <w:szCs w:val="32"/>
        </w:rPr>
        <w:t>。</w:t>
      </w:r>
      <w:r>
        <w:rPr>
          <w:rFonts w:ascii="Times New Roman" w:eastAsia="方正仿宋_GBK" w:hAnsi="Times New Roman" w:hint="eastAsia"/>
          <w:sz w:val="32"/>
          <w:szCs w:val="32"/>
        </w:rPr>
        <w:t>主要是</w:t>
      </w:r>
      <w:r>
        <w:rPr>
          <w:rFonts w:ascii="Times New Roman" w:eastAsia="方正仿宋_GBK" w:cs="宋体" w:hAnsi="Times New Roman" w:hint="eastAsia"/>
          <w:sz w:val="32"/>
          <w:szCs w:val="32"/>
          <w:lang w:val="zh-CN"/>
        </w:rPr>
        <w:t>本年新增行政运行定项，</w:t>
      </w:r>
      <w:r>
        <w:rPr>
          <w:rFonts w:ascii="Times New Roman" w:eastAsia="方正仿宋_GBK" w:hAnsi="Times New Roman" w:hint="eastAsia"/>
          <w:sz w:val="32"/>
          <w:szCs w:val="32"/>
        </w:rPr>
        <w:t>增加相关经费。</w:t>
      </w:r>
    </w:p>
    <w:p>
      <w:pPr>
        <w:autoSpaceDN w:val="0"/>
        <w:spacing w:line="560" w:lineRule="exact"/>
        <w:ind w:firstLineChars="200" w:firstLine="640"/>
        <w:jc w:val="left"/>
        <w:rPr>
          <w:rFonts w:ascii="Times New Roman" w:eastAsia="方正楷体_GBK" w:cs="Times New Roman" w:hAnsi="Times New Roman"/>
          <w:b/>
          <w:bCs/>
          <w:sz w:val="32"/>
          <w:szCs w:val="32"/>
        </w:rPr>
      </w:pPr>
      <w:r>
        <w:rPr>
          <w:rFonts w:ascii="Times New Roman" w:eastAsia="方正楷体_GBK" w:hAnsi="Times New Roman" w:hint="eastAsia"/>
          <w:b/>
          <w:bCs/>
          <w:sz w:val="32"/>
          <w:szCs w:val="32"/>
        </w:rPr>
        <w:t>（二）政府采购情况。</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2024</w:t>
      </w:r>
      <w:r>
        <w:rPr>
          <w:rFonts w:ascii="Times New Roman" w:eastAsia="方正仿宋_GBK" w:hAnsi="Times New Roman" w:hint="eastAsia"/>
          <w:sz w:val="32"/>
          <w:szCs w:val="32"/>
        </w:rPr>
        <w:t>年鄂尔多斯海关政府采购预算总额</w:t>
      </w:r>
      <w:r>
        <w:rPr>
          <w:rFonts w:ascii="Times New Roman" w:eastAsia="方正仿宋_GBK" w:cs="Times New Roman" w:hAnsi="Times New Roman" w:hint="eastAsia"/>
          <w:sz w:val="32"/>
          <w:szCs w:val="32"/>
        </w:rPr>
        <w:t>25.00</w:t>
      </w:r>
      <w:r>
        <w:rPr>
          <w:rFonts w:ascii="Times New Roman" w:eastAsia="方正仿宋_GBK" w:hAnsi="Times New Roman" w:hint="eastAsia"/>
          <w:sz w:val="32"/>
          <w:szCs w:val="32"/>
        </w:rPr>
        <w:t>万元，其中：政府采购货物预算</w:t>
      </w:r>
      <w:r>
        <w:rPr>
          <w:rFonts w:ascii="Times New Roman" w:eastAsia="方正仿宋_GBK" w:cs="Times New Roman" w:hAnsi="Times New Roman"/>
          <w:sz w:val="32"/>
          <w:szCs w:val="32"/>
        </w:rPr>
        <w:t>25</w:t>
      </w:r>
      <w:r>
        <w:rPr>
          <w:rFonts w:ascii="Times New Roman" w:eastAsia="方正仿宋_GBK" w:cs="Times New Roman" w:hAnsi="Times New Roman" w:hint="eastAsia"/>
          <w:sz w:val="32"/>
          <w:szCs w:val="32"/>
        </w:rPr>
        <w:t>.00</w:t>
      </w:r>
      <w:r>
        <w:rPr>
          <w:rFonts w:ascii="Times New Roman" w:eastAsia="方正仿宋_GBK" w:hAnsi="Times New Roman" w:hint="eastAsia"/>
          <w:sz w:val="32"/>
          <w:szCs w:val="32"/>
        </w:rPr>
        <w:t>万元。</w:t>
      </w:r>
    </w:p>
    <w:p>
      <w:pPr>
        <w:autoSpaceDN w:val="0"/>
        <w:spacing w:line="560" w:lineRule="exact"/>
        <w:ind w:firstLineChars="200" w:firstLine="640"/>
        <w:jc w:val="left"/>
        <w:rPr>
          <w:rFonts w:ascii="Times New Roman" w:eastAsia="方正楷体_GBK" w:cs="Times New Roman" w:hAnsi="Times New Roman"/>
          <w:b/>
          <w:bCs/>
          <w:sz w:val="32"/>
          <w:szCs w:val="32"/>
        </w:rPr>
      </w:pPr>
      <w:r>
        <w:rPr>
          <w:rFonts w:ascii="Times New Roman" w:eastAsia="方正楷体_GBK" w:hAnsi="Times New Roman" w:hint="eastAsia"/>
          <w:b/>
          <w:bCs/>
          <w:sz w:val="32"/>
          <w:szCs w:val="32"/>
        </w:rPr>
        <w:t>（三）国有资产占有使用情况。</w:t>
      </w:r>
    </w:p>
    <w:p>
      <w:pPr>
        <w:autoSpaceDN w:val="0"/>
        <w:spacing w:line="560" w:lineRule="exact"/>
        <w:ind w:firstLineChars="200" w:firstLine="640"/>
        <w:rPr>
          <w:rFonts w:ascii="Times New Roman" w:eastAsia="方正仿宋_GBK" w:cs="Times New Roman" w:hAnsi="Times New Roman"/>
          <w:color w:val="000000"/>
          <w:sz w:val="32"/>
          <w:szCs w:val="32"/>
        </w:rPr>
      </w:pPr>
      <w:r>
        <w:rPr>
          <w:rFonts w:ascii="Times New Roman" w:eastAsia="方正仿宋_GBK" w:hAnsi="Times New Roman" w:hint="eastAsia"/>
          <w:color w:val="000000"/>
          <w:sz w:val="32"/>
          <w:szCs w:val="32"/>
        </w:rPr>
        <w:t>截至</w:t>
      </w:r>
      <w:r>
        <w:rPr>
          <w:rFonts w:ascii="Times New Roman" w:eastAsia="方正仿宋_GBK" w:cs="Times New Roman" w:hAnsi="Times New Roman"/>
          <w:color w:val="000000"/>
          <w:sz w:val="32"/>
          <w:szCs w:val="32"/>
        </w:rPr>
        <w:t>2023</w:t>
      </w:r>
      <w:r>
        <w:rPr>
          <w:rFonts w:ascii="Times New Roman" w:eastAsia="方正仿宋_GBK" w:hAnsi="Times New Roman" w:hint="eastAsia"/>
          <w:color w:val="000000"/>
          <w:sz w:val="32"/>
          <w:szCs w:val="32"/>
        </w:rPr>
        <w:t>年</w:t>
      </w:r>
      <w:r>
        <w:rPr>
          <w:rFonts w:ascii="Times New Roman" w:eastAsia="方正仿宋_GBK" w:cs="Times New Roman" w:hAnsi="Times New Roman"/>
          <w:color w:val="000000"/>
          <w:sz w:val="32"/>
          <w:szCs w:val="32"/>
        </w:rPr>
        <w:t>8</w:t>
      </w:r>
      <w:r>
        <w:rPr>
          <w:rFonts w:ascii="Times New Roman" w:eastAsia="方正仿宋_GBK" w:hAnsi="Times New Roman" w:hint="eastAsia"/>
          <w:color w:val="000000"/>
          <w:sz w:val="32"/>
          <w:szCs w:val="32"/>
        </w:rPr>
        <w:t>月</w:t>
      </w:r>
      <w:r>
        <w:rPr>
          <w:rFonts w:ascii="Times New Roman" w:eastAsia="方正仿宋_GBK" w:cs="Times New Roman" w:hAnsi="Times New Roman"/>
          <w:color w:val="000000"/>
          <w:sz w:val="32"/>
          <w:szCs w:val="32"/>
        </w:rPr>
        <w:t>31</w:t>
      </w:r>
      <w:r>
        <w:rPr>
          <w:rFonts w:ascii="Times New Roman" w:eastAsia="方正仿宋_GBK" w:hAnsi="Times New Roman" w:hint="eastAsia"/>
          <w:color w:val="000000"/>
          <w:sz w:val="32"/>
          <w:szCs w:val="32"/>
        </w:rPr>
        <w:t>日，鄂尔多斯海关共有车辆</w:t>
      </w:r>
      <w:r>
        <w:rPr>
          <w:rFonts w:ascii="Times New Roman" w:eastAsia="方正仿宋_GBK" w:cs="Times New Roman" w:hAnsi="Times New Roman" w:hint="eastAsia"/>
          <w:color w:val="000000"/>
          <w:sz w:val="32"/>
          <w:szCs w:val="32"/>
        </w:rPr>
        <w:t>6</w:t>
      </w:r>
      <w:r>
        <w:rPr>
          <w:rFonts w:ascii="Times New Roman" w:eastAsia="方正仿宋_GBK" w:hAnsi="Times New Roman" w:hint="eastAsia"/>
          <w:color w:val="000000"/>
          <w:sz w:val="32"/>
          <w:szCs w:val="32"/>
        </w:rPr>
        <w:t>辆，其中，机要通信用车</w:t>
      </w:r>
      <w:r>
        <w:rPr>
          <w:rFonts w:ascii="Times New Roman" w:eastAsia="方正仿宋_GBK" w:cs="Times New Roman" w:hAnsi="Times New Roman"/>
          <w:color w:val="000000"/>
          <w:sz w:val="32"/>
          <w:szCs w:val="32"/>
        </w:rPr>
        <w:t>2</w:t>
      </w:r>
      <w:r>
        <w:rPr>
          <w:rFonts w:ascii="Times New Roman" w:eastAsia="方正仿宋_GBK" w:hAnsi="Times New Roman" w:hint="eastAsia"/>
          <w:color w:val="000000"/>
          <w:sz w:val="32"/>
          <w:szCs w:val="32"/>
        </w:rPr>
        <w:t>辆、执法执勤用车</w:t>
      </w:r>
      <w:r>
        <w:rPr>
          <w:rFonts w:ascii="Times New Roman" w:eastAsia="方正仿宋_GBK" w:cs="Times New Roman" w:hAnsi="Times New Roman"/>
          <w:color w:val="000000"/>
          <w:sz w:val="32"/>
          <w:szCs w:val="32"/>
        </w:rPr>
        <w:t>4</w:t>
      </w:r>
      <w:r>
        <w:rPr>
          <w:rFonts w:ascii="Times New Roman" w:eastAsia="方正仿宋_GBK" w:hAnsi="Times New Roman" w:hint="eastAsia"/>
          <w:color w:val="000000"/>
          <w:sz w:val="32"/>
          <w:szCs w:val="32"/>
        </w:rPr>
        <w:t>辆。单位价值</w:t>
      </w:r>
      <w:r>
        <w:rPr>
          <w:rFonts w:ascii="Times New Roman" w:eastAsia="方正仿宋_GBK" w:cs="Times New Roman" w:hAnsi="Times New Roman"/>
          <w:color w:val="000000"/>
          <w:sz w:val="32"/>
          <w:szCs w:val="32"/>
        </w:rPr>
        <w:t>100</w:t>
      </w:r>
      <w:r>
        <w:rPr>
          <w:rFonts w:ascii="Times New Roman" w:eastAsia="方正仿宋_GBK" w:hAnsi="Times New Roman" w:hint="eastAsia"/>
          <w:color w:val="000000"/>
          <w:sz w:val="32"/>
          <w:szCs w:val="32"/>
        </w:rPr>
        <w:t>万元以上的设备</w:t>
      </w:r>
      <w:r>
        <w:rPr>
          <w:rFonts w:ascii="Times New Roman" w:eastAsia="方正仿宋_GBK" w:cs="Times New Roman" w:hAnsi="Times New Roman" w:hint="eastAsia"/>
          <w:color w:val="000000"/>
          <w:sz w:val="32"/>
          <w:szCs w:val="32"/>
        </w:rPr>
        <w:t>0</w:t>
      </w:r>
      <w:r>
        <w:rPr>
          <w:rFonts w:ascii="Times New Roman" w:eastAsia="方正仿宋_GBK" w:hAnsi="Times New Roman" w:hint="eastAsia"/>
          <w:color w:val="000000"/>
          <w:sz w:val="32"/>
          <w:szCs w:val="32"/>
        </w:rPr>
        <w:t>台（套）。</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2024</w:t>
      </w:r>
      <w:r>
        <w:rPr>
          <w:rFonts w:ascii="Times New Roman" w:eastAsia="方正仿宋_GBK" w:hAnsi="Times New Roman" w:hint="eastAsia"/>
          <w:sz w:val="32"/>
          <w:szCs w:val="32"/>
        </w:rPr>
        <w:t>年部门预算安排购置车辆</w:t>
      </w:r>
      <w:r>
        <w:rPr>
          <w:rFonts w:ascii="Times New Roman" w:eastAsia="方正仿宋_GBK" w:cs="Times New Roman" w:hAnsi="Times New Roman"/>
          <w:sz w:val="32"/>
          <w:szCs w:val="32"/>
        </w:rPr>
        <w:t>1</w:t>
      </w:r>
      <w:r>
        <w:rPr>
          <w:rFonts w:ascii="Times New Roman" w:eastAsia="方正仿宋_GBK" w:hAnsi="Times New Roman" w:hint="eastAsia"/>
          <w:sz w:val="32"/>
          <w:szCs w:val="32"/>
        </w:rPr>
        <w:t>辆，为执法执勤用车。</w:t>
      </w:r>
    </w:p>
    <w:p>
      <w:pPr>
        <w:autoSpaceDN w:val="0"/>
        <w:spacing w:line="560" w:lineRule="exact"/>
        <w:ind w:firstLineChars="200" w:firstLine="640"/>
        <w:jc w:val="left"/>
        <w:rPr>
          <w:rFonts w:ascii="Times New Roman" w:eastAsia="方正楷体_GBK" w:cs="Times New Roman" w:hAnsi="Times New Roman"/>
          <w:b/>
          <w:bCs/>
          <w:sz w:val="32"/>
          <w:szCs w:val="32"/>
        </w:rPr>
      </w:pPr>
      <w:r>
        <w:rPr>
          <w:rFonts w:ascii="Times New Roman" w:eastAsia="方正楷体_GBK" w:hAnsi="Times New Roman" w:hint="eastAsia"/>
          <w:b/>
          <w:bCs/>
          <w:sz w:val="32"/>
          <w:szCs w:val="32"/>
        </w:rPr>
        <w:t>（四）预算绩效情况说明。</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2024</w:t>
      </w:r>
      <w:r>
        <w:rPr>
          <w:rFonts w:ascii="Times New Roman" w:eastAsia="方正仿宋_GBK" w:hAnsi="Times New Roman" w:hint="eastAsia"/>
          <w:sz w:val="32"/>
          <w:szCs w:val="32"/>
        </w:rPr>
        <w:t>年对鄂尔多斯海关一般公共预算拨款项目全面实施绩效目标管理，涉及一般公共预算当年拨款</w:t>
      </w:r>
      <w:r>
        <w:rPr>
          <w:rFonts w:ascii="Times New Roman" w:eastAsia="方正仿宋_GBK" w:cs="Times New Roman" w:hAnsi="Times New Roman" w:hint="eastAsia"/>
          <w:sz w:val="32"/>
          <w:szCs w:val="32"/>
        </w:rPr>
        <w:t>262.58</w:t>
      </w:r>
      <w:r>
        <w:rPr>
          <w:rFonts w:ascii="Times New Roman" w:eastAsia="方正仿宋_GBK" w:hAnsi="Times New Roman" w:hint="eastAsia"/>
          <w:sz w:val="32"/>
          <w:szCs w:val="32"/>
        </w:rPr>
        <w:t>万元，一级项目</w:t>
      </w:r>
      <w:r>
        <w:rPr>
          <w:rFonts w:ascii="Times New Roman" w:eastAsia="方正仿宋_GBK" w:cs="Times New Roman" w:hAnsi="Times New Roman" w:hint="eastAsia"/>
          <w:sz w:val="32"/>
          <w:szCs w:val="32"/>
        </w:rPr>
        <w:t>5</w:t>
      </w:r>
      <w:r>
        <w:rPr>
          <w:rFonts w:ascii="Times New Roman" w:eastAsia="方正仿宋_GBK" w:hAnsi="Times New Roman" w:hint="eastAsia"/>
          <w:sz w:val="32"/>
          <w:szCs w:val="32"/>
        </w:rPr>
        <w:t>个，二级项目</w:t>
      </w:r>
      <w:r>
        <w:rPr>
          <w:rFonts w:ascii="Times New Roman" w:eastAsia="方正仿宋_GBK" w:cs="Times New Roman" w:hAnsi="Times New Roman" w:hint="eastAsia"/>
          <w:sz w:val="32"/>
          <w:szCs w:val="32"/>
        </w:rPr>
        <w:t>9</w:t>
      </w:r>
      <w:r>
        <w:rPr>
          <w:rFonts w:ascii="Times New Roman" w:eastAsia="方正仿宋_GBK" w:hAnsi="Times New Roman" w:hint="eastAsia"/>
          <w:sz w:val="32"/>
          <w:szCs w:val="32"/>
        </w:rPr>
        <w:t>个。根据以前年度绩效评价结果，优化</w:t>
      </w:r>
      <w:r>
        <w:rPr>
          <w:rFonts w:eastAsia="方正仿宋_GBK" w:hint="eastAsia"/>
          <w:sz w:val="32"/>
          <w:szCs w:val="32"/>
        </w:rPr>
        <w:t>口岸公共卫生安全专项、进出口商品质量安全检验监管专项</w:t>
      </w:r>
      <w:r>
        <w:rPr>
          <w:rFonts w:ascii="Times New Roman" w:eastAsia="方正仿宋_GBK" w:hAnsi="Times New Roman" w:hint="eastAsia"/>
          <w:sz w:val="32"/>
          <w:szCs w:val="32"/>
        </w:rPr>
        <w:t>等项目支出</w:t>
      </w:r>
      <w:r>
        <w:rPr>
          <w:rFonts w:ascii="Times New Roman" w:eastAsia="方正仿宋_GBK" w:cs="Times New Roman" w:hAnsi="Times New Roman"/>
          <w:sz w:val="32"/>
          <w:szCs w:val="32"/>
        </w:rPr>
        <w:t>2024</w:t>
      </w:r>
      <w:r>
        <w:rPr>
          <w:rFonts w:ascii="Times New Roman" w:eastAsia="方正仿宋_GBK" w:hAnsi="Times New Roman" w:hint="eastAsia"/>
          <w:sz w:val="32"/>
          <w:szCs w:val="32"/>
        </w:rPr>
        <w:t>年预算安排，并进一步改进管理、完善政策。</w:t>
      </w:r>
    </w:p>
    <w:p>
      <w:pPr>
        <w:autoSpaceDN w:val="0"/>
        <w:spacing w:line="560" w:lineRule="exact"/>
        <w:ind w:firstLineChars="200" w:firstLine="640"/>
        <w:rPr>
          <w:rFonts w:eastAsia="方正仿宋_GBK"/>
          <w:sz w:val="32"/>
          <w:szCs w:val="32"/>
        </w:rPr>
      </w:pPr>
      <w:r>
        <w:rPr>
          <w:rFonts w:ascii="Times New Roman" w:eastAsia="方正仿宋_GBK" w:hAnsi="Times New Roman" w:hint="eastAsia"/>
          <w:sz w:val="32"/>
          <w:szCs w:val="32"/>
        </w:rPr>
        <w:t>鄂尔多斯</w:t>
      </w:r>
      <w:r>
        <w:rPr>
          <w:rFonts w:eastAsia="方正仿宋_GBK" w:hint="eastAsia"/>
          <w:sz w:val="32"/>
          <w:szCs w:val="32"/>
        </w:rPr>
        <w:t>海关在</w:t>
      </w:r>
      <w:r>
        <w:rPr>
          <w:rFonts w:eastAsia="方正仿宋_GBK"/>
          <w:sz w:val="32"/>
          <w:szCs w:val="32"/>
        </w:rPr>
        <w:t>2024</w:t>
      </w:r>
      <w:r>
        <w:rPr>
          <w:rFonts w:eastAsia="方正仿宋_GBK" w:hint="eastAsia"/>
          <w:sz w:val="32"/>
          <w:szCs w:val="32"/>
        </w:rPr>
        <w:t>年度部门预算中反映口岸公共卫生安全专项等9个二级项目绩效目标表，</w:t>
      </w:r>
      <w:r>
        <w:rPr>
          <w:rFonts w:ascii="Times New Roman" w:eastAsia="方正仿宋_GBK" w:cs="Times New Roman" w:hAnsi="Times New Roman" w:hint="eastAsia"/>
          <w:sz w:val="32"/>
          <w:szCs w:val="32"/>
          <w:lang w:bidi="ar-SA"/>
        </w:rPr>
        <w:t>详见第五部分附件。</w:t>
      </w:r>
    </w:p>
    <w:p>
      <w:pPr>
        <w:autoSpaceDN w:val="0"/>
        <w:spacing w:line="560" w:lineRule="exact"/>
        <w:ind w:firstLineChars="200" w:firstLine="640"/>
        <w:rPr>
          <w:rFonts w:ascii="Times New Roman" w:eastAsia="方正仿宋_GBK" w:cs="Times New Roman" w:hAnsi="Times New Roman"/>
          <w:sz w:val="32"/>
          <w:szCs w:val="32"/>
        </w:rPr>
      </w:pPr>
    </w:p>
    <w:p>
      <w:pPr>
        <w:widowControl/>
        <w:jc w:val="left"/>
        <w:rPr>
          <w:rFonts w:ascii="宋体" w:cs="宋体"/>
          <w:kern w:val="0"/>
          <w:sz w:val="24"/>
          <w:szCs w:val="24"/>
        </w:rPr>
        <w:sectPr>
          <w:pgSz w:w="11906" w:h="16838"/>
          <w:pgMar w:top="1440" w:right="1800" w:bottom="1440" w:left="1800" w:header="851" w:footer="992" w:gutter="0"/>
          <w:docGrid w:type="lines" w:linePitch="312" w:charSpace="0"/>
        </w:sectPr>
      </w:pPr>
    </w:p>
    <w:p>
      <w:pPr>
        <w:autoSpaceDN w:val="0"/>
        <w:jc w:val="center"/>
        <w:rPr>
          <w:rFonts w:ascii="Times New Roman" w:eastAsia="方正仿宋_GBK" w:cs="Times New Roman" w:hAnsi="Times New Roman"/>
          <w:sz w:val="32"/>
          <w:szCs w:val="32"/>
        </w:rPr>
      </w:pPr>
    </w:p>
    <w:p>
      <w:pPr>
        <w:autoSpaceDN w:val="0"/>
        <w:jc w:val="center"/>
        <w:rPr>
          <w:rFonts w:ascii="Times New Roman" w:cs="Times New Roman" w:hAnsi="Times New Roman"/>
          <w:b/>
          <w:bCs/>
          <w:sz w:val="32"/>
          <w:szCs w:val="32"/>
        </w:rPr>
      </w:pPr>
    </w:p>
    <w:p>
      <w:pPr>
        <w:autoSpaceDN w:val="0"/>
        <w:jc w:val="center"/>
        <w:rPr>
          <w:rFonts w:ascii="Times New Roman" w:cs="Times New Roman" w:hAnsi="Times New Roman"/>
          <w:b/>
          <w:bCs/>
          <w:sz w:val="32"/>
          <w:szCs w:val="32"/>
        </w:rPr>
      </w:pPr>
      <w:r>
        <w:rPr>
          <w:rFonts w:ascii="Times New Roman" w:cs="Times New Roman" w:hAnsi="Times New Roman"/>
          <w:b/>
          <w:bCs/>
          <w:sz w:val="32"/>
          <w:szCs w:val="32"/>
        </w:rPr>
        <w:t xml:space="preserve"> </w:t>
      </w:r>
    </w:p>
    <w:p>
      <w:pPr>
        <w:autoSpaceDN w:val="0"/>
        <w:jc w:val="center"/>
        <w:rPr>
          <w:rFonts w:ascii="Times New Roman" w:cs="Times New Roman" w:hAnsi="Times New Roman"/>
          <w:b/>
          <w:bCs/>
          <w:sz w:val="32"/>
          <w:szCs w:val="32"/>
        </w:rPr>
      </w:pPr>
    </w:p>
    <w:p>
      <w:pPr>
        <w:autoSpaceDN w:val="0"/>
        <w:jc w:val="center"/>
        <w:rPr>
          <w:rFonts w:ascii="Times New Roman" w:cs="Times New Roman" w:hAnsi="Times New Roman"/>
          <w:b/>
          <w:bCs/>
          <w:sz w:val="32"/>
          <w:szCs w:val="32"/>
        </w:rPr>
      </w:pPr>
    </w:p>
    <w:p>
      <w:pPr>
        <w:autoSpaceDN w:val="0"/>
        <w:jc w:val="center"/>
        <w:rPr>
          <w:rFonts w:ascii="Times New Roman" w:cs="Times New Roman" w:hAnsi="Times New Roman"/>
          <w:b/>
          <w:bCs/>
          <w:sz w:val="32"/>
          <w:szCs w:val="32"/>
        </w:rPr>
      </w:pPr>
    </w:p>
    <w:p>
      <w:pPr>
        <w:autoSpaceDN w:val="0"/>
        <w:jc w:val="center"/>
        <w:rPr>
          <w:rFonts w:ascii="Times New Roman" w:cs="Times New Roman" w:hAnsi="Times New Roman"/>
          <w:b/>
          <w:bCs/>
          <w:sz w:val="32"/>
          <w:szCs w:val="32"/>
        </w:rPr>
      </w:pPr>
    </w:p>
    <w:p>
      <w:pPr>
        <w:autoSpaceDN w:val="0"/>
        <w:jc w:val="center"/>
        <w:rPr>
          <w:rFonts w:ascii="Times New Roman" w:cs="Times New Roman" w:hAnsi="Times New Roman"/>
          <w:b/>
          <w:bCs/>
          <w:sz w:val="32"/>
          <w:szCs w:val="32"/>
        </w:rPr>
      </w:pPr>
    </w:p>
    <w:p>
      <w:pPr>
        <w:autoSpaceDN w:val="0"/>
        <w:jc w:val="center"/>
        <w:rPr>
          <w:rFonts w:ascii="Times New Roman" w:cs="Times New Roman" w:hAnsi="Times New Roman"/>
          <w:b/>
          <w:bCs/>
          <w:sz w:val="32"/>
          <w:szCs w:val="32"/>
        </w:rPr>
      </w:pPr>
      <w:r>
        <w:rPr>
          <w:rFonts w:ascii="Times New Roman" w:cs="Times New Roman" w:hAnsi="Times New Roman"/>
          <w:b/>
          <w:bCs/>
          <w:sz w:val="32"/>
          <w:szCs w:val="32"/>
        </w:rPr>
        <w:t xml:space="preserve"> </w:t>
      </w:r>
    </w:p>
    <w:p>
      <w:pPr>
        <w:autoSpaceDN w:val="0"/>
        <w:jc w:val="center"/>
        <w:rPr>
          <w:rFonts w:ascii="Times New Roman" w:cs="Times New Roman" w:hAnsi="Times New Roman"/>
          <w:b/>
          <w:bCs/>
          <w:sz w:val="84"/>
          <w:szCs w:val="84"/>
        </w:rPr>
      </w:pPr>
      <w:r>
        <w:rPr>
          <w:rFonts w:ascii="Times New Roman" w:hAnsi="Times New Roman" w:hint="eastAsia"/>
          <w:b/>
          <w:bCs/>
          <w:sz w:val="84"/>
          <w:szCs w:val="84"/>
        </w:rPr>
        <w:t>第四部分</w:t>
      </w:r>
      <w:r>
        <w:rPr>
          <w:rFonts w:ascii="Times New Roman" w:cs="Times New Roman" w:hAnsi="Times New Roman"/>
          <w:b/>
          <w:bCs/>
          <w:sz w:val="84"/>
          <w:szCs w:val="84"/>
        </w:rPr>
        <w:t xml:space="preserve">  </w:t>
      </w:r>
    </w:p>
    <w:p>
      <w:pPr>
        <w:autoSpaceDN w:val="0"/>
        <w:jc w:val="center"/>
        <w:rPr>
          <w:rFonts w:ascii="Times New Roman" w:cs="Times New Roman" w:hAnsi="Times New Roman"/>
          <w:b/>
          <w:bCs/>
          <w:sz w:val="84"/>
          <w:szCs w:val="84"/>
        </w:rPr>
      </w:pPr>
      <w:r>
        <w:rPr>
          <w:rFonts w:ascii="Times New Roman" w:hAnsi="Times New Roman" w:hint="eastAsia"/>
          <w:b/>
          <w:bCs/>
          <w:sz w:val="84"/>
          <w:szCs w:val="84"/>
        </w:rPr>
        <w:t>名词解释</w:t>
      </w:r>
    </w:p>
    <w:p>
      <w:pPr>
        <w:widowControl/>
        <w:jc w:val="left"/>
        <w:rPr>
          <w:rFonts w:ascii="宋体" w:cs="宋体"/>
          <w:kern w:val="0"/>
          <w:sz w:val="24"/>
          <w:szCs w:val="24"/>
        </w:rPr>
        <w:sectPr>
          <w:pgSz w:w="11906" w:h="16838"/>
          <w:pgMar w:top="1440" w:right="1800" w:bottom="1440" w:left="1800" w:header="851" w:footer="992" w:gutter="0"/>
          <w:docGrid w:type="lines" w:linePitch="312" w:charSpace="0"/>
        </w:sectPr>
      </w:pP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b/>
          <w:bCs/>
          <w:sz w:val="32"/>
          <w:szCs w:val="32"/>
        </w:rPr>
        <w:t>一、一般公共预算拨款收入</w:t>
      </w:r>
      <w:r>
        <w:rPr>
          <w:rFonts w:ascii="Times New Roman" w:eastAsia="方正仿宋_GBK" w:hAnsi="Times New Roman" w:hint="eastAsia"/>
          <w:sz w:val="32"/>
          <w:szCs w:val="32"/>
        </w:rPr>
        <w:t>：指中央财政当年拨付的资金。</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b/>
          <w:bCs/>
          <w:sz w:val="32"/>
          <w:szCs w:val="32"/>
        </w:rPr>
        <w:t>二、事业收入</w:t>
      </w:r>
      <w:r>
        <w:rPr>
          <w:rFonts w:ascii="Times New Roman" w:eastAsia="方正仿宋_GBK" w:hAnsi="Times New Roman" w:hint="eastAsia"/>
          <w:sz w:val="32"/>
          <w:szCs w:val="32"/>
        </w:rPr>
        <w:t>：指海关系统所属事业单位开展专业业务活动及辅助活动取得的收入。</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b/>
          <w:bCs/>
          <w:sz w:val="32"/>
          <w:szCs w:val="32"/>
        </w:rPr>
        <w:t>三、事业单位经营收入</w:t>
      </w:r>
      <w:r>
        <w:rPr>
          <w:rFonts w:ascii="Times New Roman" w:eastAsia="方正仿宋_GBK" w:hAnsi="Times New Roman" w:hint="eastAsia"/>
          <w:sz w:val="32"/>
          <w:szCs w:val="32"/>
        </w:rPr>
        <w:t>：指海关系统所属事业单位在专业业务活动及辅助活动之外，开展非独立核算经营活动取得的收入。</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b/>
          <w:bCs/>
          <w:sz w:val="32"/>
          <w:szCs w:val="32"/>
        </w:rPr>
        <w:t>四、其他收入</w:t>
      </w:r>
      <w:r>
        <w:rPr>
          <w:rFonts w:ascii="Times New Roman" w:eastAsia="方正仿宋_GBK" w:hAnsi="Times New Roman" w:hint="eastAsia"/>
          <w:sz w:val="32"/>
          <w:szCs w:val="32"/>
        </w:rPr>
        <w:t>：指海关系统取得的除上述财政拨款收入、事业收入、事业单位经营收入等以外的收入。</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b/>
          <w:bCs/>
          <w:sz w:val="32"/>
          <w:szCs w:val="32"/>
        </w:rPr>
        <w:t>五、使用非财政拨款结余</w:t>
      </w:r>
      <w:r>
        <w:rPr>
          <w:rFonts w:ascii="Times New Roman" w:eastAsia="方正仿宋_GBK" w:hAnsi="Times New Roman" w:hint="eastAsia"/>
          <w:sz w:val="32"/>
          <w:szCs w:val="32"/>
        </w:rPr>
        <w:t>：指海关系统所属事业单位预计收入小于支出时，用非财政拨款结余弥补本年度收支差额的数额。</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b/>
          <w:bCs/>
          <w:sz w:val="32"/>
          <w:szCs w:val="32"/>
        </w:rPr>
        <w:t>六、上年结转</w:t>
      </w:r>
      <w:r>
        <w:rPr>
          <w:rFonts w:ascii="Times New Roman" w:eastAsia="方正仿宋_GBK" w:hAnsi="Times New Roman" w:hint="eastAsia"/>
          <w:sz w:val="32"/>
          <w:szCs w:val="32"/>
        </w:rPr>
        <w:t>：指以前年度尚未完成、结转到本年仍按原规定用途继续使用的资金等。</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b/>
          <w:bCs/>
          <w:sz w:val="32"/>
          <w:szCs w:val="32"/>
        </w:rPr>
        <w:t>七、一般公共服务支出（类）海关事务（款）</w:t>
      </w:r>
      <w:r>
        <w:rPr>
          <w:rFonts w:ascii="Times New Roman" w:eastAsia="方正仿宋_GBK" w:hAnsi="Times New Roman" w:hint="eastAsia"/>
          <w:sz w:val="32"/>
          <w:szCs w:val="32"/>
        </w:rPr>
        <w:t>：反映海关用于系统行政和事业单位的基本支出及完成专项业务工作的项目支出。</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b/>
          <w:bCs/>
          <w:sz w:val="32"/>
          <w:szCs w:val="32"/>
        </w:rPr>
        <w:t>（一）行政运行（项）</w:t>
      </w:r>
      <w:r>
        <w:rPr>
          <w:rFonts w:ascii="Times New Roman" w:eastAsia="方正仿宋_GBK" w:hAnsi="Times New Roman" w:hint="eastAsia"/>
          <w:sz w:val="32"/>
          <w:szCs w:val="32"/>
        </w:rPr>
        <w:t>：反映海关系统行政单位（包括实行公务员管理的事业单位）的基本支出。</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b/>
          <w:bCs/>
          <w:sz w:val="32"/>
          <w:szCs w:val="32"/>
        </w:rPr>
        <w:t>（二）一般行政管理事务（项）</w:t>
      </w:r>
      <w:r>
        <w:rPr>
          <w:rFonts w:ascii="Times New Roman" w:eastAsia="方正仿宋_GBK" w:hAnsi="Times New Roman" w:hint="eastAsia"/>
          <w:sz w:val="32"/>
          <w:szCs w:val="32"/>
        </w:rPr>
        <w:t>：反映海关系统行政单位（包括实行公务员管理的事业单位）未单独设置项级科目的其他项目支出。</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b/>
          <w:bCs/>
          <w:sz w:val="32"/>
          <w:szCs w:val="32"/>
        </w:rPr>
        <w:t>（三）机关服务（项）</w:t>
      </w:r>
      <w:r>
        <w:rPr>
          <w:rFonts w:ascii="Times New Roman" w:eastAsia="方正仿宋_GBK" w:hAnsi="Times New Roman" w:hint="eastAsia"/>
          <w:sz w:val="32"/>
          <w:szCs w:val="32"/>
        </w:rPr>
        <w:t>：反映海关系统为行政单位（包括实行公务员管理的事业单位）提供后勤服务的各类后勤服务中心、医务室等附属事业单位的支出。</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b/>
          <w:bCs/>
          <w:sz w:val="32"/>
          <w:szCs w:val="32"/>
        </w:rPr>
        <w:t>（四）缉私办案（项）</w:t>
      </w:r>
      <w:r>
        <w:rPr>
          <w:rFonts w:ascii="Times New Roman" w:eastAsia="方正仿宋_GBK" w:hAnsi="Times New Roman" w:hint="eastAsia"/>
          <w:sz w:val="32"/>
          <w:szCs w:val="32"/>
        </w:rPr>
        <w:t>：反映海关用于缉私办案方面的支出。</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b/>
          <w:bCs/>
          <w:sz w:val="32"/>
          <w:szCs w:val="32"/>
        </w:rPr>
        <w:t>（五）口岸管理（项）</w:t>
      </w:r>
      <w:r>
        <w:rPr>
          <w:rFonts w:ascii="Times New Roman" w:eastAsia="方正仿宋_GBK" w:hAnsi="Times New Roman" w:hint="eastAsia"/>
          <w:sz w:val="32"/>
          <w:szCs w:val="32"/>
        </w:rPr>
        <w:t>：反映口岸业务管理及电子口岸建设、运行维护方面的支出。</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b/>
          <w:bCs/>
          <w:sz w:val="32"/>
          <w:szCs w:val="32"/>
        </w:rPr>
        <w:t>（六）信息化建设（项）</w:t>
      </w:r>
      <w:r>
        <w:rPr>
          <w:rFonts w:ascii="Times New Roman" w:eastAsia="方正仿宋_GBK" w:hAnsi="Times New Roman" w:hint="eastAsia"/>
          <w:sz w:val="32"/>
          <w:szCs w:val="32"/>
        </w:rPr>
        <w:t>：反映海关系统用于信息化建设及运行维护等方面的支出。</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b/>
          <w:bCs/>
          <w:sz w:val="32"/>
          <w:szCs w:val="32"/>
        </w:rPr>
        <w:t>（七）海关关务（项）</w:t>
      </w:r>
      <w:r>
        <w:rPr>
          <w:rFonts w:ascii="Times New Roman" w:eastAsia="方正仿宋_GBK" w:hAnsi="Times New Roman" w:hint="eastAsia"/>
          <w:sz w:val="32"/>
          <w:szCs w:val="32"/>
        </w:rPr>
        <w:t>：反映为海关行政执法提供业务保障、支持能力以及基础设施建设、设备设施运维等方面的支出。</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b/>
          <w:bCs/>
          <w:sz w:val="32"/>
          <w:szCs w:val="32"/>
        </w:rPr>
        <w:t>（八）关税征管（项）</w:t>
      </w:r>
      <w:r>
        <w:rPr>
          <w:rFonts w:ascii="Times New Roman" w:eastAsia="方正仿宋_GBK" w:hAnsi="Times New Roman" w:hint="eastAsia"/>
          <w:sz w:val="32"/>
          <w:szCs w:val="32"/>
        </w:rPr>
        <w:t>：反映海关系统用于关税及其他税费征管方面的支出。</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b/>
          <w:bCs/>
          <w:sz w:val="32"/>
          <w:szCs w:val="32"/>
        </w:rPr>
        <w:t>（九）海关监管（项）</w:t>
      </w:r>
      <w:r>
        <w:rPr>
          <w:rFonts w:ascii="Times New Roman" w:eastAsia="方正仿宋_GBK" w:hAnsi="Times New Roman" w:hint="eastAsia"/>
          <w:sz w:val="32"/>
          <w:szCs w:val="32"/>
        </w:rPr>
        <w:t>：反映海关系统用于监管执法、业务管理及相关设备、技术支持方面的支出。</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b/>
          <w:bCs/>
          <w:sz w:val="32"/>
          <w:szCs w:val="32"/>
        </w:rPr>
        <w:t>（十）检验检疫（项）</w:t>
      </w:r>
      <w:r>
        <w:rPr>
          <w:rFonts w:ascii="Times New Roman" w:eastAsia="方正仿宋_GBK" w:hAnsi="Times New Roman" w:hint="eastAsia"/>
          <w:sz w:val="32"/>
          <w:szCs w:val="32"/>
        </w:rPr>
        <w:t>：反映海关系统用于出入境检验检疫行政执法、业务管理及相关技术支持方面的支出。</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b/>
          <w:bCs/>
          <w:sz w:val="32"/>
          <w:szCs w:val="32"/>
        </w:rPr>
        <w:t>（十一）事业运行（项）</w:t>
      </w:r>
      <w:r>
        <w:rPr>
          <w:rFonts w:ascii="Times New Roman" w:eastAsia="方正仿宋_GBK" w:hAnsi="Times New Roman" w:hint="eastAsia"/>
          <w:sz w:val="32"/>
          <w:szCs w:val="32"/>
        </w:rPr>
        <w:t>：反映海关事业单位的基本支出，不包括行政单位（包括实行公务员管理的事业单位）后勤服务中心、医务室等附属事业单位。</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b/>
          <w:bCs/>
          <w:sz w:val="32"/>
          <w:szCs w:val="32"/>
        </w:rPr>
        <w:t>（十二）其他海关事务支出（项）</w:t>
      </w:r>
      <w:r>
        <w:rPr>
          <w:rFonts w:ascii="Times New Roman" w:eastAsia="方正仿宋_GBK" w:hAnsi="Times New Roman" w:hint="eastAsia"/>
          <w:sz w:val="32"/>
          <w:szCs w:val="32"/>
        </w:rPr>
        <w:t>：反映除上述项目以外其他海关事务方面的支出。</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b/>
          <w:bCs/>
          <w:sz w:val="32"/>
          <w:szCs w:val="32"/>
        </w:rPr>
        <w:t>（十三）派驻派出机构（项）</w:t>
      </w:r>
      <w:r>
        <w:rPr>
          <w:rFonts w:ascii="Times New Roman" w:eastAsia="方正仿宋_GBK" w:hAnsi="Times New Roman" w:hint="eastAsia"/>
          <w:sz w:val="32"/>
          <w:szCs w:val="32"/>
        </w:rPr>
        <w:t>：指中央纪委国家监委驻海关总署开展工作的专项业务支出。</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b/>
          <w:bCs/>
          <w:sz w:val="32"/>
          <w:szCs w:val="32"/>
        </w:rPr>
        <w:t>八、外交支出（类）对外援助（款）对外援助（项）</w:t>
      </w:r>
      <w:r>
        <w:rPr>
          <w:rFonts w:ascii="Times New Roman" w:eastAsia="方正仿宋_GBK" w:hAnsi="Times New Roman" w:hint="eastAsia"/>
          <w:sz w:val="32"/>
          <w:szCs w:val="32"/>
        </w:rPr>
        <w:t>：指对外国政府（地区）提供的各种援助和技术合作支出。</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b/>
          <w:bCs/>
          <w:sz w:val="32"/>
          <w:szCs w:val="32"/>
        </w:rPr>
        <w:t>九、外交支出（类）驻外机构（款）其他驻外机构支出（项）</w:t>
      </w:r>
      <w:r>
        <w:rPr>
          <w:rFonts w:ascii="Times New Roman" w:eastAsia="方正仿宋_GBK" w:hAnsi="Times New Roman" w:hint="eastAsia"/>
          <w:sz w:val="32"/>
          <w:szCs w:val="32"/>
        </w:rPr>
        <w:t>：反映用于保障海关系统驻外机构正常运行的支出。</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b/>
          <w:bCs/>
          <w:sz w:val="32"/>
          <w:szCs w:val="32"/>
        </w:rPr>
        <w:t>十、外交支出（类）国际组织（款）国际组织会费（项）</w:t>
      </w:r>
      <w:r>
        <w:rPr>
          <w:rFonts w:ascii="Times New Roman" w:eastAsia="方正仿宋_GBK" w:hAnsi="Times New Roman" w:hint="eastAsia"/>
          <w:sz w:val="32"/>
          <w:szCs w:val="32"/>
        </w:rPr>
        <w:t>：反映海关经批准参加国际组织，按国际组织规定缴纳的会费。</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b/>
          <w:bCs/>
          <w:sz w:val="32"/>
          <w:szCs w:val="32"/>
        </w:rPr>
        <w:t>十一、外交支出（类）国际组织（款）国际组织捐赠（项）</w:t>
      </w:r>
      <w:r>
        <w:rPr>
          <w:rFonts w:ascii="Times New Roman" w:eastAsia="方正仿宋_GBK" w:hAnsi="Times New Roman" w:hint="eastAsia"/>
          <w:sz w:val="32"/>
          <w:szCs w:val="32"/>
        </w:rPr>
        <w:t>：反映以我国政府或海关总署名义，向国际组织的认捐、救灾、馈赠等支出。</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b/>
          <w:bCs/>
          <w:sz w:val="32"/>
          <w:szCs w:val="32"/>
        </w:rPr>
        <w:t>十二、外交支出（类）对外合作与交流（款）对外合作活动（项）</w:t>
      </w:r>
      <w:r>
        <w:rPr>
          <w:rFonts w:ascii="Times New Roman" w:eastAsia="方正仿宋_GBK" w:hAnsi="Times New Roman" w:hint="eastAsia"/>
          <w:sz w:val="32"/>
          <w:szCs w:val="32"/>
        </w:rPr>
        <w:t>：反映海关用于外交目的的对外合作方面支出。</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b/>
          <w:bCs/>
          <w:sz w:val="32"/>
          <w:szCs w:val="32"/>
        </w:rPr>
        <w:t>十三、外交支出（类）其他外交支出（款）其他外交支出（项）</w:t>
      </w:r>
      <w:r>
        <w:rPr>
          <w:rFonts w:ascii="Times New Roman" w:eastAsia="方正仿宋_GBK" w:hAnsi="Times New Roman" w:hint="eastAsia"/>
          <w:sz w:val="32"/>
          <w:szCs w:val="32"/>
        </w:rPr>
        <w:t>：反映除上述项目以外其他用于外交方面的支出。</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b/>
          <w:bCs/>
          <w:sz w:val="32"/>
          <w:szCs w:val="32"/>
        </w:rPr>
        <w:t>十四、公共安全支出（类）缉私警察（款）</w:t>
      </w:r>
      <w:r>
        <w:rPr>
          <w:rFonts w:ascii="Times New Roman" w:eastAsia="方正仿宋_GBK" w:hAnsi="Times New Roman" w:hint="eastAsia"/>
          <w:sz w:val="32"/>
          <w:szCs w:val="32"/>
        </w:rPr>
        <w:t>：反映海关缉私警察的基本支出及完成专项业务工作的项目支出。</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b/>
          <w:bCs/>
          <w:sz w:val="32"/>
          <w:szCs w:val="32"/>
        </w:rPr>
        <w:t>十五、教育支出（类）普通教育（款）高等教育（项）</w:t>
      </w:r>
      <w:r>
        <w:rPr>
          <w:rFonts w:ascii="Times New Roman" w:eastAsia="方正仿宋_GBK" w:hAnsi="Times New Roman" w:hint="eastAsia"/>
          <w:sz w:val="32"/>
          <w:szCs w:val="32"/>
        </w:rPr>
        <w:t>：反映海关所属院校教学等方面的支出。</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b/>
          <w:bCs/>
          <w:sz w:val="32"/>
          <w:szCs w:val="32"/>
        </w:rPr>
        <w:t>十六、教育支出（类）进修及培训（款）培训支出（项）</w:t>
      </w:r>
      <w:r>
        <w:rPr>
          <w:rFonts w:ascii="Times New Roman" w:eastAsia="方正仿宋_GBK" w:hAnsi="Times New Roman" w:hint="eastAsia"/>
          <w:sz w:val="32"/>
          <w:szCs w:val="32"/>
        </w:rPr>
        <w:t>：反映海关安排的用于培训的支出。</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b/>
          <w:bCs/>
          <w:sz w:val="32"/>
          <w:szCs w:val="32"/>
        </w:rPr>
        <w:t>十七、社会保障和就业支出（类）行政事业单位养老支出（款）</w:t>
      </w:r>
      <w:r>
        <w:rPr>
          <w:rFonts w:ascii="Times New Roman" w:eastAsia="方正仿宋_GBK" w:hAnsi="Times New Roman" w:hint="eastAsia"/>
          <w:sz w:val="32"/>
          <w:szCs w:val="32"/>
        </w:rPr>
        <w:t>：反映用于海关行政事业单位养老方面的支出。</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b/>
          <w:bCs/>
          <w:sz w:val="32"/>
          <w:szCs w:val="32"/>
        </w:rPr>
        <w:t>（一）行政单位离退休（项）</w:t>
      </w:r>
      <w:r>
        <w:rPr>
          <w:rFonts w:ascii="Times New Roman" w:eastAsia="方正仿宋_GBK" w:hAnsi="Times New Roman" w:hint="eastAsia"/>
          <w:sz w:val="32"/>
          <w:szCs w:val="32"/>
        </w:rPr>
        <w:t>：反映海关系统行政单位（包括实行公务员管理的事业单位）开支的离退休经费。</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b/>
          <w:bCs/>
          <w:sz w:val="32"/>
          <w:szCs w:val="32"/>
        </w:rPr>
        <w:t>（二）事业单位离退休（项）</w:t>
      </w:r>
      <w:r>
        <w:rPr>
          <w:rFonts w:ascii="Times New Roman" w:eastAsia="方正仿宋_GBK" w:hAnsi="Times New Roman" w:hint="eastAsia"/>
          <w:sz w:val="32"/>
          <w:szCs w:val="32"/>
        </w:rPr>
        <w:t>：反映海关系统事业单位开支的离退休经费。</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b/>
          <w:bCs/>
          <w:sz w:val="32"/>
          <w:szCs w:val="32"/>
        </w:rPr>
        <w:t>（三）离退休人员管理机构（项）</w:t>
      </w:r>
      <w:r>
        <w:rPr>
          <w:rFonts w:ascii="Times New Roman" w:eastAsia="方正仿宋_GBK" w:hAnsi="Times New Roman" w:hint="eastAsia"/>
          <w:sz w:val="32"/>
          <w:szCs w:val="32"/>
        </w:rPr>
        <w:t>：反映海关系统为离退休人员提供管理服务的离退休管理机构的支出。</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b/>
          <w:bCs/>
          <w:sz w:val="32"/>
          <w:szCs w:val="32"/>
        </w:rPr>
        <w:t>（四）机关事业单位基本养老保险缴费支出（项）</w:t>
      </w:r>
      <w:r>
        <w:rPr>
          <w:rFonts w:ascii="Times New Roman" w:eastAsia="方正仿宋_GBK" w:hAnsi="Times New Roman" w:hint="eastAsia"/>
          <w:sz w:val="32"/>
          <w:szCs w:val="32"/>
        </w:rPr>
        <w:t>：反映已参加当地社保的在职人员的基本养老保险支出。</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b/>
          <w:bCs/>
          <w:sz w:val="32"/>
          <w:szCs w:val="32"/>
        </w:rPr>
        <w:t>（五）机关事业单位职业年金缴费支出（项）</w:t>
      </w:r>
      <w:r>
        <w:rPr>
          <w:rFonts w:ascii="Times New Roman" w:eastAsia="方正仿宋_GBK" w:hAnsi="Times New Roman" w:hint="eastAsia"/>
          <w:sz w:val="32"/>
          <w:szCs w:val="32"/>
        </w:rPr>
        <w:t>：反映已参加当地社保的在职人员的职业年金支出。</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b/>
          <w:bCs/>
          <w:sz w:val="32"/>
          <w:szCs w:val="32"/>
        </w:rPr>
        <w:t>十八、住房保障支出（类）住房改革支出（款）</w:t>
      </w:r>
      <w:r>
        <w:rPr>
          <w:rFonts w:ascii="Times New Roman" w:eastAsia="方正仿宋_GBK" w:hAnsi="Times New Roman" w:hint="eastAsia"/>
          <w:sz w:val="32"/>
          <w:szCs w:val="32"/>
        </w:rPr>
        <w:t>：反映海关系统按照国家政策规定为职工发放的住房公积金、提租补贴和购房补贴等支出。住房改革支出包括三项：</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b/>
          <w:bCs/>
          <w:sz w:val="32"/>
          <w:szCs w:val="32"/>
        </w:rPr>
        <w:t>（一）住房公积金（项）</w:t>
      </w:r>
      <w:r>
        <w:rPr>
          <w:rFonts w:ascii="Times New Roman" w:eastAsia="方正仿宋_GBK" w:hAnsi="Times New Roman" w:hint="eastAsia"/>
          <w:sz w:val="32"/>
          <w:szCs w:val="32"/>
        </w:rPr>
        <w:t>：住房公积金是按照《住房公积金管理条例》的规定，由单位及其在职职工缴存的长期住房储金。该项政策始于上世纪九十年代中期，在全国机关、企事业单位在职职工中普遍实施，缴存比例最低不低于</w:t>
      </w:r>
      <w:r>
        <w:rPr>
          <w:rFonts w:ascii="Times New Roman" w:eastAsia="方正仿宋_GBK" w:cs="Times New Roman" w:hAnsi="Times New Roman"/>
          <w:sz w:val="32"/>
          <w:szCs w:val="32"/>
        </w:rPr>
        <w:t>5</w:t>
      </w:r>
      <w:r>
        <w:rPr>
          <w:rFonts w:ascii="Times New Roman" w:eastAsia="方正仿宋_GBK" w:hAnsi="Times New Roman" w:hint="eastAsia"/>
          <w:sz w:val="32"/>
          <w:szCs w:val="32"/>
        </w:rPr>
        <w:t>％，最高不超过</w:t>
      </w:r>
      <w:r>
        <w:rPr>
          <w:rFonts w:ascii="Times New Roman" w:eastAsia="方正仿宋_GBK" w:cs="Times New Roman" w:hAnsi="Times New Roman"/>
          <w:sz w:val="32"/>
          <w:szCs w:val="32"/>
        </w:rPr>
        <w:t>12</w:t>
      </w:r>
      <w:r>
        <w:rPr>
          <w:rFonts w:ascii="Times New Roman" w:eastAsia="方正仿宋_GBK" w:hAnsi="Times New Roman" w:hint="eastAsia"/>
          <w:sz w:val="32"/>
          <w:szCs w:val="32"/>
        </w:rPr>
        <w:t>％，缴存基数为职工本人上年工资，目前已实施近</w:t>
      </w:r>
      <w:r>
        <w:rPr>
          <w:rFonts w:ascii="Times New Roman" w:eastAsia="方正仿宋_GBK" w:cs="Times New Roman" w:hAnsi="Times New Roman"/>
          <w:sz w:val="32"/>
          <w:szCs w:val="32"/>
        </w:rPr>
        <w:t>20</w:t>
      </w:r>
      <w:r>
        <w:rPr>
          <w:rFonts w:ascii="Times New Roman" w:eastAsia="方正仿宋_GBK" w:hAnsi="Times New Roman" w:hint="eastAsia"/>
          <w:sz w:val="32"/>
          <w:szCs w:val="32"/>
        </w:rPr>
        <w:t>年时间。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b/>
          <w:bCs/>
          <w:sz w:val="32"/>
          <w:szCs w:val="32"/>
        </w:rPr>
        <w:t>（二）提租补贴（项）</w:t>
      </w:r>
      <w:r>
        <w:rPr>
          <w:rFonts w:ascii="Times New Roman" w:eastAsia="方正仿宋_GBK" w:hAnsi="Times New Roman" w:hint="eastAsia"/>
          <w:sz w:val="32"/>
          <w:szCs w:val="32"/>
        </w:rPr>
        <w:t>：提租补贴是经国务院批准，于</w:t>
      </w:r>
      <w:r>
        <w:rPr>
          <w:rFonts w:ascii="Times New Roman" w:eastAsia="方正仿宋_GBK" w:cs="Times New Roman" w:hAnsi="Times New Roman"/>
          <w:sz w:val="32"/>
          <w:szCs w:val="32"/>
        </w:rPr>
        <w:t>2000</w:t>
      </w:r>
      <w:r>
        <w:rPr>
          <w:rFonts w:ascii="Times New Roman" w:eastAsia="方正仿宋_GBK" w:hAnsi="Times New Roman" w:hint="eastAsia"/>
          <w:sz w:val="32"/>
          <w:szCs w:val="32"/>
        </w:rPr>
        <w:t>年开始针对在京中央单位公有住房租金标准提高发放的补贴，中央在京单位按照在职在编职工人数和离退休人数以及相应职级的补贴标准确定，人均月补贴</w:t>
      </w:r>
      <w:r>
        <w:rPr>
          <w:rFonts w:ascii="Times New Roman" w:eastAsia="方正仿宋_GBK" w:cs="Times New Roman" w:hAnsi="Times New Roman"/>
          <w:sz w:val="32"/>
          <w:szCs w:val="32"/>
        </w:rPr>
        <w:t>90</w:t>
      </w:r>
      <w:r>
        <w:rPr>
          <w:rFonts w:ascii="Times New Roman" w:eastAsia="方正仿宋_GBK" w:hAnsi="Times New Roman" w:hint="eastAsia"/>
          <w:sz w:val="32"/>
          <w:szCs w:val="32"/>
        </w:rPr>
        <w:t>元。</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b/>
          <w:bCs/>
          <w:sz w:val="32"/>
          <w:szCs w:val="32"/>
        </w:rPr>
        <w:t>（三）购房补贴（项）</w:t>
      </w:r>
      <w:r>
        <w:rPr>
          <w:rFonts w:ascii="Times New Roman" w:eastAsia="方正仿宋_GBK" w:hAnsi="Times New Roman" w:hint="eastAsia"/>
          <w:sz w:val="32"/>
          <w:szCs w:val="32"/>
        </w:rPr>
        <w:t>：购房补贴是根据《国务院关于进一步深化城镇住房制度改革加快住房建设的通知》（国发〔</w:t>
      </w:r>
      <w:r>
        <w:rPr>
          <w:rFonts w:ascii="Times New Roman" w:eastAsia="方正仿宋_GBK" w:cs="Times New Roman" w:hAnsi="Times New Roman"/>
          <w:sz w:val="32"/>
          <w:szCs w:val="32"/>
        </w:rPr>
        <w:t>1998</w:t>
      </w:r>
      <w:r>
        <w:rPr>
          <w:rFonts w:ascii="Times New Roman" w:eastAsia="方正仿宋_GBK" w:hAnsi="Times New Roman" w:hint="eastAsia"/>
          <w:sz w:val="32"/>
          <w:szCs w:val="32"/>
        </w:rPr>
        <w:t>〕</w:t>
      </w:r>
      <w:r>
        <w:rPr>
          <w:rFonts w:ascii="Times New Roman" w:eastAsia="方正仿宋_GBK" w:cs="Times New Roman" w:hAnsi="Times New Roman"/>
          <w:sz w:val="32"/>
          <w:szCs w:val="32"/>
        </w:rPr>
        <w:t>23</w:t>
      </w:r>
      <w:r>
        <w:rPr>
          <w:rFonts w:ascii="Times New Roman" w:eastAsia="方正仿宋_GBK" w:hAnsi="Times New Roman" w:hint="eastAsia"/>
          <w:sz w:val="32"/>
          <w:szCs w:val="32"/>
        </w:rPr>
        <w:t>号）的规定，从</w:t>
      </w:r>
      <w:r>
        <w:rPr>
          <w:rFonts w:ascii="Times New Roman" w:eastAsia="方正仿宋_GBK" w:cs="Times New Roman" w:hAnsi="Times New Roman"/>
          <w:sz w:val="32"/>
          <w:szCs w:val="32"/>
        </w:rPr>
        <w:t>1998</w:t>
      </w:r>
      <w:r>
        <w:rPr>
          <w:rFonts w:ascii="Times New Roman" w:eastAsia="方正仿宋_GBK" w:hAnsi="Times New Roman" w:hint="eastAsia"/>
          <w:sz w:val="32"/>
          <w:szCs w:val="32"/>
        </w:rPr>
        <w:t>年下半年停止实物分房后，房价收入比超过</w:t>
      </w:r>
      <w:r>
        <w:rPr>
          <w:rFonts w:ascii="Times New Roman" w:eastAsia="方正仿宋_GBK" w:cs="Times New Roman" w:hAnsi="Times New Roman"/>
          <w:sz w:val="32"/>
          <w:szCs w:val="32"/>
        </w:rPr>
        <w:t>4</w:t>
      </w:r>
      <w:r>
        <w:rPr>
          <w:rFonts w:ascii="Times New Roman" w:eastAsia="方正仿宋_GBK" w:hAnsi="Times New Roman" w:hint="eastAsia"/>
          <w:sz w:val="32"/>
          <w:szCs w:val="32"/>
        </w:rPr>
        <w:t>倍以上地区对无房和住房未达标职工发放的住房货币化改革补贴资金。中央行政事业单位从</w:t>
      </w:r>
      <w:r>
        <w:rPr>
          <w:rFonts w:ascii="Times New Roman" w:eastAsia="方正仿宋_GBK" w:cs="Times New Roman" w:hAnsi="Times New Roman"/>
          <w:sz w:val="32"/>
          <w:szCs w:val="32"/>
        </w:rPr>
        <w:t>2000</w:t>
      </w:r>
      <w:r>
        <w:rPr>
          <w:rFonts w:ascii="Times New Roman" w:eastAsia="方正仿宋_GBK" w:hAnsi="Times New Roman" w:hint="eastAsia"/>
          <w:sz w:val="32"/>
          <w:szCs w:val="32"/>
        </w:rPr>
        <w:t>年开始发放购房补贴资金，地方行政事业单位从</w:t>
      </w:r>
      <w:r>
        <w:rPr>
          <w:rFonts w:ascii="Times New Roman" w:eastAsia="方正仿宋_GBK" w:cs="Times New Roman" w:hAnsi="Times New Roman"/>
          <w:sz w:val="32"/>
          <w:szCs w:val="32"/>
        </w:rPr>
        <w:t>1999</w:t>
      </w:r>
      <w:r>
        <w:rPr>
          <w:rFonts w:ascii="Times New Roman" w:eastAsia="方正仿宋_GBK" w:hAnsi="Times New Roman" w:hint="eastAsia"/>
          <w:sz w:val="32"/>
          <w:szCs w:val="32"/>
        </w:rPr>
        <w:t>年陆续开始发放购房补贴资金，企业根据本单位情况自行确定。在京中央单位按照《中共中央办公厅国务院办公厅转发建设部等单位〈关于完善在京中央和国家机关住房制度的若干意见〉的通知》（厅字〔</w:t>
      </w:r>
      <w:r>
        <w:rPr>
          <w:rFonts w:ascii="Times New Roman" w:eastAsia="方正仿宋_GBK" w:cs="Times New Roman" w:hAnsi="Times New Roman"/>
          <w:sz w:val="32"/>
          <w:szCs w:val="32"/>
        </w:rPr>
        <w:t>2005</w:t>
      </w:r>
      <w:r>
        <w:rPr>
          <w:rFonts w:ascii="Times New Roman" w:eastAsia="方正仿宋_GBK" w:hAnsi="Times New Roman" w:hint="eastAsia"/>
          <w:sz w:val="32"/>
          <w:szCs w:val="32"/>
        </w:rPr>
        <w:t>〕</w:t>
      </w:r>
      <w:r>
        <w:rPr>
          <w:rFonts w:ascii="Times New Roman" w:eastAsia="方正仿宋_GBK" w:cs="Times New Roman" w:hAnsi="Times New Roman"/>
          <w:sz w:val="32"/>
          <w:szCs w:val="32"/>
        </w:rPr>
        <w:t>8</w:t>
      </w:r>
      <w:r>
        <w:rPr>
          <w:rFonts w:ascii="Times New Roman" w:eastAsia="方正仿宋_GBK" w:hAnsi="Times New Roman" w:hint="eastAsia"/>
          <w:sz w:val="32"/>
          <w:szCs w:val="32"/>
        </w:rPr>
        <w:t>号）规定的标准执行，京外中央单位按照所在地人民政府住房分配货币化改革的政策规定和标准执行。</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b/>
          <w:bCs/>
          <w:sz w:val="32"/>
          <w:szCs w:val="32"/>
        </w:rPr>
        <w:t>十九、卫生健康支出（类）行政事业单位医疗（款）</w:t>
      </w:r>
      <w:r>
        <w:rPr>
          <w:rFonts w:ascii="Times New Roman" w:eastAsia="方正仿宋_GBK" w:hAnsi="Times New Roman" w:hint="eastAsia"/>
          <w:sz w:val="32"/>
          <w:szCs w:val="32"/>
        </w:rPr>
        <w:t>：反映已参加当地医保的海关单位用于向地方社保部门缴纳的基本医疗保险和公务员医疗补助支出。</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b/>
          <w:bCs/>
          <w:sz w:val="32"/>
          <w:szCs w:val="32"/>
        </w:rPr>
        <w:t>（一）行政单位医疗（项）</w:t>
      </w:r>
      <w:r>
        <w:rPr>
          <w:rFonts w:ascii="Times New Roman" w:eastAsia="方正仿宋_GBK" w:hAnsi="Times New Roman" w:hint="eastAsia"/>
          <w:sz w:val="32"/>
          <w:szCs w:val="32"/>
        </w:rPr>
        <w:t>：指中央财政集中安排的驻各地海关单位基本医疗保险缴费经费。</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b/>
          <w:bCs/>
          <w:sz w:val="32"/>
          <w:szCs w:val="32"/>
        </w:rPr>
        <w:t>（二）公务员医疗补助（项）</w:t>
      </w:r>
      <w:r>
        <w:rPr>
          <w:rFonts w:ascii="Times New Roman" w:eastAsia="方正仿宋_GBK" w:hAnsi="Times New Roman" w:hint="eastAsia"/>
          <w:sz w:val="32"/>
          <w:szCs w:val="32"/>
        </w:rPr>
        <w:t>：指中央财政集中安排的驻各地海关单位公务员医疗补助经费。</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b/>
          <w:bCs/>
          <w:sz w:val="32"/>
          <w:szCs w:val="32"/>
        </w:rPr>
        <w:t>二十、“三公”经费</w:t>
      </w:r>
      <w:r>
        <w:rPr>
          <w:rFonts w:ascii="Times New Roman" w:eastAsia="方正仿宋_GBK" w:hAnsi="Times New Roman" w:hint="eastAsia"/>
          <w:sz w:val="32"/>
          <w:szCs w:val="32"/>
        </w:rPr>
        <w:t>：纳入中央财政预决算管理的“三公”经费，是指中央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及燃料费、维修费、过路过桥费、保险费、安全奖励费用等支出；公务接待费反映单位按规定开支的各类公务接待（含外宾接待）支出。</w:t>
      </w:r>
    </w:p>
    <w:p>
      <w:pPr>
        <w:autoSpaceDN w:val="0"/>
        <w:spacing w:line="560" w:lineRule="exact"/>
        <w:ind w:firstLineChars="200" w:firstLine="640"/>
        <w:rPr>
          <w:rFonts w:ascii="Times New Roman" w:eastAsia="方正仿宋_GBK" w:cs="Times New Roman" w:hAnsi="Times New Roman"/>
          <w:sz w:val="32"/>
          <w:szCs w:val="32"/>
        </w:rPr>
      </w:pPr>
      <w:r>
        <w:rPr>
          <w:rFonts w:ascii="Times New Roman" w:eastAsia="方正仿宋_GBK" w:hAnsi="Times New Roman" w:hint="eastAsia"/>
          <w:b/>
          <w:bCs/>
          <w:sz w:val="32"/>
          <w:szCs w:val="32"/>
        </w:rPr>
        <w:t>二十一、机关运行经费</w:t>
      </w:r>
      <w:r>
        <w:rPr>
          <w:rFonts w:ascii="Times New Roman" w:eastAsia="方正仿宋_GBK" w:hAnsi="Times New Roman" w:hint="eastAsia"/>
          <w:sz w:val="32"/>
          <w:szCs w:val="32"/>
        </w:rPr>
        <w:t>：为保障行政单位（包括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autoSpaceDN w:val="0"/>
        <w:jc w:val="left"/>
        <w:rPr>
          <w:rFonts w:ascii="Times New Roman" w:eastAsia="方正仿宋_GBK" w:cs="Times New Roman" w:hAnsi="Times New Roman"/>
          <w:sz w:val="32"/>
          <w:szCs w:val="32"/>
        </w:rPr>
      </w:pPr>
    </w:p>
    <w:p>
      <w:pPr>
        <w:widowControl/>
        <w:jc w:val="left"/>
        <w:rPr>
          <w:rFonts w:ascii="宋体" w:cs="宋体"/>
          <w:kern w:val="0"/>
          <w:sz w:val="24"/>
          <w:szCs w:val="24"/>
        </w:rPr>
        <w:sectPr>
          <w:pgSz w:w="11906" w:h="16838"/>
          <w:pgMar w:top="1440" w:right="1800" w:bottom="1440" w:left="1800" w:header="851" w:footer="992" w:gutter="0"/>
          <w:docGrid w:type="lines" w:linePitch="312" w:charSpace="0"/>
        </w:sectPr>
      </w:pPr>
    </w:p>
    <w:p>
      <w:pPr>
        <w:autoSpaceDN w:val="0"/>
        <w:jc w:val="left"/>
        <w:rPr>
          <w:rFonts w:ascii="Times New Roman" w:eastAsia="方正仿宋_GBK" w:cs="Times New Roman" w:hAnsi="Times New Roman"/>
          <w:sz w:val="32"/>
          <w:szCs w:val="32"/>
        </w:rPr>
      </w:pPr>
    </w:p>
    <w:p>
      <w:pPr>
        <w:autoSpaceDN w:val="0"/>
        <w:jc w:val="left"/>
        <w:rPr>
          <w:rFonts w:ascii="Times New Roman" w:eastAsia="方正仿宋_GBK" w:cs="Times New Roman" w:hAnsi="Times New Roman"/>
          <w:sz w:val="32"/>
          <w:szCs w:val="32"/>
        </w:rPr>
      </w:pPr>
    </w:p>
    <w:p>
      <w:pPr>
        <w:autoSpaceDN w:val="0"/>
        <w:jc w:val="left"/>
        <w:rPr>
          <w:rFonts w:ascii="Times New Roman" w:eastAsia="方正仿宋_GBK" w:cs="Times New Roman" w:hAnsi="Times New Roman"/>
          <w:sz w:val="32"/>
          <w:szCs w:val="32"/>
        </w:rPr>
      </w:pPr>
    </w:p>
    <w:p>
      <w:pPr>
        <w:autoSpaceDN w:val="0"/>
        <w:jc w:val="left"/>
        <w:rPr>
          <w:rFonts w:ascii="Times New Roman" w:eastAsia="方正仿宋_GBK" w:cs="Times New Roman" w:hAnsi="Times New Roman"/>
          <w:sz w:val="32"/>
          <w:szCs w:val="32"/>
        </w:rPr>
      </w:pPr>
    </w:p>
    <w:p>
      <w:pPr>
        <w:autoSpaceDN w:val="0"/>
        <w:jc w:val="left"/>
        <w:rPr>
          <w:rFonts w:ascii="Times New Roman" w:eastAsia="方正仿宋_GBK" w:cs="Times New Roman" w:hAnsi="Times New Roman"/>
          <w:sz w:val="32"/>
          <w:szCs w:val="32"/>
        </w:rPr>
      </w:pPr>
    </w:p>
    <w:p>
      <w:pPr>
        <w:autoSpaceDN w:val="0"/>
        <w:jc w:val="left"/>
        <w:rPr>
          <w:rFonts w:ascii="Times New Roman" w:eastAsia="方正仿宋_GBK" w:cs="Times New Roman" w:hAnsi="Times New Roman"/>
          <w:sz w:val="32"/>
          <w:szCs w:val="32"/>
        </w:rPr>
      </w:pPr>
    </w:p>
    <w:p>
      <w:pPr>
        <w:autoSpaceDN w:val="0"/>
        <w:jc w:val="left"/>
        <w:rPr>
          <w:rFonts w:ascii="Times New Roman" w:eastAsia="方正仿宋_GBK" w:cs="Times New Roman" w:hAnsi="Times New Roman"/>
          <w:sz w:val="32"/>
          <w:szCs w:val="32"/>
        </w:rPr>
      </w:pPr>
    </w:p>
    <w:p>
      <w:pPr>
        <w:autoSpaceDN w:val="0"/>
        <w:jc w:val="left"/>
        <w:rPr>
          <w:rFonts w:ascii="Times New Roman" w:eastAsia="方正仿宋_GBK" w:cs="Times New Roman" w:hAnsi="Times New Roman"/>
          <w:sz w:val="32"/>
          <w:szCs w:val="32"/>
        </w:rPr>
      </w:pPr>
    </w:p>
    <w:p>
      <w:pPr>
        <w:autoSpaceDN w:val="0"/>
        <w:jc w:val="left"/>
        <w:rPr>
          <w:rFonts w:ascii="Times New Roman" w:eastAsia="方正仿宋_GBK" w:cs="Times New Roman" w:hAnsi="Times New Roman"/>
          <w:sz w:val="32"/>
          <w:szCs w:val="32"/>
        </w:rPr>
      </w:pPr>
    </w:p>
    <w:p>
      <w:pPr>
        <w:autoSpaceDN w:val="0"/>
        <w:jc w:val="center"/>
        <w:rPr>
          <w:rFonts w:ascii="Times New Roman" w:cs="Times New Roman" w:hAnsi="Times New Roman"/>
          <w:b/>
          <w:bCs/>
          <w:sz w:val="84"/>
          <w:szCs w:val="84"/>
        </w:rPr>
      </w:pPr>
      <w:r>
        <w:rPr>
          <w:rFonts w:ascii="Times New Roman" w:hAnsi="Times New Roman" w:hint="eastAsia"/>
          <w:b/>
          <w:bCs/>
          <w:sz w:val="84"/>
          <w:szCs w:val="84"/>
        </w:rPr>
        <w:t>第五部分</w:t>
      </w:r>
    </w:p>
    <w:p>
      <w:pPr>
        <w:autoSpaceDN w:val="0"/>
        <w:jc w:val="center"/>
        <w:rPr>
          <w:rFonts w:ascii="Times New Roman" w:cs="Times New Roman" w:hAnsi="Times New Roman"/>
          <w:b/>
          <w:bCs/>
          <w:sz w:val="84"/>
          <w:szCs w:val="84"/>
        </w:rPr>
      </w:pPr>
      <w:r>
        <w:rPr>
          <w:rFonts w:ascii="Times New Roman" w:hAnsi="Times New Roman" w:hint="eastAsia"/>
          <w:b/>
          <w:bCs/>
          <w:sz w:val="84"/>
          <w:szCs w:val="84"/>
        </w:rPr>
        <w:t>附件</w:t>
      </w:r>
    </w:p>
    <w:p>
      <w:pPr>
        <w:autoSpaceDN w:val="0"/>
        <w:jc w:val="left"/>
        <w:rPr>
          <w:rFonts w:ascii="Times New Roman" w:eastAsia="方正仿宋_GBK" w:cs="Times New Roman" w:hAnsi="Times New Roman"/>
          <w:sz w:val="32"/>
          <w:szCs w:val="32"/>
        </w:rPr>
      </w:pPr>
    </w:p>
    <w:p>
      <w:pPr>
        <w:autoSpaceDN w:val="0"/>
        <w:jc w:val="left"/>
        <w:rPr>
          <w:rFonts w:ascii="Times New Roman" w:eastAsia="方正仿宋_GBK" w:cs="Times New Roman" w:hAnsi="Times New Roman"/>
          <w:sz w:val="32"/>
          <w:szCs w:val="32"/>
        </w:rPr>
      </w:pPr>
    </w:p>
    <w:p>
      <w:pPr>
        <w:autoSpaceDN w:val="0"/>
        <w:jc w:val="left"/>
        <w:rPr>
          <w:rFonts w:ascii="Times New Roman" w:eastAsia="方正仿宋_GBK" w:cs="Times New Roman" w:hAnsi="Times New Roman"/>
          <w:sz w:val="32"/>
          <w:szCs w:val="32"/>
        </w:rPr>
      </w:pPr>
    </w:p>
    <w:p>
      <w:pPr>
        <w:autoSpaceDN w:val="0"/>
        <w:jc w:val="left"/>
        <w:rPr>
          <w:rFonts w:ascii="Times New Roman" w:eastAsia="方正仿宋_GBK" w:cs="Times New Roman" w:hAnsi="Times New Roman"/>
          <w:sz w:val="32"/>
          <w:szCs w:val="32"/>
        </w:rPr>
      </w:pPr>
    </w:p>
    <w:p>
      <w:pPr>
        <w:autoSpaceDN w:val="0"/>
        <w:jc w:val="left"/>
        <w:rPr>
          <w:rFonts w:ascii="Times New Roman" w:eastAsia="方正仿宋_GBK" w:cs="Times New Roman" w:hAnsi="Times New Roman"/>
          <w:sz w:val="32"/>
          <w:szCs w:val="32"/>
        </w:rPr>
      </w:pPr>
    </w:p>
    <w:p>
      <w:pPr>
        <w:autoSpaceDN w:val="0"/>
        <w:jc w:val="left"/>
        <w:rPr>
          <w:rFonts w:ascii="Times New Roman" w:eastAsia="方正仿宋_GBK" w:cs="Times New Roman" w:hAnsi="Times New Roman"/>
          <w:sz w:val="32"/>
          <w:szCs w:val="32"/>
        </w:rPr>
      </w:pPr>
    </w:p>
    <w:p>
      <w:pPr>
        <w:autoSpaceDN w:val="0"/>
        <w:jc w:val="left"/>
        <w:rPr>
          <w:rFonts w:ascii="Times New Roman" w:eastAsia="方正仿宋_GBK" w:cs="Times New Roman" w:hAnsi="Times New Roman"/>
          <w:sz w:val="32"/>
          <w:szCs w:val="32"/>
        </w:rPr>
      </w:pPr>
    </w:p>
    <w:p>
      <w:pPr>
        <w:widowControl/>
        <w:jc w:val="left"/>
        <w:rPr>
          <w:rFonts w:ascii="宋体" w:cs="宋体"/>
          <w:kern w:val="0"/>
          <w:sz w:val="24"/>
          <w:szCs w:val="24"/>
        </w:rPr>
        <w:sectPr>
          <w:pgSz w:w="11906" w:h="16838"/>
          <w:pgMar w:top="1440" w:right="1800" w:bottom="1440" w:left="1800" w:header="851" w:footer="992" w:gutter="0"/>
          <w:docGrid w:type="lines" w:linePitch="312" w:charSpace="0"/>
        </w:sectPr>
      </w:pP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37"/>
        <w:gridCol w:w="1004"/>
        <w:gridCol w:w="1754"/>
        <w:gridCol w:w="815"/>
        <w:gridCol w:w="1754"/>
        <w:gridCol w:w="1756"/>
        <w:gridCol w:w="1002"/>
      </w:tblGrid>
      <w:tr>
        <w:trPr>
          <w:trHeight w:val="702"/>
        </w:trPr>
        <w:tc>
          <w:tcPr>
            <w:tcW w:w="8522" w:type="dxa"/>
            <w:gridSpan w:val="7"/>
            <w:tcBorders>
              <w:top w:val="nil"/>
              <w:left w:val="nil"/>
              <w:bottom w:val="nil"/>
              <w:right w:val="nil"/>
            </w:tcBorders>
            <w:shd w:val="clear" w:color="auto" w:fill="auto"/>
            <w:vAlign w:val="center"/>
          </w:tcPr>
          <w:p>
            <w:pPr>
              <w:widowControl/>
              <w:autoSpaceDN w:val="0"/>
              <w:jc w:val="center"/>
              <w:rPr>
                <w:rFonts w:ascii="黑体" w:eastAsia="黑体" w:cs="宋体"/>
                <w:kern w:val="0"/>
                <w:sz w:val="32"/>
                <w:szCs w:val="32"/>
              </w:rPr>
            </w:pPr>
            <w:r>
              <w:rPr>
                <w:rFonts w:ascii="黑体" w:eastAsia="黑体" w:cs="宋体" w:hint="eastAsia"/>
                <w:kern w:val="0"/>
                <w:sz w:val="32"/>
                <w:szCs w:val="32"/>
              </w:rPr>
              <w:t>绩效目标表</w:t>
            </w:r>
          </w:p>
        </w:tc>
      </w:tr>
      <w:tr>
        <w:trPr>
          <w:trHeight w:val="499"/>
        </w:trPr>
        <w:tc>
          <w:tcPr>
            <w:tcW w:w="8522" w:type="dxa"/>
            <w:gridSpan w:val="7"/>
            <w:tcBorders>
              <w:top w:val="nil"/>
              <w:left w:val="nil"/>
              <w:bottom w:val="nil"/>
              <w:right w:val="nil"/>
            </w:tcBorders>
            <w:shd w:val="clear" w:color="auto" w:fill="auto"/>
          </w:tcPr>
          <w:p>
            <w:pPr>
              <w:widowControl/>
              <w:autoSpaceDN w:val="0"/>
              <w:jc w:val="center"/>
              <w:rPr>
                <w:rFonts w:ascii="宋体" w:cs="宋体"/>
                <w:kern w:val="0"/>
                <w:sz w:val="24"/>
                <w:szCs w:val="24"/>
              </w:rPr>
            </w:pPr>
            <w:r>
              <w:rPr>
                <w:rFonts w:ascii="宋体" w:cs="宋体" w:hint="eastAsia"/>
                <w:kern w:val="0"/>
                <w:sz w:val="24"/>
                <w:szCs w:val="24"/>
              </w:rPr>
              <w:t>（2024年度）</w:t>
            </w:r>
          </w:p>
        </w:tc>
      </w:tr>
      <w:tr>
        <w:trPr>
          <w:trHeight w:val="439"/>
        </w:trPr>
        <w:tc>
          <w:tcPr>
            <w:tcW w:w="14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项目名称</w:t>
            </w:r>
          </w:p>
        </w:tc>
        <w:tc>
          <w:tcPr>
            <w:tcW w:w="7081" w:type="dxa"/>
            <w:gridSpan w:val="5"/>
            <w:tcBorders>
              <w:top w:val="single" w:sz="4" w:space="0" w:color="auto"/>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国门生物安全专项</w:t>
            </w:r>
          </w:p>
        </w:tc>
      </w:tr>
      <w:tr>
        <w:trPr>
          <w:trHeight w:val="439"/>
        </w:trPr>
        <w:tc>
          <w:tcPr>
            <w:tcW w:w="144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主管部门及代码</w:t>
            </w: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[167]海关总署</w:t>
            </w:r>
          </w:p>
        </w:tc>
        <w:tc>
          <w:tcPr>
            <w:tcW w:w="1754"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实施单位</w:t>
            </w:r>
          </w:p>
        </w:tc>
        <w:tc>
          <w:tcPr>
            <w:tcW w:w="2758" w:type="dxa"/>
            <w:gridSpan w:val="2"/>
            <w:tcBorders>
              <w:top w:val="single" w:sz="4" w:space="0" w:color="auto"/>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中华人民共和国鄂尔多斯海关</w:t>
            </w:r>
          </w:p>
        </w:tc>
      </w:tr>
      <w:tr>
        <w:trPr>
          <w:trHeight w:val="439"/>
        </w:trPr>
        <w:tc>
          <w:tcPr>
            <w:tcW w:w="1441"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项目资金</w:t>
              <w:br/>
              <w:t>（万元）</w:t>
            </w: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jc w:val="left"/>
              <w:rPr>
                <w:rFonts w:ascii="宋体" w:cs="宋体"/>
                <w:kern w:val="0"/>
                <w:sz w:val="22"/>
              </w:rPr>
            </w:pPr>
            <w:r>
              <w:rPr>
                <w:rFonts w:ascii="宋体" w:cs="宋体" w:hint="eastAsia"/>
                <w:kern w:val="0"/>
                <w:sz w:val="22"/>
              </w:rPr>
              <w:t>年度资金总额：</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right"/>
              <w:rPr>
                <w:rFonts w:ascii="宋体" w:cs="宋体"/>
                <w:kern w:val="0"/>
                <w:sz w:val="22"/>
              </w:rPr>
            </w:pPr>
            <w:r>
              <w:rPr>
                <w:rFonts w:ascii="宋体" w:cs="宋体" w:hint="eastAsia"/>
                <w:kern w:val="0"/>
                <w:sz w:val="22"/>
              </w:rPr>
              <w:t xml:space="preserve"> 2.00 </w:t>
            </w:r>
          </w:p>
        </w:tc>
        <w:tc>
          <w:tcPr>
            <w:tcW w:w="1002" w:type="dxa"/>
            <w:vMerge w:val="restart"/>
            <w:tcBorders>
              <w:top w:val="nil"/>
              <w:left w:val="single" w:sz="4" w:space="0" w:color="auto"/>
              <w:bottom w:val="single" w:sz="4" w:space="0" w:color="000000"/>
              <w:right w:val="single" w:sz="4" w:space="0" w:color="auto"/>
            </w:tcBorders>
            <w:shd w:val="clear" w:color="auto" w:fill="C7EDCC"/>
            <w:vAlign w:val="center"/>
          </w:tcPr>
          <w:p>
            <w:pPr>
              <w:widowControl/>
              <w:autoSpaceDN w:val="0"/>
              <w:jc w:val="center"/>
              <w:rPr>
                <w:rFonts w:ascii="宋体" w:cs="宋体"/>
                <w:kern w:val="0"/>
                <w:sz w:val="22"/>
              </w:rPr>
            </w:pPr>
            <w:r>
              <w:rPr>
                <w:rFonts w:ascii="宋体" w:cs="宋体" w:hint="eastAsia"/>
                <w:kern w:val="0"/>
                <w:sz w:val="22"/>
              </w:rPr>
              <w:t>执行率</w:t>
              <w:br/>
              <w:t>分值（10）</w:t>
            </w:r>
          </w:p>
        </w:tc>
      </w:tr>
      <w:tr>
        <w:trPr>
          <w:trHeight w:val="439"/>
        </w:trPr>
        <w:tc>
          <w:tcPr>
            <w:tcW w:w="1441"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其中：财政拨款</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right"/>
              <w:rPr>
                <w:rFonts w:ascii="宋体" w:cs="宋体"/>
                <w:kern w:val="0"/>
                <w:sz w:val="22"/>
              </w:rPr>
            </w:pPr>
            <w:r>
              <w:rPr>
                <w:rFonts w:ascii="宋体" w:cs="宋体" w:hint="eastAsia"/>
                <w:kern w:val="0"/>
                <w:sz w:val="22"/>
              </w:rPr>
              <w:t xml:space="preserve"> 2.00 </w:t>
            </w:r>
          </w:p>
        </w:tc>
        <w:tc>
          <w:tcPr>
            <w:tcW w:w="1002" w:type="dxa"/>
            <w:vMerge/>
            <w:tcBorders>
              <w:top w:val="nil"/>
              <w:left w:val="single" w:sz="4" w:space="0" w:color="auto"/>
              <w:bottom w:val="single" w:sz="4" w:space="0" w:color="000000"/>
              <w:right w:val="single" w:sz="4" w:space="0" w:color="auto"/>
            </w:tcBorders>
            <w:vAlign w:val="center"/>
          </w:tcPr>
          <w:p/>
        </w:tc>
      </w:tr>
      <w:tr>
        <w:trPr>
          <w:trHeight w:val="439"/>
        </w:trPr>
        <w:tc>
          <w:tcPr>
            <w:tcW w:w="1441"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上年结转</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right"/>
              <w:rPr>
                <w:rFonts w:ascii="宋体" w:cs="宋体"/>
                <w:kern w:val="0"/>
                <w:sz w:val="22"/>
              </w:rPr>
            </w:pPr>
            <w:r>
              <w:rPr>
                <w:rFonts w:ascii="宋体" w:cs="宋体" w:hint="eastAsia"/>
                <w:kern w:val="0"/>
                <w:sz w:val="22"/>
              </w:rPr>
              <w:t xml:space="preserve"> - </w:t>
            </w:r>
          </w:p>
        </w:tc>
        <w:tc>
          <w:tcPr>
            <w:tcW w:w="1002" w:type="dxa"/>
            <w:vMerge/>
            <w:tcBorders>
              <w:top w:val="nil"/>
              <w:left w:val="single" w:sz="4" w:space="0" w:color="auto"/>
              <w:bottom w:val="single" w:sz="4" w:space="0" w:color="000000"/>
              <w:right w:val="single" w:sz="4" w:space="0" w:color="auto"/>
            </w:tcBorders>
            <w:vAlign w:val="center"/>
          </w:tcPr>
          <w:p/>
        </w:tc>
      </w:tr>
      <w:tr>
        <w:trPr>
          <w:trHeight w:val="439"/>
        </w:trPr>
        <w:tc>
          <w:tcPr>
            <w:tcW w:w="1441"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其他资金</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right"/>
              <w:rPr>
                <w:rFonts w:ascii="宋体" w:cs="宋体"/>
                <w:kern w:val="0"/>
                <w:sz w:val="22"/>
              </w:rPr>
            </w:pPr>
            <w:r>
              <w:rPr>
                <w:rFonts w:ascii="宋体" w:cs="宋体" w:hint="eastAsia"/>
                <w:kern w:val="0"/>
                <w:sz w:val="22"/>
              </w:rPr>
              <w:t xml:space="preserve"> - </w:t>
            </w:r>
          </w:p>
        </w:tc>
        <w:tc>
          <w:tcPr>
            <w:tcW w:w="1002" w:type="dxa"/>
            <w:vMerge/>
            <w:tcBorders>
              <w:top w:val="nil"/>
              <w:left w:val="single" w:sz="4" w:space="0" w:color="auto"/>
              <w:bottom w:val="single" w:sz="4" w:space="0" w:color="000000"/>
              <w:right w:val="single" w:sz="4" w:space="0" w:color="auto"/>
            </w:tcBorders>
            <w:vAlign w:val="center"/>
          </w:tcPr>
          <w:p/>
        </w:tc>
      </w:tr>
      <w:tr>
        <w:trPr>
          <w:trHeight w:val="1782"/>
        </w:trPr>
        <w:tc>
          <w:tcPr>
            <w:tcW w:w="437" w:type="dxa"/>
            <w:tcBorders>
              <w:top w:val="nil"/>
              <w:left w:val="single" w:sz="4" w:space="0" w:color="auto"/>
              <w:bottom w:val="nil"/>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年</w:t>
              <w:br/>
              <w:t>度</w:t>
              <w:br/>
              <w:t>总</w:t>
              <w:br/>
              <w:t>体</w:t>
              <w:br/>
              <w:t>目</w:t>
              <w:br/>
              <w:t>标</w:t>
            </w:r>
          </w:p>
        </w:tc>
        <w:tc>
          <w:tcPr>
            <w:tcW w:w="8085" w:type="dxa"/>
            <w:gridSpan w:val="6"/>
            <w:tcBorders>
              <w:top w:val="single" w:sz="4" w:space="0" w:color="auto"/>
              <w:left w:val="nil"/>
              <w:bottom w:val="single" w:sz="4" w:space="0" w:color="auto"/>
              <w:right w:val="single" w:sz="4" w:space="0" w:color="auto"/>
            </w:tcBorders>
            <w:shd w:val="clear" w:color="auto" w:fill="auto"/>
            <w:vAlign w:val="center"/>
          </w:tcPr>
          <w:p>
            <w:pPr>
              <w:widowControl/>
              <w:autoSpaceDN w:val="0"/>
              <w:rPr>
                <w:rFonts w:ascii="宋体" w:cs="宋体"/>
                <w:kern w:val="0"/>
                <w:sz w:val="22"/>
              </w:rPr>
            </w:pPr>
            <w:r>
              <w:rPr>
                <w:rFonts w:ascii="宋体" w:cs="宋体" w:hint="eastAsia"/>
                <w:kern w:val="0"/>
                <w:sz w:val="22"/>
              </w:rPr>
              <w:t>目标1：巩固动植物疫病疫情防控能力基础，完成外来动植物疫病检测常规工作任务，保障国门生物安全；</w:t>
              <w:br/>
              <w:t>目标2：对境内外动植物疫病疫情风险进行监控，防范输入型疫病疫情传入传出；</w:t>
              <w:br/>
              <w:t>目标3：对动植物疫病疫情防控相关知识进行普及性宣传，提高人民群众防范动植物疫病疫情的意识。</w:t>
            </w:r>
          </w:p>
        </w:tc>
      </w:tr>
      <w:tr>
        <w:trPr>
          <w:trHeight w:val="600"/>
        </w:trPr>
        <w:tc>
          <w:tcPr>
            <w:tcW w:w="43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绩</w:t>
              <w:br/>
              <w:t>效</w:t>
              <w:br/>
              <w:t>指</w:t>
              <w:br/>
              <w:t>标</w:t>
            </w:r>
          </w:p>
        </w:tc>
        <w:tc>
          <w:tcPr>
            <w:tcW w:w="1004"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宋体" w:cs="宋体"/>
                <w:kern w:val="0"/>
                <w:sz w:val="22"/>
              </w:rPr>
            </w:pPr>
            <w:r>
              <w:rPr>
                <w:rFonts w:ascii="宋体" w:cs="宋体" w:hint="eastAsia"/>
                <w:kern w:val="0"/>
                <w:sz w:val="22"/>
              </w:rPr>
              <w:t>一级</w:t>
              <w:br/>
              <w:t>指标</w:t>
            </w:r>
          </w:p>
        </w:tc>
        <w:tc>
          <w:tcPr>
            <w:tcW w:w="175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二级指标</w:t>
            </w:r>
          </w:p>
        </w:tc>
        <w:tc>
          <w:tcPr>
            <w:tcW w:w="2569" w:type="dxa"/>
            <w:gridSpan w:val="2"/>
            <w:tcBorders>
              <w:top w:val="single" w:sz="4" w:space="0" w:color="auto"/>
              <w:left w:val="nil"/>
              <w:bottom w:val="single" w:sz="4" w:space="0" w:color="auto"/>
              <w:right w:val="single" w:sz="4" w:space="0" w:color="000000"/>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三级指标</w:t>
            </w:r>
          </w:p>
        </w:tc>
        <w:tc>
          <w:tcPr>
            <w:tcW w:w="1756"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指标值</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分值</w:t>
              <w:br/>
              <w:t>（90）</w:t>
            </w:r>
          </w:p>
        </w:tc>
      </w:tr>
      <w:tr>
        <w:trPr>
          <w:trHeight w:val="439"/>
        </w:trPr>
        <w:tc>
          <w:tcPr>
            <w:tcW w:w="437"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val="restart"/>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产出指标</w:t>
            </w:r>
          </w:p>
        </w:tc>
        <w:tc>
          <w:tcPr>
            <w:tcW w:w="175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数量指标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rPr>
                <w:rFonts w:ascii="宋体" w:cs="宋体"/>
                <w:kern w:val="0"/>
                <w:sz w:val="22"/>
              </w:rPr>
            </w:pPr>
            <w:r>
              <w:rPr>
                <w:rFonts w:ascii="宋体" w:cs="宋体" w:hint="eastAsia"/>
                <w:kern w:val="0"/>
                <w:sz w:val="22"/>
              </w:rPr>
              <w:t>国门生物安全监测点</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≥2个</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30</w:t>
            </w:r>
          </w:p>
        </w:tc>
      </w:tr>
      <w:tr>
        <w:trPr>
          <w:trHeight w:val="439"/>
        </w:trPr>
        <w:tc>
          <w:tcPr>
            <w:tcW w:w="437"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val="restart"/>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质量指标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rPr>
                <w:rFonts w:ascii="宋体" w:cs="宋体"/>
                <w:kern w:val="0"/>
                <w:sz w:val="22"/>
              </w:rPr>
            </w:pPr>
            <w:r>
              <w:rPr>
                <w:rFonts w:ascii="宋体" w:cs="宋体" w:hint="eastAsia"/>
                <w:kern w:val="0"/>
                <w:sz w:val="22"/>
              </w:rPr>
              <w:t>国门生物监测设施使用率</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≥90%</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5</w:t>
            </w:r>
          </w:p>
        </w:tc>
      </w:tr>
      <w:tr>
        <w:trPr>
          <w:trHeight w:val="439"/>
        </w:trPr>
        <w:tc>
          <w:tcPr>
            <w:tcW w:w="437"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rPr>
                <w:rFonts w:ascii="宋体" w:cs="宋体"/>
                <w:kern w:val="0"/>
                <w:sz w:val="22"/>
              </w:rPr>
            </w:pPr>
            <w:r>
              <w:rPr>
                <w:rFonts w:ascii="宋体" w:cs="宋体" w:hint="eastAsia"/>
                <w:kern w:val="0"/>
                <w:sz w:val="22"/>
              </w:rPr>
              <w:t>外来有害生物监测计划完成率</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≥95%</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5</w:t>
            </w:r>
          </w:p>
        </w:tc>
      </w:tr>
      <w:tr>
        <w:trPr>
          <w:trHeight w:val="439"/>
        </w:trPr>
        <w:tc>
          <w:tcPr>
            <w:tcW w:w="437"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rPr>
                <w:rFonts w:ascii="宋体" w:cs="宋体"/>
                <w:kern w:val="0"/>
                <w:sz w:val="22"/>
              </w:rPr>
            </w:pPr>
            <w:r>
              <w:rPr>
                <w:rFonts w:ascii="宋体" w:cs="宋体" w:hint="eastAsia"/>
                <w:kern w:val="0"/>
                <w:sz w:val="22"/>
              </w:rPr>
              <w:t>进出境动物疫病监测计划完成率</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≥95%</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5</w:t>
            </w:r>
          </w:p>
        </w:tc>
      </w:tr>
      <w:tr>
        <w:trPr>
          <w:trHeight w:val="439"/>
        </w:trPr>
        <w:tc>
          <w:tcPr>
            <w:tcW w:w="437"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rPr>
                <w:rFonts w:ascii="宋体" w:cs="宋体"/>
                <w:kern w:val="0"/>
                <w:sz w:val="22"/>
              </w:rPr>
            </w:pPr>
            <w:r>
              <w:rPr>
                <w:rFonts w:ascii="宋体" w:cs="宋体" w:hint="eastAsia"/>
                <w:kern w:val="0"/>
                <w:sz w:val="22"/>
              </w:rPr>
              <w:t>进出口食用农产品和饲料安全风险监控计划完成率</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≥95%</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5</w:t>
            </w:r>
          </w:p>
        </w:tc>
      </w:tr>
      <w:tr>
        <w:trPr>
          <w:trHeight w:val="439"/>
        </w:trPr>
        <w:tc>
          <w:tcPr>
            <w:tcW w:w="437" w:type="dxa"/>
            <w:vMerge/>
            <w:tcBorders>
              <w:top w:val="single" w:sz="4" w:space="0" w:color="auto"/>
              <w:left w:val="single" w:sz="4" w:space="0" w:color="auto"/>
              <w:bottom w:val="single" w:sz="4" w:space="0" w:color="000000"/>
              <w:right w:val="single" w:sz="4" w:space="0" w:color="auto"/>
            </w:tcBorders>
            <w:vAlign w:val="center"/>
          </w:tcPr>
          <w:p/>
        </w:tc>
        <w:tc>
          <w:tcPr>
            <w:tcW w:w="100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效益指标</w:t>
            </w:r>
          </w:p>
        </w:tc>
        <w:tc>
          <w:tcPr>
            <w:tcW w:w="175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社会效益指标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rPr>
                <w:rFonts w:ascii="宋体" w:cs="宋体"/>
                <w:kern w:val="0"/>
                <w:sz w:val="22"/>
              </w:rPr>
            </w:pPr>
            <w:r>
              <w:rPr>
                <w:rFonts w:ascii="宋体" w:cs="宋体" w:hint="eastAsia"/>
                <w:kern w:val="0"/>
                <w:sz w:val="22"/>
              </w:rPr>
              <w:t>普及人民群众动植物疫病疫情防控常识与提高防控意识</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是</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30</w:t>
            </w:r>
          </w:p>
        </w:tc>
      </w:tr>
      <w:tr>
        <w:trPr>
          <w:trHeight w:val="439"/>
        </w:trPr>
        <w:tc>
          <w:tcPr>
            <w:tcW w:w="437" w:type="dxa"/>
            <w:vMerge/>
            <w:tcBorders>
              <w:top w:val="single" w:sz="4" w:space="0" w:color="auto"/>
              <w:left w:val="single" w:sz="4" w:space="0" w:color="auto"/>
              <w:bottom w:val="single" w:sz="4" w:space="0" w:color="000000"/>
              <w:right w:val="single" w:sz="4" w:space="0" w:color="auto"/>
            </w:tcBorders>
            <w:vAlign w:val="center"/>
          </w:tcPr>
          <w:p/>
        </w:tc>
        <w:tc>
          <w:tcPr>
            <w:tcW w:w="100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满意度指标</w:t>
            </w:r>
          </w:p>
        </w:tc>
        <w:tc>
          <w:tcPr>
            <w:tcW w:w="175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服务对象满意度指标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rPr>
                <w:rFonts w:ascii="宋体" w:cs="宋体"/>
                <w:kern w:val="0"/>
                <w:sz w:val="22"/>
              </w:rPr>
            </w:pPr>
            <w:r>
              <w:rPr>
                <w:rFonts w:ascii="宋体" w:cs="宋体" w:hint="eastAsia"/>
                <w:kern w:val="0"/>
                <w:sz w:val="22"/>
              </w:rPr>
              <w:t>群众对国门生物安全保障满意度</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≥95%</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10</w:t>
            </w:r>
          </w:p>
        </w:tc>
      </w:tr>
    </w:tbl>
    <w:p>
      <w:pPr>
        <w:widowControl/>
        <w:jc w:val="left"/>
        <w:rPr>
          <w:rFonts w:ascii="宋体" w:cs="宋体"/>
          <w:kern w:val="0"/>
          <w:sz w:val="24"/>
          <w:szCs w:val="24"/>
        </w:rPr>
        <w:sectPr>
          <w:pgSz w:w="11906" w:h="16838"/>
          <w:pgMar w:top="1440" w:right="1800" w:bottom="1440" w:left="1800" w:header="851" w:footer="992" w:gutter="0"/>
          <w:docGrid w:type="lines" w:linePitch="312" w:charSpace="0"/>
        </w:sectPr>
      </w:pP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38"/>
        <w:gridCol w:w="1004"/>
        <w:gridCol w:w="1754"/>
        <w:gridCol w:w="815"/>
        <w:gridCol w:w="1754"/>
        <w:gridCol w:w="1756"/>
        <w:gridCol w:w="1002"/>
      </w:tblGrid>
      <w:tr>
        <w:trPr>
          <w:trHeight w:val="702"/>
        </w:trPr>
        <w:tc>
          <w:tcPr>
            <w:tcW w:w="8523" w:type="dxa"/>
            <w:gridSpan w:val="7"/>
            <w:tcBorders>
              <w:top w:val="nil"/>
              <w:left w:val="nil"/>
              <w:bottom w:val="nil"/>
              <w:right w:val="nil"/>
            </w:tcBorders>
            <w:shd w:val="clear" w:color="auto" w:fill="auto"/>
            <w:vAlign w:val="center"/>
          </w:tcPr>
          <w:p>
            <w:pPr>
              <w:widowControl/>
              <w:autoSpaceDN w:val="0"/>
              <w:jc w:val="center"/>
              <w:rPr>
                <w:rFonts w:ascii="黑体" w:eastAsia="黑体" w:cs="宋体"/>
                <w:kern w:val="0"/>
                <w:sz w:val="32"/>
                <w:szCs w:val="32"/>
              </w:rPr>
            </w:pPr>
            <w:r>
              <w:rPr>
                <w:rFonts w:ascii="黑体" w:eastAsia="黑体" w:cs="宋体" w:hint="eastAsia"/>
                <w:kern w:val="0"/>
                <w:sz w:val="32"/>
                <w:szCs w:val="32"/>
              </w:rPr>
              <w:t>绩效目标表</w:t>
            </w:r>
          </w:p>
        </w:tc>
      </w:tr>
      <w:tr>
        <w:trPr>
          <w:trHeight w:val="499"/>
        </w:trPr>
        <w:tc>
          <w:tcPr>
            <w:tcW w:w="8523" w:type="dxa"/>
            <w:gridSpan w:val="7"/>
            <w:tcBorders>
              <w:top w:val="nil"/>
              <w:left w:val="nil"/>
              <w:bottom w:val="single" w:sz="4" w:space="0" w:color="auto"/>
              <w:right w:val="nil"/>
            </w:tcBorders>
            <w:shd w:val="clear" w:color="auto" w:fill="auto"/>
          </w:tcPr>
          <w:p>
            <w:pPr>
              <w:widowControl/>
              <w:autoSpaceDN w:val="0"/>
              <w:jc w:val="center"/>
              <w:rPr>
                <w:rFonts w:ascii="宋体" w:cs="宋体"/>
                <w:kern w:val="0"/>
                <w:sz w:val="24"/>
                <w:szCs w:val="24"/>
              </w:rPr>
            </w:pPr>
            <w:r>
              <w:rPr>
                <w:rFonts w:ascii="宋体" w:cs="宋体" w:hint="eastAsia"/>
                <w:kern w:val="0"/>
                <w:sz w:val="24"/>
                <w:szCs w:val="24"/>
              </w:rPr>
              <w:t>（2024年度）</w:t>
            </w:r>
          </w:p>
        </w:tc>
      </w:tr>
      <w:tr>
        <w:trPr>
          <w:trHeight w:val="439"/>
        </w:trPr>
        <w:tc>
          <w:tcPr>
            <w:tcW w:w="1442"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项目名称</w:t>
            </w:r>
          </w:p>
        </w:tc>
        <w:tc>
          <w:tcPr>
            <w:tcW w:w="7081" w:type="dxa"/>
            <w:gridSpan w:val="5"/>
            <w:tcBorders>
              <w:top w:val="single" w:sz="4" w:space="0" w:color="auto"/>
              <w:left w:val="nil"/>
              <w:bottom w:val="single" w:sz="4" w:space="0" w:color="auto"/>
              <w:right w:val="single" w:sz="4" w:space="0" w:color="000000"/>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进出口商品质量安全检验监管专项</w:t>
            </w:r>
          </w:p>
        </w:tc>
      </w:tr>
      <w:tr>
        <w:trPr>
          <w:trHeight w:val="439"/>
        </w:trPr>
        <w:tc>
          <w:tcPr>
            <w:tcW w:w="1442"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主管部门及代码</w:t>
            </w:r>
          </w:p>
        </w:tc>
        <w:tc>
          <w:tcPr>
            <w:tcW w:w="2569" w:type="dxa"/>
            <w:gridSpan w:val="2"/>
            <w:tcBorders>
              <w:top w:val="single" w:sz="4" w:space="0" w:color="auto"/>
              <w:left w:val="nil"/>
              <w:bottom w:val="single" w:sz="4" w:space="0" w:color="auto"/>
              <w:right w:val="single" w:sz="4" w:space="0" w:color="000000"/>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[167]海关总署</w:t>
            </w:r>
          </w:p>
        </w:tc>
        <w:tc>
          <w:tcPr>
            <w:tcW w:w="175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实施单位</w:t>
            </w:r>
          </w:p>
        </w:tc>
        <w:tc>
          <w:tcPr>
            <w:tcW w:w="2758" w:type="dxa"/>
            <w:gridSpan w:val="2"/>
            <w:tcBorders>
              <w:top w:val="single" w:sz="4" w:space="0" w:color="auto"/>
              <w:left w:val="nil"/>
              <w:bottom w:val="single" w:sz="4" w:space="0" w:color="auto"/>
              <w:right w:val="single" w:sz="4" w:space="0" w:color="000000"/>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中华人民共和国鄂尔多斯海关</w:t>
            </w:r>
          </w:p>
        </w:tc>
      </w:tr>
      <w:tr>
        <w:trPr>
          <w:trHeight w:val="439"/>
        </w:trPr>
        <w:tc>
          <w:tcPr>
            <w:tcW w:w="1442"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项目资金</w:t>
              <w:br/>
              <w:t>（万元）</w:t>
            </w:r>
          </w:p>
        </w:tc>
        <w:tc>
          <w:tcPr>
            <w:tcW w:w="2569" w:type="dxa"/>
            <w:gridSpan w:val="2"/>
            <w:tcBorders>
              <w:top w:val="single" w:sz="4" w:space="0" w:color="auto"/>
              <w:left w:val="nil"/>
              <w:bottom w:val="single" w:sz="4" w:space="0" w:color="auto"/>
              <w:right w:val="single" w:sz="4" w:space="0" w:color="000000"/>
            </w:tcBorders>
            <w:shd w:val="clear" w:color="auto" w:fill="auto"/>
            <w:vAlign w:val="center"/>
          </w:tcPr>
          <w:p>
            <w:pPr>
              <w:widowControl/>
              <w:autoSpaceDN w:val="0"/>
              <w:jc w:val="left"/>
              <w:rPr>
                <w:rFonts w:ascii="宋体" w:cs="宋体"/>
                <w:kern w:val="0"/>
                <w:sz w:val="22"/>
              </w:rPr>
            </w:pPr>
            <w:r>
              <w:rPr>
                <w:rFonts w:ascii="宋体" w:cs="宋体" w:hint="eastAsia"/>
                <w:kern w:val="0"/>
                <w:sz w:val="22"/>
              </w:rPr>
              <w:t>年度资金总额：</w:t>
            </w:r>
          </w:p>
        </w:tc>
        <w:tc>
          <w:tcPr>
            <w:tcW w:w="3510" w:type="dxa"/>
            <w:gridSpan w:val="2"/>
            <w:tcBorders>
              <w:top w:val="single" w:sz="4" w:space="0" w:color="auto"/>
              <w:left w:val="nil"/>
              <w:bottom w:val="single" w:sz="4" w:space="0" w:color="auto"/>
              <w:right w:val="single" w:sz="4" w:space="0" w:color="000000"/>
            </w:tcBorders>
            <w:shd w:val="clear" w:color="auto" w:fill="auto"/>
            <w:vAlign w:val="center"/>
          </w:tcPr>
          <w:p>
            <w:pPr>
              <w:widowControl/>
              <w:autoSpaceDN w:val="0"/>
              <w:jc w:val="right"/>
              <w:rPr>
                <w:rFonts w:ascii="宋体" w:cs="宋体"/>
                <w:kern w:val="0"/>
                <w:sz w:val="22"/>
              </w:rPr>
            </w:pPr>
            <w:r>
              <w:rPr>
                <w:rFonts w:ascii="宋体" w:cs="宋体" w:hint="eastAsia"/>
                <w:kern w:val="0"/>
                <w:sz w:val="22"/>
              </w:rPr>
              <w:t xml:space="preserve"> 3.00 </w:t>
            </w:r>
          </w:p>
        </w:tc>
        <w:tc>
          <w:tcPr>
            <w:tcW w:w="1002" w:type="dxa"/>
            <w:vMerge w:val="restart"/>
            <w:tcBorders>
              <w:top w:val="nil"/>
              <w:left w:val="single" w:sz="4" w:space="0" w:color="auto"/>
              <w:bottom w:val="single" w:sz="4" w:space="0" w:color="000000"/>
              <w:right w:val="single" w:sz="4" w:space="0" w:color="auto"/>
            </w:tcBorders>
            <w:shd w:val="clear" w:color="auto" w:fill="C7EDCC"/>
            <w:vAlign w:val="center"/>
          </w:tcPr>
          <w:p>
            <w:pPr>
              <w:widowControl/>
              <w:autoSpaceDN w:val="0"/>
              <w:jc w:val="center"/>
              <w:rPr>
                <w:rFonts w:ascii="宋体" w:cs="宋体"/>
                <w:kern w:val="0"/>
                <w:sz w:val="22"/>
              </w:rPr>
            </w:pPr>
            <w:r>
              <w:rPr>
                <w:rFonts w:ascii="宋体" w:cs="宋体" w:hint="eastAsia"/>
                <w:kern w:val="0"/>
                <w:sz w:val="22"/>
              </w:rPr>
              <w:t>执行率</w:t>
              <w:br/>
              <w:t>分值（10）</w:t>
            </w: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single" w:sz="4" w:space="0" w:color="000000"/>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其中：财政拨款</w:t>
            </w:r>
          </w:p>
        </w:tc>
        <w:tc>
          <w:tcPr>
            <w:tcW w:w="3510" w:type="dxa"/>
            <w:gridSpan w:val="2"/>
            <w:tcBorders>
              <w:top w:val="single" w:sz="4" w:space="0" w:color="auto"/>
              <w:left w:val="nil"/>
              <w:bottom w:val="single" w:sz="4" w:space="0" w:color="auto"/>
              <w:right w:val="single" w:sz="4" w:space="0" w:color="000000"/>
            </w:tcBorders>
            <w:shd w:val="clear" w:color="auto" w:fill="auto"/>
            <w:vAlign w:val="center"/>
          </w:tcPr>
          <w:p>
            <w:pPr>
              <w:widowControl/>
              <w:autoSpaceDN w:val="0"/>
              <w:jc w:val="right"/>
              <w:rPr>
                <w:rFonts w:ascii="宋体" w:cs="宋体"/>
                <w:kern w:val="0"/>
                <w:sz w:val="22"/>
              </w:rPr>
            </w:pPr>
            <w:r>
              <w:rPr>
                <w:rFonts w:ascii="宋体" w:cs="宋体" w:hint="eastAsia"/>
                <w:kern w:val="0"/>
                <w:sz w:val="22"/>
              </w:rPr>
              <w:t xml:space="preserve"> 3.00 </w:t>
            </w:r>
          </w:p>
        </w:tc>
        <w:tc>
          <w:tcPr>
            <w:tcW w:w="1002" w:type="dxa"/>
            <w:vMerge/>
            <w:tcBorders>
              <w:top w:val="nil"/>
              <w:left w:val="single" w:sz="4" w:space="0" w:color="auto"/>
              <w:bottom w:val="single" w:sz="4" w:space="0" w:color="000000"/>
              <w:right w:val="single" w:sz="4" w:space="0" w:color="auto"/>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single" w:sz="4" w:space="0" w:color="000000"/>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上年结转</w:t>
            </w:r>
          </w:p>
        </w:tc>
        <w:tc>
          <w:tcPr>
            <w:tcW w:w="3510" w:type="dxa"/>
            <w:gridSpan w:val="2"/>
            <w:tcBorders>
              <w:top w:val="single" w:sz="4" w:space="0" w:color="auto"/>
              <w:left w:val="nil"/>
              <w:bottom w:val="single" w:sz="4" w:space="0" w:color="auto"/>
              <w:right w:val="single" w:sz="4" w:space="0" w:color="000000"/>
            </w:tcBorders>
            <w:shd w:val="clear" w:color="auto" w:fill="auto"/>
            <w:vAlign w:val="center"/>
          </w:tcPr>
          <w:p>
            <w:pPr>
              <w:widowControl/>
              <w:autoSpaceDN w:val="0"/>
              <w:jc w:val="right"/>
              <w:rPr>
                <w:rFonts w:ascii="宋体" w:cs="宋体"/>
                <w:kern w:val="0"/>
                <w:sz w:val="22"/>
              </w:rPr>
            </w:pPr>
            <w:r>
              <w:rPr>
                <w:rFonts w:ascii="宋体" w:cs="宋体" w:hint="eastAsia"/>
                <w:kern w:val="0"/>
                <w:sz w:val="22"/>
              </w:rPr>
              <w:t xml:space="preserve"> - </w:t>
            </w:r>
          </w:p>
        </w:tc>
        <w:tc>
          <w:tcPr>
            <w:tcW w:w="1002" w:type="dxa"/>
            <w:vMerge/>
            <w:tcBorders>
              <w:top w:val="nil"/>
              <w:left w:val="single" w:sz="4" w:space="0" w:color="auto"/>
              <w:bottom w:val="single" w:sz="4" w:space="0" w:color="000000"/>
              <w:right w:val="single" w:sz="4" w:space="0" w:color="auto"/>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single" w:sz="4" w:space="0" w:color="000000"/>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其他资金</w:t>
            </w:r>
          </w:p>
        </w:tc>
        <w:tc>
          <w:tcPr>
            <w:tcW w:w="3510" w:type="dxa"/>
            <w:gridSpan w:val="2"/>
            <w:tcBorders>
              <w:top w:val="single" w:sz="4" w:space="0" w:color="auto"/>
              <w:left w:val="nil"/>
              <w:bottom w:val="single" w:sz="4" w:space="0" w:color="auto"/>
              <w:right w:val="single" w:sz="4" w:space="0" w:color="000000"/>
            </w:tcBorders>
            <w:shd w:val="clear" w:color="auto" w:fill="auto"/>
            <w:vAlign w:val="center"/>
          </w:tcPr>
          <w:p>
            <w:pPr>
              <w:widowControl/>
              <w:autoSpaceDN w:val="0"/>
              <w:jc w:val="right"/>
              <w:rPr>
                <w:rFonts w:ascii="宋体" w:cs="宋体"/>
                <w:kern w:val="0"/>
                <w:sz w:val="22"/>
              </w:rPr>
            </w:pPr>
            <w:r>
              <w:rPr>
                <w:rFonts w:ascii="宋体" w:cs="宋体" w:hint="eastAsia"/>
                <w:kern w:val="0"/>
                <w:sz w:val="22"/>
              </w:rPr>
              <w:t xml:space="preserve"> - </w:t>
            </w:r>
          </w:p>
        </w:tc>
        <w:tc>
          <w:tcPr>
            <w:tcW w:w="1002" w:type="dxa"/>
            <w:vMerge/>
            <w:tcBorders>
              <w:top w:val="nil"/>
              <w:left w:val="single" w:sz="4" w:space="0" w:color="auto"/>
              <w:bottom w:val="single" w:sz="4" w:space="0" w:color="000000"/>
              <w:right w:val="single" w:sz="4" w:space="0" w:color="auto"/>
            </w:tcBorders>
            <w:vAlign w:val="center"/>
          </w:tcPr>
          <w:p/>
        </w:tc>
      </w:tr>
      <w:tr>
        <w:trPr>
          <w:trHeight w:val="1782"/>
        </w:trPr>
        <w:tc>
          <w:tcPr>
            <w:tcW w:w="438" w:type="dxa"/>
            <w:tcBorders>
              <w:top w:val="nil"/>
              <w:left w:val="single" w:sz="4" w:space="0" w:color="auto"/>
              <w:bottom w:val="nil"/>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年</w:t>
              <w:br/>
              <w:t>度</w:t>
              <w:br/>
              <w:t>总</w:t>
              <w:br/>
              <w:t>体</w:t>
              <w:br/>
              <w:t>目</w:t>
              <w:br/>
              <w:t>标</w:t>
            </w:r>
          </w:p>
        </w:tc>
        <w:tc>
          <w:tcPr>
            <w:tcW w:w="8085" w:type="dxa"/>
            <w:gridSpan w:val="6"/>
            <w:tcBorders>
              <w:top w:val="single" w:sz="4" w:space="0" w:color="auto"/>
              <w:left w:val="nil"/>
              <w:bottom w:val="single" w:sz="4" w:space="0" w:color="auto"/>
              <w:right w:val="single" w:sz="4" w:space="0" w:color="000000"/>
            </w:tcBorders>
            <w:shd w:val="clear" w:color="auto" w:fill="auto"/>
            <w:vAlign w:val="center"/>
          </w:tcPr>
          <w:p>
            <w:pPr>
              <w:widowControl/>
              <w:autoSpaceDN w:val="0"/>
              <w:rPr>
                <w:rFonts w:ascii="宋体" w:cs="宋体"/>
                <w:kern w:val="0"/>
                <w:sz w:val="22"/>
              </w:rPr>
            </w:pPr>
            <w:r>
              <w:rPr>
                <w:rFonts w:ascii="宋体" w:cs="宋体" w:hint="eastAsia"/>
                <w:kern w:val="0"/>
                <w:sz w:val="22"/>
              </w:rPr>
              <w:t>依据《中华人民共和国进出口商品检验法》及其实施条例等法律法规，保障我关履行进出口商品检验监管职能，不断完善进出口商品质量安全监管制度建设和做好进出口商品检验监管工作，通过对进出口动植物产品、危化品及其他商品质量安全监管，着力提升进口商品质量安全保障能力和出口商品质量竞争水平，维护国家商品质量安全，不断贯彻国家质量战略，持续推动国家对外贸易健康发展。</w:t>
            </w:r>
          </w:p>
        </w:tc>
      </w:tr>
      <w:tr>
        <w:trPr>
          <w:trHeight w:val="600"/>
        </w:trPr>
        <w:tc>
          <w:tcPr>
            <w:tcW w:w="43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绩</w:t>
              <w:br/>
              <w:t>效</w:t>
              <w:br/>
              <w:t>指</w:t>
              <w:br/>
              <w:t>标</w:t>
            </w:r>
          </w:p>
        </w:tc>
        <w:tc>
          <w:tcPr>
            <w:tcW w:w="1004"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宋体" w:cs="宋体"/>
                <w:kern w:val="0"/>
                <w:sz w:val="22"/>
              </w:rPr>
            </w:pPr>
            <w:r>
              <w:rPr>
                <w:rFonts w:ascii="宋体" w:cs="宋体" w:hint="eastAsia"/>
                <w:kern w:val="0"/>
                <w:sz w:val="22"/>
              </w:rPr>
              <w:t>一级</w:t>
              <w:br/>
              <w:t>指标</w:t>
            </w:r>
          </w:p>
        </w:tc>
        <w:tc>
          <w:tcPr>
            <w:tcW w:w="175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二级指标</w:t>
            </w:r>
          </w:p>
        </w:tc>
        <w:tc>
          <w:tcPr>
            <w:tcW w:w="2569" w:type="dxa"/>
            <w:gridSpan w:val="2"/>
            <w:tcBorders>
              <w:top w:val="single" w:sz="4" w:space="0" w:color="auto"/>
              <w:left w:val="nil"/>
              <w:bottom w:val="single" w:sz="4" w:space="0" w:color="auto"/>
              <w:right w:val="single" w:sz="4" w:space="0" w:color="000000"/>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三级指标</w:t>
            </w:r>
          </w:p>
        </w:tc>
        <w:tc>
          <w:tcPr>
            <w:tcW w:w="1756"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指标值</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分值</w:t>
              <w:br/>
              <w:t>（90）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产出指标</w:t>
            </w:r>
          </w:p>
        </w:tc>
        <w:tc>
          <w:tcPr>
            <w:tcW w:w="1754" w:type="dxa"/>
            <w:vMerge w:val="restart"/>
            <w:tcBorders>
              <w:top w:val="nil"/>
              <w:left w:val="single" w:sz="4" w:space="0" w:color="auto"/>
              <w:bottom w:val="single" w:sz="4" w:space="0" w:color="000000"/>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数量指标</w:t>
            </w:r>
          </w:p>
        </w:tc>
        <w:tc>
          <w:tcPr>
            <w:tcW w:w="2569" w:type="dxa"/>
            <w:gridSpan w:val="2"/>
            <w:tcBorders>
              <w:top w:val="single" w:sz="4" w:space="0" w:color="auto"/>
              <w:left w:val="nil"/>
              <w:bottom w:val="single" w:sz="4" w:space="0" w:color="auto"/>
              <w:right w:val="single" w:sz="4" w:space="0" w:color="000000"/>
            </w:tcBorders>
            <w:shd w:val="clear" w:color="auto" w:fill="auto"/>
            <w:vAlign w:val="center"/>
          </w:tcPr>
          <w:p>
            <w:pPr>
              <w:widowControl/>
              <w:autoSpaceDN w:val="0"/>
              <w:rPr>
                <w:rFonts w:ascii="宋体" w:cs="宋体"/>
                <w:kern w:val="0"/>
                <w:sz w:val="22"/>
              </w:rPr>
            </w:pPr>
            <w:r>
              <w:rPr>
                <w:rFonts w:ascii="宋体" w:cs="宋体" w:hint="eastAsia"/>
                <w:kern w:val="0"/>
                <w:sz w:val="22"/>
              </w:rPr>
              <w:t>进出口商品年度抽检次数</w:t>
            </w:r>
          </w:p>
        </w:tc>
        <w:tc>
          <w:tcPr>
            <w:tcW w:w="1756"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≥5次</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产出指标</w:t>
            </w:r>
          </w:p>
        </w:tc>
        <w:tc>
          <w:tcPr>
            <w:tcW w:w="1754" w:type="dxa"/>
            <w:vMerge/>
            <w:tcBorders>
              <w:top w:val="nil"/>
              <w:left w:val="single" w:sz="4" w:space="0" w:color="auto"/>
              <w:bottom w:val="single" w:sz="4" w:space="0" w:color="000000"/>
              <w:right w:val="single" w:sz="4" w:space="0" w:color="auto"/>
            </w:tcBorders>
            <w:vAlign w:val="center"/>
          </w:tcPr>
          <w:p/>
        </w:tc>
        <w:tc>
          <w:tcPr>
            <w:tcW w:w="2569" w:type="dxa"/>
            <w:gridSpan w:val="2"/>
            <w:tcBorders>
              <w:top w:val="single" w:sz="4" w:space="0" w:color="auto"/>
              <w:left w:val="nil"/>
              <w:bottom w:val="single" w:sz="4" w:space="0" w:color="auto"/>
              <w:right w:val="single" w:sz="4" w:space="0" w:color="000000"/>
            </w:tcBorders>
            <w:shd w:val="clear" w:color="auto" w:fill="auto"/>
            <w:vAlign w:val="center"/>
          </w:tcPr>
          <w:p>
            <w:pPr>
              <w:widowControl/>
              <w:autoSpaceDN w:val="0"/>
              <w:rPr>
                <w:rFonts w:ascii="宋体" w:cs="宋体"/>
                <w:kern w:val="0"/>
                <w:sz w:val="22"/>
              </w:rPr>
            </w:pPr>
            <w:r>
              <w:rPr>
                <w:rFonts w:ascii="宋体" w:cs="宋体" w:hint="eastAsia"/>
                <w:kern w:val="0"/>
                <w:sz w:val="22"/>
              </w:rPr>
              <w:t>进出口法检商品检验批次数量</w:t>
            </w:r>
          </w:p>
        </w:tc>
        <w:tc>
          <w:tcPr>
            <w:tcW w:w="1756"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≥20批</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产出指标</w:t>
            </w:r>
          </w:p>
        </w:tc>
        <w:tc>
          <w:tcPr>
            <w:tcW w:w="1754" w:type="dxa"/>
            <w:vMerge/>
            <w:tcBorders>
              <w:top w:val="nil"/>
              <w:left w:val="single" w:sz="4" w:space="0" w:color="auto"/>
              <w:bottom w:val="single" w:sz="4" w:space="0" w:color="000000"/>
              <w:right w:val="single" w:sz="4" w:space="0" w:color="auto"/>
            </w:tcBorders>
            <w:vAlign w:val="center"/>
          </w:tcPr>
          <w:p/>
        </w:tc>
        <w:tc>
          <w:tcPr>
            <w:tcW w:w="2569" w:type="dxa"/>
            <w:gridSpan w:val="2"/>
            <w:tcBorders>
              <w:top w:val="single" w:sz="4" w:space="0" w:color="auto"/>
              <w:left w:val="nil"/>
              <w:bottom w:val="single" w:sz="4" w:space="0" w:color="auto"/>
              <w:right w:val="single" w:sz="4" w:space="0" w:color="000000"/>
            </w:tcBorders>
            <w:shd w:val="clear" w:color="auto" w:fill="auto"/>
            <w:vAlign w:val="center"/>
          </w:tcPr>
          <w:p>
            <w:pPr>
              <w:widowControl/>
              <w:autoSpaceDN w:val="0"/>
              <w:rPr>
                <w:rFonts w:ascii="宋体" w:cs="宋体"/>
                <w:kern w:val="0"/>
                <w:sz w:val="22"/>
              </w:rPr>
            </w:pPr>
            <w:r>
              <w:rPr>
                <w:rFonts w:ascii="宋体" w:cs="宋体" w:hint="eastAsia"/>
                <w:kern w:val="0"/>
                <w:sz w:val="22"/>
              </w:rPr>
              <w:t>风险监测获取的有效信息数量</w:t>
            </w:r>
          </w:p>
        </w:tc>
        <w:tc>
          <w:tcPr>
            <w:tcW w:w="1756"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≥5项</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产出指标</w:t>
            </w:r>
          </w:p>
        </w:tc>
        <w:tc>
          <w:tcPr>
            <w:tcW w:w="175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质量指标</w:t>
            </w:r>
          </w:p>
        </w:tc>
        <w:tc>
          <w:tcPr>
            <w:tcW w:w="2569" w:type="dxa"/>
            <w:gridSpan w:val="2"/>
            <w:tcBorders>
              <w:top w:val="single" w:sz="4" w:space="0" w:color="auto"/>
              <w:left w:val="nil"/>
              <w:bottom w:val="single" w:sz="4" w:space="0" w:color="auto"/>
              <w:right w:val="single" w:sz="4" w:space="0" w:color="000000"/>
            </w:tcBorders>
            <w:shd w:val="clear" w:color="auto" w:fill="auto"/>
            <w:vAlign w:val="center"/>
          </w:tcPr>
          <w:p>
            <w:pPr>
              <w:widowControl/>
              <w:autoSpaceDN w:val="0"/>
              <w:rPr>
                <w:rFonts w:ascii="宋体" w:cs="宋体"/>
                <w:kern w:val="0"/>
                <w:sz w:val="22"/>
              </w:rPr>
            </w:pPr>
            <w:r>
              <w:rPr>
                <w:rFonts w:ascii="宋体" w:cs="宋体" w:hint="eastAsia"/>
                <w:kern w:val="0"/>
                <w:sz w:val="22"/>
              </w:rPr>
              <w:t>对进出口危险化学品及包装检验不合格处置率</w:t>
            </w:r>
          </w:p>
        </w:tc>
        <w:tc>
          <w:tcPr>
            <w:tcW w:w="1756"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≥95%</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产出指标</w:t>
            </w:r>
          </w:p>
        </w:tc>
        <w:tc>
          <w:tcPr>
            <w:tcW w:w="175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时效指标</w:t>
            </w:r>
          </w:p>
        </w:tc>
        <w:tc>
          <w:tcPr>
            <w:tcW w:w="2569" w:type="dxa"/>
            <w:gridSpan w:val="2"/>
            <w:tcBorders>
              <w:top w:val="single" w:sz="4" w:space="0" w:color="auto"/>
              <w:left w:val="nil"/>
              <w:bottom w:val="single" w:sz="4" w:space="0" w:color="auto"/>
              <w:right w:val="single" w:sz="4" w:space="0" w:color="000000"/>
            </w:tcBorders>
            <w:shd w:val="clear" w:color="auto" w:fill="auto"/>
            <w:vAlign w:val="center"/>
          </w:tcPr>
          <w:p>
            <w:pPr>
              <w:widowControl/>
              <w:autoSpaceDN w:val="0"/>
              <w:rPr>
                <w:rFonts w:ascii="宋体" w:cs="宋体"/>
                <w:kern w:val="0"/>
                <w:sz w:val="22"/>
              </w:rPr>
            </w:pPr>
            <w:r>
              <w:rPr>
                <w:rFonts w:ascii="宋体" w:cs="宋体" w:hint="eastAsia"/>
                <w:kern w:val="0"/>
                <w:sz w:val="22"/>
              </w:rPr>
              <w:t>报送重大进出口危险化学品及包装检验不合格处置情况及时率</w:t>
            </w:r>
          </w:p>
        </w:tc>
        <w:tc>
          <w:tcPr>
            <w:tcW w:w="1756"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≥95%</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效益指标</w:t>
            </w:r>
          </w:p>
        </w:tc>
        <w:tc>
          <w:tcPr>
            <w:tcW w:w="175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社会效益指标</w:t>
            </w:r>
          </w:p>
        </w:tc>
        <w:tc>
          <w:tcPr>
            <w:tcW w:w="2569" w:type="dxa"/>
            <w:gridSpan w:val="2"/>
            <w:tcBorders>
              <w:top w:val="single" w:sz="4" w:space="0" w:color="auto"/>
              <w:left w:val="nil"/>
              <w:bottom w:val="single" w:sz="4" w:space="0" w:color="auto"/>
              <w:right w:val="single" w:sz="4" w:space="0" w:color="000000"/>
            </w:tcBorders>
            <w:shd w:val="clear" w:color="auto" w:fill="auto"/>
            <w:vAlign w:val="center"/>
          </w:tcPr>
          <w:p>
            <w:pPr>
              <w:widowControl/>
              <w:autoSpaceDN w:val="0"/>
              <w:rPr>
                <w:rFonts w:ascii="宋体" w:cs="宋体"/>
                <w:kern w:val="0"/>
                <w:sz w:val="22"/>
              </w:rPr>
            </w:pPr>
            <w:r>
              <w:rPr>
                <w:rFonts w:ascii="宋体" w:cs="宋体" w:hint="eastAsia"/>
                <w:kern w:val="0"/>
                <w:sz w:val="22"/>
              </w:rPr>
              <w:t>进出口商品危险化学事故发生率</w:t>
            </w:r>
          </w:p>
        </w:tc>
        <w:tc>
          <w:tcPr>
            <w:tcW w:w="1756"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≤5%</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15</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效益指标</w:t>
            </w:r>
          </w:p>
        </w:tc>
        <w:tc>
          <w:tcPr>
            <w:tcW w:w="175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社会效益指标</w:t>
            </w:r>
          </w:p>
        </w:tc>
        <w:tc>
          <w:tcPr>
            <w:tcW w:w="2569" w:type="dxa"/>
            <w:gridSpan w:val="2"/>
            <w:tcBorders>
              <w:top w:val="single" w:sz="4" w:space="0" w:color="auto"/>
              <w:left w:val="nil"/>
              <w:bottom w:val="single" w:sz="4" w:space="0" w:color="auto"/>
              <w:right w:val="single" w:sz="4" w:space="0" w:color="000000"/>
            </w:tcBorders>
            <w:shd w:val="clear" w:color="auto" w:fill="auto"/>
            <w:vAlign w:val="center"/>
          </w:tcPr>
          <w:p>
            <w:pPr>
              <w:widowControl/>
              <w:autoSpaceDN w:val="0"/>
              <w:rPr>
                <w:rFonts w:ascii="宋体" w:cs="宋体"/>
                <w:kern w:val="0"/>
                <w:sz w:val="22"/>
              </w:rPr>
            </w:pPr>
            <w:r>
              <w:rPr>
                <w:rFonts w:ascii="宋体" w:cs="宋体" w:hint="eastAsia"/>
                <w:kern w:val="0"/>
                <w:sz w:val="22"/>
              </w:rPr>
              <w:t>保障人民生命健康安全有力有效</w:t>
            </w:r>
          </w:p>
        </w:tc>
        <w:tc>
          <w:tcPr>
            <w:tcW w:w="1756"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是</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15</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满意度指标</w:t>
            </w:r>
          </w:p>
        </w:tc>
        <w:tc>
          <w:tcPr>
            <w:tcW w:w="175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服务对象满意度指标</w:t>
            </w:r>
          </w:p>
        </w:tc>
        <w:tc>
          <w:tcPr>
            <w:tcW w:w="2569" w:type="dxa"/>
            <w:gridSpan w:val="2"/>
            <w:tcBorders>
              <w:top w:val="single" w:sz="4" w:space="0" w:color="auto"/>
              <w:left w:val="nil"/>
              <w:bottom w:val="single" w:sz="4" w:space="0" w:color="auto"/>
              <w:right w:val="single" w:sz="4" w:space="0" w:color="000000"/>
            </w:tcBorders>
            <w:shd w:val="clear" w:color="auto" w:fill="auto"/>
            <w:vAlign w:val="center"/>
          </w:tcPr>
          <w:p>
            <w:pPr>
              <w:widowControl/>
              <w:autoSpaceDN w:val="0"/>
              <w:rPr>
                <w:rFonts w:ascii="宋体" w:cs="宋体"/>
                <w:kern w:val="0"/>
                <w:sz w:val="22"/>
              </w:rPr>
            </w:pPr>
            <w:r>
              <w:rPr>
                <w:rFonts w:ascii="宋体" w:cs="宋体" w:hint="eastAsia"/>
                <w:kern w:val="0"/>
                <w:sz w:val="22"/>
              </w:rPr>
              <w:t>服务企业满意度</w:t>
            </w:r>
          </w:p>
        </w:tc>
        <w:tc>
          <w:tcPr>
            <w:tcW w:w="1756"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≥95%</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10</w:t>
            </w:r>
          </w:p>
        </w:tc>
      </w:tr>
    </w:tbl>
    <w:p>
      <w:pPr>
        <w:widowControl/>
        <w:jc w:val="left"/>
        <w:rPr>
          <w:rFonts w:ascii="宋体" w:cs="宋体"/>
          <w:kern w:val="0"/>
          <w:sz w:val="24"/>
          <w:szCs w:val="24"/>
        </w:rPr>
        <w:sectPr>
          <w:pgSz w:w="11906" w:h="16838"/>
          <w:pgMar w:top="1440" w:right="1800" w:bottom="1440" w:left="1800" w:header="851" w:footer="992" w:gutter="0"/>
          <w:docGrid w:type="lines" w:linePitch="312" w:charSpace="0"/>
        </w:sectPr>
      </w:pP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38"/>
        <w:gridCol w:w="1004"/>
        <w:gridCol w:w="1754"/>
        <w:gridCol w:w="815"/>
        <w:gridCol w:w="1754"/>
        <w:gridCol w:w="1756"/>
        <w:gridCol w:w="1002"/>
      </w:tblGrid>
      <w:tr>
        <w:trPr>
          <w:trHeight w:val="702"/>
        </w:trPr>
        <w:tc>
          <w:tcPr>
            <w:tcW w:w="8523" w:type="dxa"/>
            <w:gridSpan w:val="7"/>
            <w:tcBorders>
              <w:top w:val="nil"/>
              <w:left w:val="nil"/>
              <w:bottom w:val="nil"/>
              <w:right w:val="nil"/>
            </w:tcBorders>
            <w:shd w:val="clear" w:color="auto" w:fill="auto"/>
            <w:vAlign w:val="center"/>
          </w:tcPr>
          <w:p>
            <w:pPr>
              <w:widowControl/>
              <w:autoSpaceDN w:val="0"/>
              <w:jc w:val="center"/>
              <w:rPr>
                <w:rFonts w:ascii="黑体" w:eastAsia="黑体" w:cs="宋体"/>
                <w:kern w:val="0"/>
                <w:sz w:val="32"/>
                <w:szCs w:val="32"/>
              </w:rPr>
            </w:pPr>
            <w:r>
              <w:rPr>
                <w:rFonts w:ascii="黑体" w:eastAsia="黑体" w:cs="宋体" w:hint="eastAsia"/>
                <w:kern w:val="0"/>
                <w:sz w:val="32"/>
                <w:szCs w:val="32"/>
              </w:rPr>
              <w:t>绩效目标表</w:t>
            </w:r>
          </w:p>
        </w:tc>
      </w:tr>
      <w:tr>
        <w:trPr>
          <w:trHeight w:val="499"/>
        </w:trPr>
        <w:tc>
          <w:tcPr>
            <w:tcW w:w="8523" w:type="dxa"/>
            <w:gridSpan w:val="7"/>
            <w:tcBorders>
              <w:top w:val="nil"/>
              <w:left w:val="nil"/>
              <w:bottom w:val="nil"/>
              <w:right w:val="nil"/>
            </w:tcBorders>
            <w:shd w:val="clear" w:color="auto" w:fill="auto"/>
          </w:tcPr>
          <w:p>
            <w:pPr>
              <w:widowControl/>
              <w:autoSpaceDN w:val="0"/>
              <w:jc w:val="center"/>
              <w:rPr>
                <w:rFonts w:ascii="宋体" w:cs="宋体"/>
                <w:kern w:val="0"/>
                <w:sz w:val="24"/>
                <w:szCs w:val="24"/>
              </w:rPr>
            </w:pPr>
            <w:r>
              <w:rPr>
                <w:rFonts w:ascii="宋体" w:cs="宋体" w:hint="eastAsia"/>
                <w:kern w:val="0"/>
                <w:sz w:val="24"/>
                <w:szCs w:val="24"/>
              </w:rPr>
              <w:t>（2024年度）</w:t>
            </w:r>
          </w:p>
        </w:tc>
      </w:tr>
      <w:tr>
        <w:trPr>
          <w:trHeight w:val="439"/>
        </w:trPr>
        <w:tc>
          <w:tcPr>
            <w:tcW w:w="14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项目名称</w:t>
            </w:r>
          </w:p>
        </w:tc>
        <w:tc>
          <w:tcPr>
            <w:tcW w:w="7081" w:type="dxa"/>
            <w:gridSpan w:val="5"/>
            <w:tcBorders>
              <w:top w:val="single" w:sz="4" w:space="0" w:color="auto"/>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海关资产及专用设备运行维护费</w:t>
            </w:r>
          </w:p>
        </w:tc>
      </w:tr>
      <w:tr>
        <w:trPr>
          <w:trHeight w:val="439"/>
        </w:trPr>
        <w:tc>
          <w:tcPr>
            <w:tcW w:w="14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主管部门及代码</w:t>
            </w: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[167]海关总署</w:t>
            </w:r>
          </w:p>
        </w:tc>
        <w:tc>
          <w:tcPr>
            <w:tcW w:w="1754"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实施单位</w:t>
            </w:r>
          </w:p>
        </w:tc>
        <w:tc>
          <w:tcPr>
            <w:tcW w:w="2758" w:type="dxa"/>
            <w:gridSpan w:val="2"/>
            <w:tcBorders>
              <w:top w:val="single" w:sz="4" w:space="0" w:color="auto"/>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中华人民共和国鄂尔多斯海关</w:t>
            </w:r>
          </w:p>
        </w:tc>
      </w:tr>
      <w:tr>
        <w:trPr>
          <w:trHeight w:val="439"/>
        </w:trPr>
        <w:tc>
          <w:tcPr>
            <w:tcW w:w="1442"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项目资金</w:t>
              <w:br/>
              <w:t>（万元）</w:t>
            </w: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jc w:val="left"/>
              <w:rPr>
                <w:rFonts w:ascii="宋体" w:cs="宋体"/>
                <w:kern w:val="0"/>
                <w:sz w:val="22"/>
              </w:rPr>
            </w:pPr>
            <w:r>
              <w:rPr>
                <w:rFonts w:ascii="宋体" w:cs="宋体" w:hint="eastAsia"/>
                <w:kern w:val="0"/>
                <w:sz w:val="22"/>
              </w:rPr>
              <w:t>年度资金总额：</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right"/>
              <w:rPr>
                <w:rFonts w:ascii="宋体" w:cs="宋体"/>
                <w:kern w:val="0"/>
                <w:sz w:val="22"/>
              </w:rPr>
            </w:pPr>
            <w:r>
              <w:rPr>
                <w:rFonts w:ascii="宋体" w:cs="宋体" w:hint="eastAsia"/>
                <w:kern w:val="0"/>
                <w:sz w:val="22"/>
              </w:rPr>
              <w:t xml:space="preserve"> 24.58 </w:t>
            </w:r>
          </w:p>
        </w:tc>
        <w:tc>
          <w:tcPr>
            <w:tcW w:w="1002" w:type="dxa"/>
            <w:vMerge w:val="restart"/>
            <w:tcBorders>
              <w:top w:val="nil"/>
              <w:left w:val="single" w:sz="4" w:space="0" w:color="auto"/>
              <w:bottom w:val="single" w:sz="4" w:space="0" w:color="000000"/>
              <w:right w:val="single" w:sz="4" w:space="0" w:color="auto"/>
            </w:tcBorders>
            <w:shd w:val="clear" w:color="auto" w:fill="C7EDCC"/>
            <w:vAlign w:val="center"/>
          </w:tcPr>
          <w:p>
            <w:pPr>
              <w:widowControl/>
              <w:autoSpaceDN w:val="0"/>
              <w:jc w:val="center"/>
              <w:rPr>
                <w:rFonts w:ascii="宋体" w:cs="宋体"/>
                <w:kern w:val="0"/>
                <w:sz w:val="22"/>
              </w:rPr>
            </w:pPr>
            <w:r>
              <w:rPr>
                <w:rFonts w:ascii="宋体" w:cs="宋体" w:hint="eastAsia"/>
                <w:kern w:val="0"/>
                <w:sz w:val="22"/>
              </w:rPr>
              <w:t>执行率</w:t>
              <w:br/>
              <w:t>分值（10）</w:t>
            </w: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其中：财政拨款</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right"/>
              <w:rPr>
                <w:rFonts w:ascii="宋体" w:cs="宋体"/>
                <w:kern w:val="0"/>
                <w:sz w:val="22"/>
              </w:rPr>
            </w:pPr>
            <w:r>
              <w:rPr>
                <w:rFonts w:ascii="宋体" w:cs="宋体" w:hint="eastAsia"/>
                <w:kern w:val="0"/>
                <w:sz w:val="22"/>
              </w:rPr>
              <w:t xml:space="preserve"> 24.58 </w:t>
            </w:r>
          </w:p>
        </w:tc>
        <w:tc>
          <w:tcPr>
            <w:tcW w:w="1002" w:type="dxa"/>
            <w:vMerge/>
            <w:tcBorders>
              <w:top w:val="nil"/>
              <w:left w:val="single" w:sz="4" w:space="0" w:color="auto"/>
              <w:bottom w:val="single" w:sz="4" w:space="0" w:color="000000"/>
              <w:right w:val="single" w:sz="4" w:space="0" w:color="auto"/>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上年结转</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right"/>
              <w:rPr>
                <w:rFonts w:ascii="宋体" w:cs="宋体"/>
                <w:kern w:val="0"/>
                <w:sz w:val="22"/>
              </w:rPr>
            </w:pPr>
            <w:r>
              <w:rPr>
                <w:rFonts w:ascii="宋体" w:cs="宋体" w:hint="eastAsia"/>
                <w:kern w:val="0"/>
                <w:sz w:val="22"/>
              </w:rPr>
              <w:t xml:space="preserve"> - </w:t>
            </w:r>
          </w:p>
        </w:tc>
        <w:tc>
          <w:tcPr>
            <w:tcW w:w="1002" w:type="dxa"/>
            <w:vMerge/>
            <w:tcBorders>
              <w:top w:val="nil"/>
              <w:left w:val="single" w:sz="4" w:space="0" w:color="auto"/>
              <w:bottom w:val="single" w:sz="4" w:space="0" w:color="000000"/>
              <w:right w:val="single" w:sz="4" w:space="0" w:color="auto"/>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其他资金</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right"/>
              <w:rPr>
                <w:rFonts w:ascii="宋体" w:cs="宋体"/>
                <w:kern w:val="0"/>
                <w:sz w:val="22"/>
              </w:rPr>
            </w:pPr>
            <w:r>
              <w:rPr>
                <w:rFonts w:ascii="宋体" w:cs="宋体" w:hint="eastAsia"/>
                <w:kern w:val="0"/>
                <w:sz w:val="22"/>
              </w:rPr>
              <w:t xml:space="preserve"> - </w:t>
            </w:r>
          </w:p>
        </w:tc>
        <w:tc>
          <w:tcPr>
            <w:tcW w:w="1002" w:type="dxa"/>
            <w:vMerge/>
            <w:tcBorders>
              <w:top w:val="nil"/>
              <w:left w:val="single" w:sz="4" w:space="0" w:color="auto"/>
              <w:bottom w:val="single" w:sz="4" w:space="0" w:color="000000"/>
              <w:right w:val="single" w:sz="4" w:space="0" w:color="auto"/>
            </w:tcBorders>
            <w:vAlign w:val="center"/>
          </w:tcPr>
          <w:p/>
        </w:tc>
      </w:tr>
      <w:tr>
        <w:trPr>
          <w:trHeight w:val="1782"/>
        </w:trPr>
        <w:tc>
          <w:tcPr>
            <w:tcW w:w="438" w:type="dxa"/>
            <w:tcBorders>
              <w:top w:val="nil"/>
              <w:left w:val="single" w:sz="4" w:space="0" w:color="auto"/>
              <w:bottom w:val="nil"/>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年</w:t>
              <w:br/>
              <w:t>度</w:t>
              <w:br/>
              <w:t>总</w:t>
              <w:br/>
              <w:t>体</w:t>
              <w:br/>
              <w:t>目</w:t>
              <w:br/>
              <w:t>标</w:t>
            </w:r>
          </w:p>
        </w:tc>
        <w:tc>
          <w:tcPr>
            <w:tcW w:w="8085" w:type="dxa"/>
            <w:gridSpan w:val="6"/>
            <w:tcBorders>
              <w:top w:val="single" w:sz="4" w:space="0" w:color="auto"/>
              <w:left w:val="nil"/>
              <w:bottom w:val="single" w:sz="4" w:space="0" w:color="auto"/>
              <w:right w:val="single" w:sz="4" w:space="0" w:color="auto"/>
            </w:tcBorders>
            <w:shd w:val="clear" w:color="auto" w:fill="auto"/>
            <w:vAlign w:val="center"/>
          </w:tcPr>
          <w:p>
            <w:pPr>
              <w:widowControl/>
              <w:autoSpaceDN w:val="0"/>
              <w:rPr>
                <w:rFonts w:ascii="宋体" w:cs="宋体"/>
                <w:kern w:val="0"/>
                <w:sz w:val="22"/>
              </w:rPr>
            </w:pPr>
            <w:r>
              <w:rPr>
                <w:rFonts w:ascii="宋体" w:cs="宋体" w:hint="eastAsia"/>
                <w:kern w:val="0"/>
                <w:sz w:val="22"/>
              </w:rPr>
              <w:t>通过各类装备、设备的运维，提高海关监管工作效率，缓解海关人力资源不足与日益增长的监管工作量之间的矛盾，提升海关监管科技含量，提升海关装备设备现代化、科技化水平，优化海关监管与服务。</w:t>
            </w:r>
          </w:p>
        </w:tc>
      </w:tr>
      <w:tr>
        <w:trPr>
          <w:trHeight w:val="600"/>
        </w:trPr>
        <w:tc>
          <w:tcPr>
            <w:tcW w:w="43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绩</w:t>
              <w:br/>
              <w:t>效</w:t>
              <w:br/>
              <w:t>指</w:t>
              <w:br/>
              <w:t>标</w:t>
            </w:r>
          </w:p>
        </w:tc>
        <w:tc>
          <w:tcPr>
            <w:tcW w:w="1004"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宋体" w:cs="宋体"/>
                <w:kern w:val="0"/>
                <w:sz w:val="22"/>
              </w:rPr>
            </w:pPr>
            <w:r>
              <w:rPr>
                <w:rFonts w:ascii="宋体" w:cs="宋体" w:hint="eastAsia"/>
                <w:kern w:val="0"/>
                <w:sz w:val="22"/>
              </w:rPr>
              <w:t>一级</w:t>
              <w:br/>
              <w:t>指标</w:t>
            </w:r>
          </w:p>
        </w:tc>
        <w:tc>
          <w:tcPr>
            <w:tcW w:w="175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二级指标</w:t>
            </w:r>
          </w:p>
        </w:tc>
        <w:tc>
          <w:tcPr>
            <w:tcW w:w="2569" w:type="dxa"/>
            <w:gridSpan w:val="2"/>
            <w:tcBorders>
              <w:top w:val="single" w:sz="4" w:space="0" w:color="auto"/>
              <w:left w:val="nil"/>
              <w:bottom w:val="single" w:sz="4" w:space="0" w:color="auto"/>
              <w:right w:val="single" w:sz="4" w:space="0" w:color="000000"/>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三级指标</w:t>
            </w:r>
          </w:p>
        </w:tc>
        <w:tc>
          <w:tcPr>
            <w:tcW w:w="1756"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指标值</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分值</w:t>
              <w:br/>
              <w:t>（90）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val="restart"/>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产出指标</w:t>
            </w:r>
          </w:p>
        </w:tc>
        <w:tc>
          <w:tcPr>
            <w:tcW w:w="1754" w:type="dxa"/>
            <w:vMerge w:val="restart"/>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数量指标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rPr>
                <w:rFonts w:ascii="宋体" w:cs="宋体"/>
                <w:kern w:val="0"/>
                <w:sz w:val="22"/>
              </w:rPr>
            </w:pPr>
            <w:r>
              <w:rPr>
                <w:rFonts w:ascii="宋体" w:cs="宋体" w:hint="eastAsia"/>
                <w:kern w:val="0"/>
                <w:sz w:val="22"/>
              </w:rPr>
              <w:t>更新设备数量</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≥10台/套</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rPr>
                <w:rFonts w:ascii="宋体" w:cs="宋体"/>
                <w:kern w:val="0"/>
                <w:sz w:val="22"/>
              </w:rPr>
            </w:pPr>
            <w:r>
              <w:rPr>
                <w:rFonts w:ascii="宋体" w:cs="宋体" w:hint="eastAsia"/>
                <w:kern w:val="0"/>
                <w:sz w:val="22"/>
              </w:rPr>
              <w:t>运维办公或监管场所</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≥1个</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5</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rPr>
                <w:rFonts w:ascii="宋体" w:cs="宋体"/>
                <w:kern w:val="0"/>
                <w:sz w:val="22"/>
              </w:rPr>
            </w:pPr>
            <w:r>
              <w:rPr>
                <w:rFonts w:ascii="宋体" w:cs="宋体" w:hint="eastAsia"/>
                <w:kern w:val="0"/>
                <w:sz w:val="22"/>
              </w:rPr>
              <w:t>运维专用设备数量</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≥6台/套</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5</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rPr>
                <w:rFonts w:ascii="宋体" w:cs="宋体"/>
                <w:kern w:val="0"/>
                <w:sz w:val="22"/>
              </w:rPr>
            </w:pPr>
            <w:r>
              <w:rPr>
                <w:rFonts w:ascii="宋体" w:cs="宋体" w:hint="eastAsia"/>
                <w:kern w:val="0"/>
                <w:sz w:val="22"/>
              </w:rPr>
              <w:t>运维通用设备数量</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≥9台/套</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5</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val="restart"/>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质量指标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rPr>
                <w:rFonts w:ascii="宋体" w:cs="宋体"/>
                <w:kern w:val="0"/>
                <w:sz w:val="22"/>
              </w:rPr>
            </w:pPr>
            <w:r>
              <w:rPr>
                <w:rFonts w:ascii="宋体" w:cs="宋体" w:hint="eastAsia"/>
                <w:kern w:val="0"/>
                <w:sz w:val="22"/>
              </w:rPr>
              <w:t>维修合格率</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≥95%</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5</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rPr>
                <w:rFonts w:ascii="宋体" w:cs="宋体"/>
                <w:kern w:val="0"/>
                <w:sz w:val="22"/>
              </w:rPr>
            </w:pPr>
            <w:r>
              <w:rPr>
                <w:rFonts w:ascii="宋体" w:cs="宋体" w:hint="eastAsia"/>
                <w:kern w:val="0"/>
                <w:sz w:val="22"/>
              </w:rPr>
              <w:t>设备正常使用率</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≥90%</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5</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rPr>
                <w:rFonts w:ascii="宋体" w:cs="宋体"/>
                <w:kern w:val="0"/>
                <w:sz w:val="22"/>
              </w:rPr>
            </w:pPr>
            <w:r>
              <w:rPr>
                <w:rFonts w:ascii="宋体" w:cs="宋体" w:hint="eastAsia"/>
                <w:kern w:val="0"/>
                <w:sz w:val="22"/>
              </w:rPr>
              <w:t>专用设备正常使用率</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≥95%</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5</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时效指标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rPr>
                <w:rFonts w:ascii="宋体" w:cs="宋体"/>
                <w:kern w:val="0"/>
                <w:sz w:val="22"/>
              </w:rPr>
            </w:pPr>
            <w:r>
              <w:rPr>
                <w:rFonts w:ascii="宋体" w:cs="宋体" w:hint="eastAsia"/>
                <w:kern w:val="0"/>
                <w:sz w:val="22"/>
              </w:rPr>
              <w:t>维修及时率</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≥90%</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效益指标</w:t>
            </w:r>
          </w:p>
        </w:tc>
        <w:tc>
          <w:tcPr>
            <w:tcW w:w="175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社会效益指标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rPr>
                <w:rFonts w:ascii="宋体" w:cs="宋体"/>
                <w:kern w:val="0"/>
                <w:sz w:val="22"/>
              </w:rPr>
            </w:pPr>
            <w:r>
              <w:rPr>
                <w:rFonts w:ascii="宋体" w:cs="宋体" w:hint="eastAsia"/>
                <w:kern w:val="0"/>
                <w:sz w:val="22"/>
              </w:rPr>
              <w:t>核心业务基础保障能力</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是</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30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满意度指标</w:t>
            </w:r>
          </w:p>
        </w:tc>
        <w:tc>
          <w:tcPr>
            <w:tcW w:w="175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服务对象满意度指标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rPr>
                <w:rFonts w:ascii="宋体" w:cs="宋体"/>
                <w:kern w:val="0"/>
                <w:sz w:val="22"/>
              </w:rPr>
            </w:pPr>
            <w:r>
              <w:rPr>
                <w:rFonts w:ascii="宋体" w:cs="宋体" w:hint="eastAsia"/>
                <w:kern w:val="0"/>
                <w:sz w:val="22"/>
              </w:rPr>
              <w:t>服务关警员满意度</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≥95%</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10</w:t>
            </w:r>
          </w:p>
        </w:tc>
      </w:tr>
    </w:tbl>
    <w:p>
      <w:pPr>
        <w:widowControl/>
        <w:jc w:val="left"/>
        <w:rPr>
          <w:rFonts w:ascii="宋体" w:cs="宋体"/>
          <w:kern w:val="0"/>
          <w:sz w:val="24"/>
          <w:szCs w:val="24"/>
        </w:rPr>
        <w:sectPr>
          <w:pgSz w:w="11906" w:h="16838"/>
          <w:pgMar w:top="1440" w:right="1800" w:bottom="1440" w:left="1800" w:header="851" w:footer="992" w:gutter="0"/>
          <w:docGrid w:type="lines" w:linePitch="312" w:charSpace="0"/>
        </w:sectPr>
      </w:pP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38"/>
        <w:gridCol w:w="1004"/>
        <w:gridCol w:w="1754"/>
        <w:gridCol w:w="815"/>
        <w:gridCol w:w="1754"/>
        <w:gridCol w:w="1756"/>
        <w:gridCol w:w="1002"/>
      </w:tblGrid>
      <w:tr>
        <w:trPr>
          <w:trHeight w:val="702"/>
        </w:trPr>
        <w:tc>
          <w:tcPr>
            <w:tcW w:w="8523" w:type="dxa"/>
            <w:gridSpan w:val="7"/>
            <w:tcBorders>
              <w:top w:val="nil"/>
              <w:left w:val="nil"/>
              <w:bottom w:val="nil"/>
              <w:right w:val="nil"/>
            </w:tcBorders>
            <w:shd w:val="clear" w:color="auto" w:fill="auto"/>
            <w:vAlign w:val="center"/>
          </w:tcPr>
          <w:p>
            <w:pPr>
              <w:widowControl/>
              <w:autoSpaceDN w:val="0"/>
              <w:jc w:val="center"/>
              <w:rPr>
                <w:rFonts w:ascii="黑体" w:eastAsia="黑体" w:cs="宋体"/>
                <w:kern w:val="0"/>
                <w:sz w:val="32"/>
                <w:szCs w:val="32"/>
              </w:rPr>
            </w:pPr>
            <w:r>
              <w:rPr>
                <w:rFonts w:ascii="黑体" w:eastAsia="黑体" w:cs="宋体" w:hint="eastAsia"/>
                <w:kern w:val="0"/>
                <w:sz w:val="32"/>
                <w:szCs w:val="32"/>
              </w:rPr>
              <w:t>绩效目标表</w:t>
            </w:r>
          </w:p>
        </w:tc>
      </w:tr>
      <w:tr>
        <w:trPr>
          <w:trHeight w:val="499"/>
        </w:trPr>
        <w:tc>
          <w:tcPr>
            <w:tcW w:w="8523" w:type="dxa"/>
            <w:gridSpan w:val="7"/>
            <w:tcBorders>
              <w:top w:val="nil"/>
              <w:left w:val="nil"/>
              <w:bottom w:val="nil"/>
              <w:right w:val="nil"/>
            </w:tcBorders>
            <w:shd w:val="clear" w:color="auto" w:fill="auto"/>
          </w:tcPr>
          <w:p>
            <w:pPr>
              <w:widowControl/>
              <w:autoSpaceDN w:val="0"/>
              <w:jc w:val="center"/>
              <w:rPr>
                <w:rFonts w:ascii="宋体" w:cs="宋体"/>
                <w:kern w:val="0"/>
                <w:sz w:val="24"/>
                <w:szCs w:val="24"/>
              </w:rPr>
            </w:pPr>
            <w:r>
              <w:rPr>
                <w:rFonts w:ascii="宋体" w:cs="宋体" w:hint="eastAsia"/>
                <w:kern w:val="0"/>
                <w:sz w:val="24"/>
                <w:szCs w:val="24"/>
              </w:rPr>
              <w:t>（2024年度）</w:t>
            </w:r>
          </w:p>
        </w:tc>
      </w:tr>
      <w:tr>
        <w:trPr>
          <w:trHeight w:val="439"/>
        </w:trPr>
        <w:tc>
          <w:tcPr>
            <w:tcW w:w="14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项目名称</w:t>
            </w:r>
          </w:p>
        </w:tc>
        <w:tc>
          <w:tcPr>
            <w:tcW w:w="7081" w:type="dxa"/>
            <w:gridSpan w:val="5"/>
            <w:tcBorders>
              <w:top w:val="single" w:sz="4" w:space="0" w:color="auto"/>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口岸公共卫生安全专项</w:t>
            </w:r>
          </w:p>
        </w:tc>
      </w:tr>
      <w:tr>
        <w:trPr>
          <w:trHeight w:val="439"/>
        </w:trPr>
        <w:tc>
          <w:tcPr>
            <w:tcW w:w="14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主管部门及代码</w:t>
            </w: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[167]海关总署</w:t>
            </w:r>
          </w:p>
        </w:tc>
        <w:tc>
          <w:tcPr>
            <w:tcW w:w="1754"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实施单位</w:t>
            </w:r>
          </w:p>
        </w:tc>
        <w:tc>
          <w:tcPr>
            <w:tcW w:w="2758" w:type="dxa"/>
            <w:gridSpan w:val="2"/>
            <w:tcBorders>
              <w:top w:val="single" w:sz="4" w:space="0" w:color="auto"/>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中华人民共和国鄂尔多斯海关</w:t>
            </w:r>
          </w:p>
        </w:tc>
      </w:tr>
      <w:tr>
        <w:trPr>
          <w:trHeight w:val="439"/>
        </w:trPr>
        <w:tc>
          <w:tcPr>
            <w:tcW w:w="1442"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项目资金</w:t>
              <w:br/>
              <w:t>（万元）</w:t>
            </w: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jc w:val="left"/>
              <w:rPr>
                <w:rFonts w:ascii="宋体" w:cs="宋体"/>
                <w:kern w:val="0"/>
                <w:sz w:val="22"/>
              </w:rPr>
            </w:pPr>
            <w:r>
              <w:rPr>
                <w:rFonts w:ascii="宋体" w:cs="宋体" w:hint="eastAsia"/>
                <w:kern w:val="0"/>
                <w:sz w:val="22"/>
              </w:rPr>
              <w:t>年度资金总额：</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right"/>
              <w:rPr>
                <w:rFonts w:ascii="宋体" w:cs="宋体"/>
                <w:kern w:val="0"/>
                <w:sz w:val="22"/>
              </w:rPr>
            </w:pPr>
            <w:r>
              <w:rPr>
                <w:rFonts w:ascii="宋体" w:cs="宋体" w:hint="eastAsia"/>
                <w:kern w:val="0"/>
                <w:sz w:val="22"/>
              </w:rPr>
              <w:t xml:space="preserve"> 4.30 </w:t>
            </w:r>
          </w:p>
        </w:tc>
        <w:tc>
          <w:tcPr>
            <w:tcW w:w="1002" w:type="dxa"/>
            <w:vMerge w:val="restart"/>
            <w:tcBorders>
              <w:top w:val="nil"/>
              <w:left w:val="single" w:sz="4" w:space="0" w:color="auto"/>
              <w:bottom w:val="single" w:sz="4" w:space="0" w:color="000000"/>
              <w:right w:val="single" w:sz="4" w:space="0" w:color="auto"/>
            </w:tcBorders>
            <w:shd w:val="clear" w:color="auto" w:fill="C7EDCC"/>
            <w:vAlign w:val="center"/>
          </w:tcPr>
          <w:p>
            <w:pPr>
              <w:widowControl/>
              <w:autoSpaceDN w:val="0"/>
              <w:jc w:val="center"/>
              <w:rPr>
                <w:rFonts w:ascii="宋体" w:cs="宋体"/>
                <w:kern w:val="0"/>
                <w:sz w:val="22"/>
              </w:rPr>
            </w:pPr>
            <w:r>
              <w:rPr>
                <w:rFonts w:ascii="宋体" w:cs="宋体" w:hint="eastAsia"/>
                <w:kern w:val="0"/>
                <w:sz w:val="22"/>
              </w:rPr>
              <w:t>执行率</w:t>
              <w:br/>
              <w:t>分值（10）</w:t>
            </w: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其中：财政拨款</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right"/>
              <w:rPr>
                <w:rFonts w:ascii="宋体" w:cs="宋体"/>
                <w:kern w:val="0"/>
                <w:sz w:val="22"/>
              </w:rPr>
            </w:pPr>
            <w:r>
              <w:rPr>
                <w:rFonts w:ascii="宋体" w:cs="宋体" w:hint="eastAsia"/>
                <w:kern w:val="0"/>
                <w:sz w:val="22"/>
              </w:rPr>
              <w:t xml:space="preserve"> 4.30 </w:t>
            </w:r>
          </w:p>
        </w:tc>
        <w:tc>
          <w:tcPr>
            <w:tcW w:w="1002" w:type="dxa"/>
            <w:vMerge/>
            <w:tcBorders>
              <w:top w:val="nil"/>
              <w:left w:val="single" w:sz="4" w:space="0" w:color="auto"/>
              <w:bottom w:val="single" w:sz="4" w:space="0" w:color="000000"/>
              <w:right w:val="single" w:sz="4" w:space="0" w:color="auto"/>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上年结转</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right"/>
              <w:rPr>
                <w:rFonts w:ascii="宋体" w:cs="宋体"/>
                <w:kern w:val="0"/>
                <w:sz w:val="22"/>
              </w:rPr>
            </w:pPr>
            <w:r>
              <w:rPr>
                <w:rFonts w:ascii="宋体" w:cs="宋体" w:hint="eastAsia"/>
                <w:kern w:val="0"/>
                <w:sz w:val="22"/>
              </w:rPr>
              <w:t xml:space="preserve"> - </w:t>
            </w:r>
          </w:p>
        </w:tc>
        <w:tc>
          <w:tcPr>
            <w:tcW w:w="1002" w:type="dxa"/>
            <w:vMerge/>
            <w:tcBorders>
              <w:top w:val="nil"/>
              <w:left w:val="single" w:sz="4" w:space="0" w:color="auto"/>
              <w:bottom w:val="single" w:sz="4" w:space="0" w:color="000000"/>
              <w:right w:val="single" w:sz="4" w:space="0" w:color="auto"/>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其他资金</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right"/>
              <w:rPr>
                <w:rFonts w:ascii="宋体" w:cs="宋体"/>
                <w:kern w:val="0"/>
                <w:sz w:val="22"/>
              </w:rPr>
            </w:pPr>
            <w:r>
              <w:rPr>
                <w:rFonts w:ascii="宋体" w:cs="宋体" w:hint="eastAsia"/>
                <w:kern w:val="0"/>
                <w:sz w:val="22"/>
              </w:rPr>
              <w:t xml:space="preserve"> - </w:t>
            </w:r>
          </w:p>
        </w:tc>
        <w:tc>
          <w:tcPr>
            <w:tcW w:w="1002" w:type="dxa"/>
            <w:vMerge/>
            <w:tcBorders>
              <w:top w:val="nil"/>
              <w:left w:val="single" w:sz="4" w:space="0" w:color="auto"/>
              <w:bottom w:val="single" w:sz="4" w:space="0" w:color="000000"/>
              <w:right w:val="single" w:sz="4" w:space="0" w:color="auto"/>
            </w:tcBorders>
            <w:vAlign w:val="center"/>
          </w:tcPr>
          <w:p/>
        </w:tc>
      </w:tr>
      <w:tr>
        <w:trPr>
          <w:trHeight w:val="1782"/>
        </w:trPr>
        <w:tc>
          <w:tcPr>
            <w:tcW w:w="438" w:type="dxa"/>
            <w:tcBorders>
              <w:top w:val="nil"/>
              <w:left w:val="single" w:sz="4" w:space="0" w:color="auto"/>
              <w:bottom w:val="nil"/>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年</w:t>
              <w:br/>
              <w:t>度</w:t>
              <w:br/>
              <w:t>总</w:t>
              <w:br/>
              <w:t>体</w:t>
              <w:br/>
              <w:t>目</w:t>
              <w:br/>
              <w:t>标</w:t>
            </w:r>
          </w:p>
        </w:tc>
        <w:tc>
          <w:tcPr>
            <w:tcW w:w="8085" w:type="dxa"/>
            <w:gridSpan w:val="6"/>
            <w:tcBorders>
              <w:top w:val="single" w:sz="4" w:space="0" w:color="auto"/>
              <w:left w:val="nil"/>
              <w:bottom w:val="single" w:sz="4" w:space="0" w:color="auto"/>
              <w:right w:val="single" w:sz="4" w:space="0" w:color="auto"/>
            </w:tcBorders>
            <w:shd w:val="clear" w:color="auto" w:fill="auto"/>
            <w:vAlign w:val="center"/>
          </w:tcPr>
          <w:p>
            <w:pPr>
              <w:widowControl/>
              <w:autoSpaceDN w:val="0"/>
              <w:rPr>
                <w:rFonts w:ascii="宋体" w:cs="宋体"/>
                <w:kern w:val="0"/>
                <w:sz w:val="22"/>
              </w:rPr>
            </w:pPr>
            <w:r>
              <w:rPr>
                <w:rFonts w:ascii="宋体" w:cs="宋体" w:hint="eastAsia"/>
                <w:kern w:val="0"/>
                <w:szCs w:val="21"/>
              </w:rPr>
              <w:t>目标1：加强口岸传染病疫情防控能力，开展培训演练，补充完善口岸疫情防控物资；</w:t>
              <w:br/>
              <w:t>目标2：对境内外传染病疫情风险进行监控，防范传染病传入传出；</w:t>
              <w:br/>
              <w:t xml:space="preserve">目标3：对传染病防控相关知识进行科普宣传，提高人民群众防范重大传染病的意识； </w:t>
              <w:br/>
              <w:t>目标4：为口岸配备重点关注的传染病快速筛查设备，补充更新现场快检试剂，提高传染病筛查准确性，缩短筛查时间；</w:t>
              <w:br/>
              <w:t>目标5：加强口岸病媒生物监测能力，对捕获的病媒生物开展病原体检测，防范媒介传染病在口岸传播扩散；</w:t>
              <w:br/>
              <w:t>目标6：加强口岸卫生监督能力，完成口岸食品饮用水安全监督抽样送检，保障口岸公共卫生安全。</w:t>
            </w:r>
          </w:p>
        </w:tc>
      </w:tr>
      <w:tr>
        <w:trPr>
          <w:trHeight w:val="600"/>
        </w:trPr>
        <w:tc>
          <w:tcPr>
            <w:tcW w:w="43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绩</w:t>
              <w:br/>
              <w:t>效</w:t>
              <w:br/>
              <w:t>指</w:t>
              <w:br/>
              <w:t>标</w:t>
            </w:r>
          </w:p>
        </w:tc>
        <w:tc>
          <w:tcPr>
            <w:tcW w:w="1004"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宋体" w:cs="宋体"/>
                <w:kern w:val="0"/>
                <w:sz w:val="22"/>
              </w:rPr>
            </w:pPr>
            <w:r>
              <w:rPr>
                <w:rFonts w:ascii="宋体" w:cs="宋体" w:hint="eastAsia"/>
                <w:kern w:val="0"/>
                <w:sz w:val="22"/>
              </w:rPr>
              <w:t>一级</w:t>
              <w:br/>
              <w:t>指标</w:t>
            </w:r>
          </w:p>
        </w:tc>
        <w:tc>
          <w:tcPr>
            <w:tcW w:w="175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二级指标</w:t>
            </w:r>
          </w:p>
        </w:tc>
        <w:tc>
          <w:tcPr>
            <w:tcW w:w="2569" w:type="dxa"/>
            <w:gridSpan w:val="2"/>
            <w:tcBorders>
              <w:top w:val="single" w:sz="4" w:space="0" w:color="auto"/>
              <w:left w:val="nil"/>
              <w:bottom w:val="single" w:sz="4" w:space="0" w:color="auto"/>
              <w:right w:val="single" w:sz="4" w:space="0" w:color="000000"/>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三级指标</w:t>
            </w:r>
          </w:p>
        </w:tc>
        <w:tc>
          <w:tcPr>
            <w:tcW w:w="1756"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指标值</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分值</w:t>
              <w:br/>
              <w:t>（90）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val="restart"/>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0"/>
                <w:szCs w:val="20"/>
              </w:rPr>
            </w:pPr>
            <w:r>
              <w:rPr>
                <w:rFonts w:ascii="宋体" w:cs="宋体" w:hint="eastAsia"/>
                <w:kern w:val="0"/>
                <w:sz w:val="20"/>
                <w:szCs w:val="20"/>
              </w:rPr>
              <w:t>产出指标</w:t>
            </w:r>
          </w:p>
        </w:tc>
        <w:tc>
          <w:tcPr>
            <w:tcW w:w="1754" w:type="dxa"/>
            <w:vMerge w:val="restart"/>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0"/>
                <w:szCs w:val="20"/>
              </w:rPr>
            </w:pPr>
            <w:r>
              <w:rPr>
                <w:rFonts w:ascii="宋体" w:cs="宋体" w:hint="eastAsia"/>
                <w:kern w:val="0"/>
                <w:sz w:val="20"/>
                <w:szCs w:val="20"/>
              </w:rPr>
              <w:t>数量指标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rPr>
                <w:rFonts w:ascii="宋体" w:cs="宋体"/>
                <w:kern w:val="0"/>
                <w:sz w:val="18"/>
                <w:szCs w:val="18"/>
              </w:rPr>
            </w:pPr>
            <w:r>
              <w:rPr>
                <w:rFonts w:ascii="宋体" w:cs="宋体" w:hint="eastAsia"/>
                <w:kern w:val="0"/>
                <w:sz w:val="18"/>
                <w:szCs w:val="18"/>
              </w:rPr>
              <w:t>口岸传染病疫情风险评估次数</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0"/>
                <w:szCs w:val="20"/>
              </w:rPr>
            </w:pPr>
            <w:r>
              <w:rPr>
                <w:rFonts w:ascii="宋体" w:cs="宋体" w:hint="eastAsia"/>
                <w:kern w:val="0"/>
                <w:sz w:val="20"/>
                <w:szCs w:val="20"/>
              </w:rPr>
              <w:t>≥1次</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0"/>
                <w:szCs w:val="20"/>
              </w:rPr>
            </w:pPr>
            <w:r>
              <w:rPr>
                <w:rFonts w:ascii="宋体" w:cs="宋体" w:hint="eastAsia"/>
                <w:kern w:val="0"/>
                <w:sz w:val="20"/>
                <w:szCs w:val="20"/>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rPr>
                <w:rFonts w:ascii="宋体" w:cs="宋体"/>
                <w:kern w:val="0"/>
                <w:sz w:val="18"/>
                <w:szCs w:val="18"/>
              </w:rPr>
            </w:pPr>
            <w:r>
              <w:rPr>
                <w:rFonts w:ascii="宋体" w:cs="宋体" w:hint="eastAsia"/>
                <w:kern w:val="0"/>
                <w:sz w:val="18"/>
                <w:szCs w:val="18"/>
              </w:rPr>
              <w:t>外来传染病监测点</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0"/>
                <w:szCs w:val="20"/>
              </w:rPr>
            </w:pPr>
            <w:r>
              <w:rPr>
                <w:rFonts w:ascii="宋体" w:cs="宋体" w:hint="eastAsia"/>
                <w:kern w:val="0"/>
                <w:sz w:val="20"/>
                <w:szCs w:val="20"/>
              </w:rPr>
              <w:t>≥1个</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0"/>
                <w:szCs w:val="20"/>
              </w:rPr>
            </w:pPr>
            <w:r>
              <w:rPr>
                <w:rFonts w:ascii="宋体" w:cs="宋体" w:hint="eastAsia"/>
                <w:kern w:val="0"/>
                <w:sz w:val="20"/>
                <w:szCs w:val="20"/>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val="restart"/>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0"/>
                <w:szCs w:val="20"/>
              </w:rPr>
            </w:pPr>
            <w:r>
              <w:rPr>
                <w:rFonts w:ascii="宋体" w:cs="宋体" w:hint="eastAsia"/>
                <w:kern w:val="0"/>
                <w:sz w:val="20"/>
                <w:szCs w:val="20"/>
              </w:rPr>
              <w:t>质量指标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rPr>
                <w:rFonts w:ascii="宋体" w:cs="宋体"/>
                <w:kern w:val="0"/>
                <w:sz w:val="18"/>
                <w:szCs w:val="18"/>
              </w:rPr>
            </w:pPr>
            <w:r>
              <w:rPr>
                <w:rFonts w:ascii="宋体" w:cs="宋体" w:hint="eastAsia"/>
                <w:kern w:val="0"/>
                <w:sz w:val="18"/>
                <w:szCs w:val="18"/>
              </w:rPr>
              <w:t>多通道传染病监测设备覆盖率</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0"/>
                <w:szCs w:val="20"/>
              </w:rPr>
            </w:pPr>
            <w:r>
              <w:rPr>
                <w:rFonts w:ascii="宋体" w:cs="宋体" w:hint="eastAsia"/>
                <w:kern w:val="0"/>
                <w:sz w:val="20"/>
                <w:szCs w:val="20"/>
              </w:rPr>
              <w:t>≥90%</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0"/>
                <w:szCs w:val="20"/>
              </w:rPr>
            </w:pPr>
            <w:r>
              <w:rPr>
                <w:rFonts w:ascii="宋体" w:cs="宋体" w:hint="eastAsia"/>
                <w:kern w:val="0"/>
                <w:sz w:val="20"/>
                <w:szCs w:val="20"/>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rPr>
                <w:rFonts w:ascii="宋体" w:cs="宋体"/>
                <w:kern w:val="0"/>
                <w:sz w:val="18"/>
                <w:szCs w:val="18"/>
              </w:rPr>
            </w:pPr>
            <w:r>
              <w:rPr>
                <w:rFonts w:ascii="宋体" w:cs="宋体" w:hint="eastAsia"/>
                <w:kern w:val="0"/>
                <w:sz w:val="18"/>
                <w:szCs w:val="18"/>
              </w:rPr>
              <w:t>口岸食品安全、水质安全送检率</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0"/>
                <w:szCs w:val="20"/>
              </w:rPr>
            </w:pPr>
            <w:r>
              <w:rPr>
                <w:rFonts w:ascii="宋体" w:cs="宋体" w:hint="eastAsia"/>
                <w:kern w:val="0"/>
                <w:sz w:val="20"/>
                <w:szCs w:val="20"/>
              </w:rPr>
              <w:t>≥50%</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0"/>
                <w:szCs w:val="20"/>
              </w:rPr>
            </w:pPr>
            <w:r>
              <w:rPr>
                <w:rFonts w:ascii="宋体" w:cs="宋体" w:hint="eastAsia"/>
                <w:kern w:val="0"/>
                <w:sz w:val="20"/>
                <w:szCs w:val="20"/>
              </w:rPr>
              <w:t>5</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rPr>
                <w:rFonts w:ascii="宋体" w:cs="宋体"/>
                <w:kern w:val="0"/>
                <w:sz w:val="18"/>
                <w:szCs w:val="18"/>
              </w:rPr>
            </w:pPr>
            <w:r>
              <w:rPr>
                <w:rFonts w:ascii="宋体" w:cs="宋体" w:hint="eastAsia"/>
                <w:kern w:val="0"/>
                <w:sz w:val="18"/>
                <w:szCs w:val="18"/>
              </w:rPr>
              <w:t>病媒生物监测口岸送检率</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0"/>
                <w:szCs w:val="20"/>
              </w:rPr>
            </w:pPr>
            <w:r>
              <w:rPr>
                <w:rFonts w:ascii="宋体" w:cs="宋体" w:hint="eastAsia"/>
                <w:kern w:val="0"/>
                <w:sz w:val="20"/>
                <w:szCs w:val="20"/>
              </w:rPr>
              <w:t>≥95%</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0"/>
                <w:szCs w:val="20"/>
              </w:rPr>
            </w:pPr>
            <w:r>
              <w:rPr>
                <w:rFonts w:ascii="宋体" w:cs="宋体" w:hint="eastAsia"/>
                <w:kern w:val="0"/>
                <w:sz w:val="20"/>
                <w:szCs w:val="20"/>
              </w:rPr>
              <w:t>5</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rPr>
                <w:rFonts w:ascii="宋体" w:cs="宋体"/>
                <w:kern w:val="0"/>
                <w:sz w:val="18"/>
                <w:szCs w:val="18"/>
              </w:rPr>
            </w:pPr>
            <w:r>
              <w:rPr>
                <w:rFonts w:ascii="宋体" w:cs="宋体" w:hint="eastAsia"/>
                <w:kern w:val="0"/>
                <w:sz w:val="18"/>
                <w:szCs w:val="18"/>
              </w:rPr>
              <w:t>病媒生物监测覆盖率（已开展病媒生物监测的口岸数与应开展病媒生物监测的口岸数的比率）</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0"/>
                <w:szCs w:val="20"/>
              </w:rPr>
            </w:pPr>
            <w:r>
              <w:rPr>
                <w:rFonts w:ascii="宋体" w:cs="宋体" w:hint="eastAsia"/>
                <w:kern w:val="0"/>
                <w:sz w:val="20"/>
                <w:szCs w:val="20"/>
              </w:rPr>
              <w:t>≥95%</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0"/>
                <w:szCs w:val="20"/>
              </w:rPr>
            </w:pPr>
            <w:r>
              <w:rPr>
                <w:rFonts w:ascii="宋体" w:cs="宋体" w:hint="eastAsia"/>
                <w:kern w:val="0"/>
                <w:sz w:val="20"/>
                <w:szCs w:val="20"/>
              </w:rPr>
              <w:t>5</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rPr>
                <w:rFonts w:ascii="宋体" w:cs="宋体"/>
                <w:kern w:val="0"/>
                <w:sz w:val="18"/>
                <w:szCs w:val="18"/>
              </w:rPr>
            </w:pPr>
            <w:r>
              <w:rPr>
                <w:rFonts w:ascii="宋体" w:cs="宋体" w:hint="eastAsia"/>
                <w:kern w:val="0"/>
                <w:sz w:val="18"/>
                <w:szCs w:val="18"/>
              </w:rPr>
              <w:t>《全国口岸食品安全抽检计划》年度完成率（%）</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0"/>
                <w:szCs w:val="20"/>
              </w:rPr>
            </w:pPr>
            <w:r>
              <w:rPr>
                <w:rFonts w:ascii="宋体" w:cs="宋体" w:hint="eastAsia"/>
                <w:kern w:val="0"/>
                <w:sz w:val="20"/>
                <w:szCs w:val="20"/>
              </w:rPr>
              <w:t>≥95%</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0"/>
                <w:szCs w:val="20"/>
              </w:rPr>
            </w:pPr>
            <w:r>
              <w:rPr>
                <w:rFonts w:ascii="宋体" w:cs="宋体" w:hint="eastAsia"/>
                <w:kern w:val="0"/>
                <w:sz w:val="20"/>
                <w:szCs w:val="20"/>
              </w:rPr>
              <w:t>5</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0"/>
                <w:szCs w:val="20"/>
              </w:rPr>
            </w:pPr>
            <w:r>
              <w:rPr>
                <w:rFonts w:ascii="宋体" w:cs="宋体" w:hint="eastAsia"/>
                <w:kern w:val="0"/>
                <w:sz w:val="20"/>
                <w:szCs w:val="20"/>
              </w:rPr>
              <w:t>效益指标</w:t>
            </w:r>
          </w:p>
        </w:tc>
        <w:tc>
          <w:tcPr>
            <w:tcW w:w="175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0"/>
                <w:szCs w:val="20"/>
              </w:rPr>
            </w:pPr>
            <w:r>
              <w:rPr>
                <w:rFonts w:ascii="宋体" w:cs="宋体" w:hint="eastAsia"/>
                <w:kern w:val="0"/>
                <w:sz w:val="20"/>
                <w:szCs w:val="20"/>
              </w:rPr>
              <w:t>社会效益指标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rPr>
                <w:rFonts w:ascii="宋体" w:cs="宋体"/>
                <w:kern w:val="0"/>
                <w:sz w:val="18"/>
                <w:szCs w:val="18"/>
              </w:rPr>
            </w:pPr>
            <w:r>
              <w:rPr>
                <w:rFonts w:ascii="宋体" w:cs="宋体" w:hint="eastAsia"/>
                <w:kern w:val="0"/>
                <w:sz w:val="18"/>
                <w:szCs w:val="18"/>
              </w:rPr>
              <w:t>有效提高口岸公共卫生环境</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0"/>
                <w:szCs w:val="20"/>
              </w:rPr>
            </w:pPr>
            <w:r>
              <w:rPr>
                <w:rFonts w:ascii="宋体" w:cs="宋体" w:hint="eastAsia"/>
                <w:kern w:val="0"/>
                <w:sz w:val="20"/>
                <w:szCs w:val="20"/>
              </w:rPr>
              <w:t>是</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0"/>
                <w:szCs w:val="20"/>
              </w:rPr>
            </w:pPr>
            <w:r>
              <w:rPr>
                <w:rFonts w:ascii="宋体" w:cs="宋体" w:hint="eastAsia"/>
                <w:kern w:val="0"/>
                <w:sz w:val="20"/>
                <w:szCs w:val="20"/>
              </w:rPr>
              <w:t>30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0"/>
                <w:szCs w:val="20"/>
              </w:rPr>
            </w:pPr>
            <w:r>
              <w:rPr>
                <w:rFonts w:ascii="宋体" w:cs="宋体" w:hint="eastAsia"/>
                <w:kern w:val="0"/>
                <w:sz w:val="20"/>
                <w:szCs w:val="20"/>
              </w:rPr>
              <w:t>满意度指标</w:t>
            </w:r>
          </w:p>
        </w:tc>
        <w:tc>
          <w:tcPr>
            <w:tcW w:w="175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0"/>
                <w:szCs w:val="20"/>
              </w:rPr>
            </w:pPr>
            <w:r>
              <w:rPr>
                <w:rFonts w:ascii="宋体" w:cs="宋体" w:hint="eastAsia"/>
                <w:kern w:val="0"/>
                <w:sz w:val="20"/>
                <w:szCs w:val="20"/>
              </w:rPr>
              <w:t>服务对象满意度指标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rPr>
                <w:rFonts w:ascii="宋体" w:cs="宋体"/>
                <w:kern w:val="0"/>
                <w:sz w:val="18"/>
                <w:szCs w:val="18"/>
              </w:rPr>
            </w:pPr>
            <w:r>
              <w:rPr>
                <w:rFonts w:ascii="宋体" w:cs="宋体" w:hint="eastAsia"/>
                <w:kern w:val="0"/>
                <w:sz w:val="18"/>
                <w:szCs w:val="18"/>
              </w:rPr>
              <w:t>进出境人员满意度</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0"/>
                <w:szCs w:val="20"/>
              </w:rPr>
            </w:pPr>
            <w:r>
              <w:rPr>
                <w:rFonts w:ascii="宋体" w:cs="宋体" w:hint="eastAsia"/>
                <w:kern w:val="0"/>
                <w:sz w:val="20"/>
                <w:szCs w:val="20"/>
              </w:rPr>
              <w:t>≥90%</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0"/>
                <w:szCs w:val="20"/>
              </w:rPr>
            </w:pPr>
            <w:r>
              <w:rPr>
                <w:rFonts w:ascii="宋体" w:cs="宋体" w:hint="eastAsia"/>
                <w:kern w:val="0"/>
                <w:sz w:val="20"/>
                <w:szCs w:val="20"/>
              </w:rPr>
              <w:t>10</w:t>
            </w:r>
          </w:p>
        </w:tc>
      </w:tr>
    </w:tbl>
    <w:p>
      <w:pPr>
        <w:widowControl/>
        <w:jc w:val="left"/>
        <w:rPr>
          <w:rFonts w:ascii="宋体" w:cs="宋体"/>
          <w:kern w:val="0"/>
          <w:sz w:val="24"/>
          <w:szCs w:val="24"/>
        </w:rPr>
        <w:sectPr>
          <w:pgSz w:w="11906" w:h="16838"/>
          <w:pgMar w:top="1440" w:right="1800" w:bottom="1440" w:left="1800" w:header="851" w:footer="992" w:gutter="0"/>
          <w:docGrid w:type="lines" w:linePitch="312" w:charSpace="0"/>
        </w:sectPr>
      </w:pP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38"/>
        <w:gridCol w:w="1004"/>
        <w:gridCol w:w="1754"/>
        <w:gridCol w:w="815"/>
        <w:gridCol w:w="1754"/>
        <w:gridCol w:w="1756"/>
        <w:gridCol w:w="1002"/>
      </w:tblGrid>
      <w:tr>
        <w:trPr>
          <w:trHeight w:val="702"/>
        </w:trPr>
        <w:tc>
          <w:tcPr>
            <w:tcW w:w="8523" w:type="dxa"/>
            <w:gridSpan w:val="7"/>
            <w:tcBorders>
              <w:top w:val="nil"/>
              <w:left w:val="nil"/>
              <w:bottom w:val="nil"/>
              <w:right w:val="nil"/>
            </w:tcBorders>
            <w:shd w:val="clear" w:color="auto" w:fill="auto"/>
            <w:vAlign w:val="center"/>
          </w:tcPr>
          <w:p>
            <w:pPr>
              <w:widowControl/>
              <w:autoSpaceDN w:val="0"/>
              <w:jc w:val="center"/>
              <w:rPr>
                <w:rFonts w:ascii="黑体" w:eastAsia="黑体" w:cs="宋体"/>
                <w:kern w:val="0"/>
                <w:sz w:val="32"/>
                <w:szCs w:val="32"/>
              </w:rPr>
            </w:pPr>
            <w:r>
              <w:rPr>
                <w:rFonts w:ascii="黑体" w:eastAsia="黑体" w:cs="宋体" w:hint="eastAsia"/>
                <w:kern w:val="0"/>
                <w:sz w:val="32"/>
                <w:szCs w:val="32"/>
              </w:rPr>
              <w:t>绩效目标表</w:t>
            </w:r>
          </w:p>
        </w:tc>
      </w:tr>
      <w:tr>
        <w:trPr>
          <w:trHeight w:val="499"/>
        </w:trPr>
        <w:tc>
          <w:tcPr>
            <w:tcW w:w="8523" w:type="dxa"/>
            <w:gridSpan w:val="7"/>
            <w:tcBorders>
              <w:top w:val="nil"/>
              <w:left w:val="nil"/>
              <w:bottom w:val="nil"/>
              <w:right w:val="nil"/>
            </w:tcBorders>
            <w:shd w:val="clear" w:color="auto" w:fill="auto"/>
          </w:tcPr>
          <w:p>
            <w:pPr>
              <w:widowControl/>
              <w:autoSpaceDN w:val="0"/>
              <w:jc w:val="center"/>
              <w:rPr>
                <w:rFonts w:ascii="宋体" w:cs="宋体"/>
                <w:kern w:val="0"/>
                <w:sz w:val="24"/>
                <w:szCs w:val="24"/>
              </w:rPr>
            </w:pPr>
            <w:r>
              <w:rPr>
                <w:rFonts w:ascii="宋体" w:cs="宋体" w:hint="eastAsia"/>
                <w:kern w:val="0"/>
                <w:sz w:val="24"/>
                <w:szCs w:val="24"/>
              </w:rPr>
              <w:t>（2024年度）</w:t>
            </w:r>
          </w:p>
        </w:tc>
      </w:tr>
      <w:tr>
        <w:trPr>
          <w:trHeight w:val="439"/>
        </w:trPr>
        <w:tc>
          <w:tcPr>
            <w:tcW w:w="14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项目名称</w:t>
            </w:r>
          </w:p>
        </w:tc>
        <w:tc>
          <w:tcPr>
            <w:tcW w:w="7081" w:type="dxa"/>
            <w:gridSpan w:val="5"/>
            <w:tcBorders>
              <w:top w:val="single" w:sz="4" w:space="0" w:color="auto"/>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海关业务保障及能力提升专项</w:t>
            </w:r>
          </w:p>
        </w:tc>
      </w:tr>
      <w:tr>
        <w:trPr>
          <w:trHeight w:val="439"/>
        </w:trPr>
        <w:tc>
          <w:tcPr>
            <w:tcW w:w="14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主管部门及代码</w:t>
            </w: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[167]海关总署</w:t>
            </w:r>
          </w:p>
        </w:tc>
        <w:tc>
          <w:tcPr>
            <w:tcW w:w="1754"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实施单位</w:t>
            </w:r>
          </w:p>
        </w:tc>
        <w:tc>
          <w:tcPr>
            <w:tcW w:w="2758" w:type="dxa"/>
            <w:gridSpan w:val="2"/>
            <w:tcBorders>
              <w:top w:val="single" w:sz="4" w:space="0" w:color="auto"/>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中华人民共和国鄂尔多斯海关</w:t>
            </w:r>
          </w:p>
        </w:tc>
      </w:tr>
      <w:tr>
        <w:trPr>
          <w:trHeight w:val="439"/>
        </w:trPr>
        <w:tc>
          <w:tcPr>
            <w:tcW w:w="1442"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项目资金</w:t>
              <w:br/>
              <w:t>（万元）</w:t>
            </w: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jc w:val="left"/>
              <w:rPr>
                <w:rFonts w:ascii="宋体" w:cs="宋体"/>
                <w:kern w:val="0"/>
                <w:sz w:val="22"/>
              </w:rPr>
            </w:pPr>
            <w:r>
              <w:rPr>
                <w:rFonts w:ascii="宋体" w:cs="宋体" w:hint="eastAsia"/>
                <w:kern w:val="0"/>
                <w:sz w:val="22"/>
              </w:rPr>
              <w:t>年度资金总额：</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right"/>
              <w:rPr>
                <w:rFonts w:ascii="宋体" w:cs="宋体"/>
                <w:kern w:val="0"/>
                <w:sz w:val="22"/>
              </w:rPr>
            </w:pPr>
            <w:r>
              <w:rPr>
                <w:rFonts w:ascii="宋体" w:cs="宋体" w:hint="eastAsia"/>
                <w:kern w:val="0"/>
                <w:sz w:val="22"/>
              </w:rPr>
              <w:t xml:space="preserve"> 54.44 </w:t>
            </w:r>
          </w:p>
        </w:tc>
        <w:tc>
          <w:tcPr>
            <w:tcW w:w="1002" w:type="dxa"/>
            <w:vMerge w:val="restart"/>
            <w:tcBorders>
              <w:top w:val="nil"/>
              <w:left w:val="single" w:sz="4" w:space="0" w:color="auto"/>
              <w:bottom w:val="single" w:sz="4" w:space="0" w:color="000000"/>
              <w:right w:val="single" w:sz="4" w:space="0" w:color="auto"/>
            </w:tcBorders>
            <w:shd w:val="clear" w:color="auto" w:fill="C7EDCC"/>
            <w:vAlign w:val="center"/>
          </w:tcPr>
          <w:p>
            <w:pPr>
              <w:widowControl/>
              <w:autoSpaceDN w:val="0"/>
              <w:jc w:val="center"/>
              <w:rPr>
                <w:rFonts w:ascii="宋体" w:cs="宋体"/>
                <w:kern w:val="0"/>
                <w:sz w:val="22"/>
              </w:rPr>
            </w:pPr>
            <w:r>
              <w:rPr>
                <w:rFonts w:ascii="宋体" w:cs="宋体" w:hint="eastAsia"/>
                <w:kern w:val="0"/>
                <w:sz w:val="22"/>
              </w:rPr>
              <w:t>执行率</w:t>
              <w:br/>
              <w:t>分值（10）</w:t>
            </w: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其中：财政拨款</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right"/>
              <w:rPr>
                <w:rFonts w:ascii="宋体" w:cs="宋体"/>
                <w:kern w:val="0"/>
                <w:sz w:val="22"/>
              </w:rPr>
            </w:pPr>
            <w:r>
              <w:rPr>
                <w:rFonts w:ascii="宋体" w:cs="宋体" w:hint="eastAsia"/>
                <w:kern w:val="0"/>
                <w:sz w:val="22"/>
              </w:rPr>
              <w:t xml:space="preserve"> 54.44 </w:t>
            </w:r>
          </w:p>
        </w:tc>
        <w:tc>
          <w:tcPr>
            <w:tcW w:w="1002" w:type="dxa"/>
            <w:vMerge/>
            <w:tcBorders>
              <w:top w:val="nil"/>
              <w:left w:val="single" w:sz="4" w:space="0" w:color="auto"/>
              <w:bottom w:val="single" w:sz="4" w:space="0" w:color="000000"/>
              <w:right w:val="single" w:sz="4" w:space="0" w:color="auto"/>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上年结转</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right"/>
              <w:rPr>
                <w:rFonts w:ascii="宋体" w:cs="宋体"/>
                <w:kern w:val="0"/>
                <w:sz w:val="22"/>
              </w:rPr>
            </w:pPr>
            <w:r>
              <w:rPr>
                <w:rFonts w:ascii="宋体" w:cs="宋体" w:hint="eastAsia"/>
                <w:kern w:val="0"/>
                <w:sz w:val="22"/>
              </w:rPr>
              <w:t xml:space="preserve"> - </w:t>
            </w:r>
          </w:p>
        </w:tc>
        <w:tc>
          <w:tcPr>
            <w:tcW w:w="1002" w:type="dxa"/>
            <w:vMerge/>
            <w:tcBorders>
              <w:top w:val="nil"/>
              <w:left w:val="single" w:sz="4" w:space="0" w:color="auto"/>
              <w:bottom w:val="single" w:sz="4" w:space="0" w:color="000000"/>
              <w:right w:val="single" w:sz="4" w:space="0" w:color="auto"/>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其他资金</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right"/>
              <w:rPr>
                <w:rFonts w:ascii="宋体" w:cs="宋体"/>
                <w:kern w:val="0"/>
                <w:sz w:val="22"/>
              </w:rPr>
            </w:pPr>
            <w:r>
              <w:rPr>
                <w:rFonts w:ascii="宋体" w:cs="宋体" w:hint="eastAsia"/>
                <w:kern w:val="0"/>
                <w:sz w:val="22"/>
              </w:rPr>
              <w:t xml:space="preserve"> - </w:t>
            </w:r>
          </w:p>
        </w:tc>
        <w:tc>
          <w:tcPr>
            <w:tcW w:w="1002" w:type="dxa"/>
            <w:vMerge/>
            <w:tcBorders>
              <w:top w:val="nil"/>
              <w:left w:val="single" w:sz="4" w:space="0" w:color="auto"/>
              <w:bottom w:val="single" w:sz="4" w:space="0" w:color="000000"/>
              <w:right w:val="single" w:sz="4" w:space="0" w:color="auto"/>
            </w:tcBorders>
            <w:vAlign w:val="center"/>
          </w:tcPr>
          <w:p/>
        </w:tc>
      </w:tr>
      <w:tr>
        <w:trPr>
          <w:trHeight w:val="1782"/>
        </w:trPr>
        <w:tc>
          <w:tcPr>
            <w:tcW w:w="438" w:type="dxa"/>
            <w:tcBorders>
              <w:top w:val="nil"/>
              <w:left w:val="single" w:sz="4" w:space="0" w:color="auto"/>
              <w:bottom w:val="nil"/>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年</w:t>
              <w:br/>
              <w:t>度</w:t>
              <w:br/>
              <w:t>总</w:t>
              <w:br/>
              <w:t>体</w:t>
              <w:br/>
              <w:t>目</w:t>
              <w:br/>
              <w:t>标</w:t>
            </w:r>
          </w:p>
        </w:tc>
        <w:tc>
          <w:tcPr>
            <w:tcW w:w="8085" w:type="dxa"/>
            <w:gridSpan w:val="6"/>
            <w:tcBorders>
              <w:top w:val="single" w:sz="4" w:space="0" w:color="auto"/>
              <w:left w:val="nil"/>
              <w:bottom w:val="single" w:sz="4" w:space="0" w:color="auto"/>
              <w:right w:val="single" w:sz="4" w:space="0" w:color="auto"/>
            </w:tcBorders>
            <w:shd w:val="clear" w:color="auto" w:fill="auto"/>
            <w:vAlign w:val="center"/>
          </w:tcPr>
          <w:p>
            <w:pPr>
              <w:widowControl/>
              <w:autoSpaceDN w:val="0"/>
              <w:rPr>
                <w:rFonts w:ascii="宋体" w:cs="宋体"/>
                <w:kern w:val="0"/>
                <w:sz w:val="22"/>
              </w:rPr>
            </w:pPr>
            <w:r>
              <w:rPr>
                <w:rFonts w:ascii="宋体" w:cs="宋体" w:hint="eastAsia"/>
                <w:kern w:val="0"/>
                <w:sz w:val="22"/>
              </w:rPr>
              <w:t>目标1：通过开展相关业务培训，提高海关执法人员的业务能力与工作水平；</w:t>
              <w:br/>
              <w:t>目标2：满足海关业务现场开展工作的各项需要，包括海关业务现场根据需要进行改造、业务设备和办公用品等购置、业务现场的运维等相关费用，为现场工作购买劳务等；</w:t>
              <w:br/>
              <w:t>目标3：提高海关现代化的业务水平，保障国门安全防线严密牢固，监管执法有力，风险防控无重大疏漏，打击走私行为严厉有效，科技技术水平明显提升，综合保障能力健全，基础建设更加完善；</w:t>
              <w:br/>
              <w:t>目标4：立足辖区实际，针对不同车辆现状进行更新配备，保障执法执勤工作正常开展。</w:t>
            </w:r>
          </w:p>
        </w:tc>
      </w:tr>
      <w:tr>
        <w:trPr>
          <w:trHeight w:val="600"/>
        </w:trPr>
        <w:tc>
          <w:tcPr>
            <w:tcW w:w="43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绩</w:t>
              <w:br/>
              <w:t>效</w:t>
              <w:br/>
              <w:t>指</w:t>
              <w:br/>
              <w:t>标</w:t>
            </w:r>
          </w:p>
        </w:tc>
        <w:tc>
          <w:tcPr>
            <w:tcW w:w="1004"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宋体" w:cs="宋体"/>
                <w:kern w:val="0"/>
                <w:sz w:val="22"/>
              </w:rPr>
            </w:pPr>
            <w:r>
              <w:rPr>
                <w:rFonts w:ascii="宋体" w:cs="宋体" w:hint="eastAsia"/>
                <w:kern w:val="0"/>
                <w:sz w:val="22"/>
              </w:rPr>
              <w:t>一级</w:t>
              <w:br/>
              <w:t>指标</w:t>
            </w:r>
          </w:p>
        </w:tc>
        <w:tc>
          <w:tcPr>
            <w:tcW w:w="175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二级指标</w:t>
            </w:r>
          </w:p>
        </w:tc>
        <w:tc>
          <w:tcPr>
            <w:tcW w:w="2569" w:type="dxa"/>
            <w:gridSpan w:val="2"/>
            <w:tcBorders>
              <w:top w:val="single" w:sz="4" w:space="0" w:color="auto"/>
              <w:left w:val="nil"/>
              <w:bottom w:val="single" w:sz="4" w:space="0" w:color="auto"/>
              <w:right w:val="single" w:sz="4" w:space="0" w:color="000000"/>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三级指标</w:t>
            </w:r>
          </w:p>
        </w:tc>
        <w:tc>
          <w:tcPr>
            <w:tcW w:w="1756"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指标值</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分值</w:t>
              <w:br/>
              <w:t>（90）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成本指标</w:t>
            </w:r>
          </w:p>
        </w:tc>
        <w:tc>
          <w:tcPr>
            <w:tcW w:w="175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经济成本指标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rPr>
                <w:rFonts w:ascii="宋体" w:cs="宋体"/>
                <w:kern w:val="0"/>
                <w:sz w:val="22"/>
              </w:rPr>
            </w:pPr>
            <w:r>
              <w:rPr>
                <w:rFonts w:ascii="宋体" w:cs="宋体" w:hint="eastAsia"/>
                <w:kern w:val="0"/>
                <w:sz w:val="22"/>
              </w:rPr>
              <w:t>公务用车购置费用</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≤25万元/辆</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20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val="restart"/>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产出指标</w:t>
            </w:r>
          </w:p>
        </w:tc>
        <w:tc>
          <w:tcPr>
            <w:tcW w:w="1754" w:type="dxa"/>
            <w:vMerge w:val="restart"/>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数量指标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rPr>
                <w:rFonts w:ascii="宋体" w:cs="宋体"/>
                <w:kern w:val="0"/>
                <w:sz w:val="22"/>
              </w:rPr>
            </w:pPr>
            <w:r>
              <w:rPr>
                <w:rFonts w:ascii="宋体" w:cs="宋体" w:hint="eastAsia"/>
                <w:kern w:val="0"/>
                <w:sz w:val="22"/>
              </w:rPr>
              <w:t>保障公务用车数量</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≥6辆</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rPr>
                <w:rFonts w:ascii="宋体" w:cs="宋体"/>
                <w:kern w:val="0"/>
                <w:sz w:val="22"/>
              </w:rPr>
            </w:pPr>
            <w:r>
              <w:rPr>
                <w:rFonts w:ascii="宋体" w:cs="宋体" w:hint="eastAsia"/>
                <w:kern w:val="0"/>
                <w:sz w:val="22"/>
              </w:rPr>
              <w:t>保障关警员数量</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≥28人/年</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5</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rPr>
                <w:rFonts w:ascii="宋体" w:cs="宋体"/>
                <w:kern w:val="0"/>
                <w:sz w:val="22"/>
              </w:rPr>
            </w:pPr>
            <w:r>
              <w:rPr>
                <w:rFonts w:ascii="宋体" w:cs="宋体" w:hint="eastAsia"/>
                <w:kern w:val="0"/>
                <w:sz w:val="22"/>
              </w:rPr>
              <w:t>开展国门生物安全培训或宣传次数</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≥1次</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5</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val="restart"/>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质量指标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rPr>
                <w:rFonts w:ascii="宋体" w:cs="宋体"/>
                <w:kern w:val="0"/>
                <w:sz w:val="22"/>
              </w:rPr>
            </w:pPr>
            <w:r>
              <w:rPr>
                <w:rFonts w:ascii="宋体" w:cs="宋体" w:hint="eastAsia"/>
                <w:kern w:val="0"/>
                <w:sz w:val="22"/>
              </w:rPr>
              <w:t>公务用车无安全事故运转天数</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≥350天/年</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rPr>
                <w:rFonts w:ascii="宋体" w:cs="宋体"/>
                <w:kern w:val="0"/>
                <w:sz w:val="22"/>
              </w:rPr>
            </w:pPr>
            <w:r>
              <w:rPr>
                <w:rFonts w:ascii="宋体" w:cs="宋体" w:hint="eastAsia"/>
                <w:kern w:val="0"/>
                <w:sz w:val="22"/>
              </w:rPr>
              <w:t>培训合格率</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≥90%</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rPr>
                <w:rFonts w:ascii="宋体" w:cs="宋体"/>
                <w:kern w:val="0"/>
                <w:sz w:val="22"/>
              </w:rPr>
            </w:pPr>
            <w:r>
              <w:rPr>
                <w:rFonts w:ascii="宋体" w:cs="宋体" w:hint="eastAsia"/>
                <w:kern w:val="0"/>
                <w:sz w:val="22"/>
              </w:rPr>
              <w:t>执法人员持证上岗率</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≥95%</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效益指标</w:t>
            </w:r>
          </w:p>
        </w:tc>
        <w:tc>
          <w:tcPr>
            <w:tcW w:w="175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社会效益指标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rPr>
                <w:rFonts w:ascii="宋体" w:cs="宋体"/>
                <w:kern w:val="0"/>
                <w:sz w:val="22"/>
              </w:rPr>
            </w:pPr>
            <w:r>
              <w:rPr>
                <w:rFonts w:ascii="宋体" w:cs="宋体" w:hint="eastAsia"/>
                <w:kern w:val="0"/>
                <w:sz w:val="22"/>
              </w:rPr>
              <w:t>提升关区执法能力</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是</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20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满意度指标</w:t>
            </w:r>
          </w:p>
        </w:tc>
        <w:tc>
          <w:tcPr>
            <w:tcW w:w="175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服务对象满意度指标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rPr>
                <w:rFonts w:ascii="宋体" w:cs="宋体"/>
                <w:kern w:val="0"/>
                <w:sz w:val="22"/>
              </w:rPr>
            </w:pPr>
            <w:r>
              <w:rPr>
                <w:rFonts w:ascii="宋体" w:cs="宋体" w:hint="eastAsia"/>
                <w:kern w:val="0"/>
                <w:sz w:val="22"/>
              </w:rPr>
              <w:t>服务企业（抽样）满意度</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≥95%</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10</w:t>
            </w:r>
          </w:p>
        </w:tc>
      </w:tr>
    </w:tbl>
    <w:p>
      <w:pPr>
        <w:widowControl/>
        <w:jc w:val="left"/>
        <w:rPr>
          <w:rFonts w:ascii="宋体" w:cs="宋体"/>
          <w:kern w:val="0"/>
          <w:sz w:val="24"/>
          <w:szCs w:val="24"/>
        </w:rPr>
        <w:sectPr>
          <w:pgSz w:w="11906" w:h="16838"/>
          <w:pgMar w:top="1440" w:right="1800" w:bottom="1440" w:left="1800" w:header="851" w:footer="992" w:gutter="0"/>
          <w:docGrid w:type="lines" w:linePitch="312" w:charSpace="0"/>
        </w:sectPr>
      </w:pP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38"/>
        <w:gridCol w:w="1004"/>
        <w:gridCol w:w="1754"/>
        <w:gridCol w:w="815"/>
        <w:gridCol w:w="1754"/>
        <w:gridCol w:w="1756"/>
        <w:gridCol w:w="1002"/>
      </w:tblGrid>
      <w:tr>
        <w:trPr>
          <w:trHeight w:val="702"/>
        </w:trPr>
        <w:tc>
          <w:tcPr>
            <w:tcW w:w="8523" w:type="dxa"/>
            <w:gridSpan w:val="7"/>
            <w:tcBorders>
              <w:top w:val="nil"/>
              <w:left w:val="nil"/>
              <w:bottom w:val="nil"/>
              <w:right w:val="nil"/>
            </w:tcBorders>
            <w:shd w:val="clear" w:color="auto" w:fill="auto"/>
            <w:vAlign w:val="center"/>
          </w:tcPr>
          <w:p>
            <w:pPr>
              <w:widowControl/>
              <w:autoSpaceDN w:val="0"/>
              <w:jc w:val="center"/>
              <w:rPr>
                <w:rFonts w:ascii="黑体" w:eastAsia="黑体" w:cs="宋体"/>
                <w:kern w:val="0"/>
                <w:sz w:val="32"/>
                <w:szCs w:val="32"/>
              </w:rPr>
            </w:pPr>
            <w:r>
              <w:rPr>
                <w:rFonts w:ascii="黑体" w:eastAsia="黑体" w:cs="宋体" w:hint="eastAsia"/>
                <w:kern w:val="0"/>
                <w:sz w:val="32"/>
                <w:szCs w:val="32"/>
              </w:rPr>
              <w:t>绩效目标表</w:t>
            </w:r>
          </w:p>
        </w:tc>
      </w:tr>
      <w:tr>
        <w:trPr>
          <w:trHeight w:val="499"/>
        </w:trPr>
        <w:tc>
          <w:tcPr>
            <w:tcW w:w="8523" w:type="dxa"/>
            <w:gridSpan w:val="7"/>
            <w:tcBorders>
              <w:top w:val="nil"/>
              <w:left w:val="nil"/>
              <w:bottom w:val="nil"/>
              <w:right w:val="nil"/>
            </w:tcBorders>
            <w:shd w:val="clear" w:color="auto" w:fill="auto"/>
          </w:tcPr>
          <w:p>
            <w:pPr>
              <w:widowControl/>
              <w:autoSpaceDN w:val="0"/>
              <w:jc w:val="center"/>
              <w:rPr>
                <w:rFonts w:ascii="宋体" w:cs="宋体"/>
                <w:kern w:val="0"/>
                <w:sz w:val="24"/>
                <w:szCs w:val="24"/>
              </w:rPr>
            </w:pPr>
            <w:r>
              <w:rPr>
                <w:rFonts w:ascii="宋体" w:cs="宋体" w:hint="eastAsia"/>
                <w:kern w:val="0"/>
                <w:sz w:val="24"/>
                <w:szCs w:val="24"/>
              </w:rPr>
              <w:t>（2024年度）</w:t>
            </w:r>
          </w:p>
        </w:tc>
      </w:tr>
      <w:tr>
        <w:trPr>
          <w:trHeight w:val="439"/>
        </w:trPr>
        <w:tc>
          <w:tcPr>
            <w:tcW w:w="14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项目名称</w:t>
            </w:r>
          </w:p>
        </w:tc>
        <w:tc>
          <w:tcPr>
            <w:tcW w:w="7081" w:type="dxa"/>
            <w:gridSpan w:val="5"/>
            <w:tcBorders>
              <w:top w:val="single" w:sz="4" w:space="0" w:color="auto"/>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地方拨入专项</w:t>
            </w:r>
          </w:p>
        </w:tc>
      </w:tr>
      <w:tr>
        <w:trPr>
          <w:trHeight w:val="439"/>
        </w:trPr>
        <w:tc>
          <w:tcPr>
            <w:tcW w:w="14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主管部门及代码</w:t>
            </w: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[167]海关总署</w:t>
            </w:r>
          </w:p>
        </w:tc>
        <w:tc>
          <w:tcPr>
            <w:tcW w:w="1754"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实施单位</w:t>
            </w:r>
          </w:p>
        </w:tc>
        <w:tc>
          <w:tcPr>
            <w:tcW w:w="2758" w:type="dxa"/>
            <w:gridSpan w:val="2"/>
            <w:tcBorders>
              <w:top w:val="single" w:sz="4" w:space="0" w:color="auto"/>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中华人民共和国鄂尔多斯海关</w:t>
            </w:r>
          </w:p>
        </w:tc>
      </w:tr>
      <w:tr>
        <w:trPr>
          <w:trHeight w:val="439"/>
        </w:trPr>
        <w:tc>
          <w:tcPr>
            <w:tcW w:w="1442"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项目资金</w:t>
              <w:br/>
              <w:t>（万元）</w:t>
            </w: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jc w:val="left"/>
              <w:rPr>
                <w:rFonts w:ascii="宋体" w:cs="宋体"/>
                <w:kern w:val="0"/>
                <w:sz w:val="22"/>
              </w:rPr>
            </w:pPr>
            <w:r>
              <w:rPr>
                <w:rFonts w:ascii="宋体" w:cs="宋体" w:hint="eastAsia"/>
                <w:kern w:val="0"/>
                <w:sz w:val="22"/>
              </w:rPr>
              <w:t>年度资金总额：</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right"/>
              <w:rPr>
                <w:rFonts w:ascii="宋体" w:cs="宋体"/>
                <w:kern w:val="0"/>
                <w:sz w:val="22"/>
              </w:rPr>
            </w:pPr>
            <w:r>
              <w:rPr>
                <w:rFonts w:ascii="宋体" w:cs="宋体" w:hint="eastAsia"/>
                <w:kern w:val="0"/>
                <w:sz w:val="22"/>
              </w:rPr>
              <w:t xml:space="preserve"> 142.22 </w:t>
            </w:r>
          </w:p>
        </w:tc>
        <w:tc>
          <w:tcPr>
            <w:tcW w:w="1002" w:type="dxa"/>
            <w:vMerge w:val="restart"/>
            <w:tcBorders>
              <w:top w:val="nil"/>
              <w:left w:val="single" w:sz="4" w:space="0" w:color="auto"/>
              <w:bottom w:val="single" w:sz="4" w:space="0" w:color="000000"/>
              <w:right w:val="single" w:sz="4" w:space="0" w:color="auto"/>
            </w:tcBorders>
            <w:shd w:val="clear" w:color="auto" w:fill="C7EDCC"/>
            <w:vAlign w:val="center"/>
          </w:tcPr>
          <w:p>
            <w:pPr>
              <w:widowControl/>
              <w:autoSpaceDN w:val="0"/>
              <w:jc w:val="center"/>
              <w:rPr>
                <w:rFonts w:ascii="宋体" w:cs="宋体"/>
                <w:kern w:val="0"/>
                <w:sz w:val="22"/>
              </w:rPr>
            </w:pPr>
            <w:r>
              <w:rPr>
                <w:rFonts w:ascii="宋体" w:cs="宋体" w:hint="eastAsia"/>
                <w:kern w:val="0"/>
                <w:sz w:val="22"/>
              </w:rPr>
              <w:t>执行率</w:t>
              <w:br/>
              <w:t>分值（10）</w:t>
            </w: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其中：财政拨款</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right"/>
              <w:rPr>
                <w:rFonts w:ascii="宋体" w:cs="宋体"/>
                <w:kern w:val="0"/>
                <w:sz w:val="22"/>
              </w:rPr>
            </w:pPr>
            <w:r>
              <w:rPr>
                <w:rFonts w:ascii="宋体" w:cs="宋体" w:hint="eastAsia"/>
                <w:kern w:val="0"/>
                <w:sz w:val="22"/>
              </w:rPr>
              <w:t xml:space="preserve"> - </w:t>
            </w:r>
          </w:p>
        </w:tc>
        <w:tc>
          <w:tcPr>
            <w:tcW w:w="1002" w:type="dxa"/>
            <w:vMerge/>
            <w:tcBorders>
              <w:top w:val="nil"/>
              <w:left w:val="single" w:sz="4" w:space="0" w:color="auto"/>
              <w:bottom w:val="single" w:sz="4" w:space="0" w:color="000000"/>
              <w:right w:val="single" w:sz="4" w:space="0" w:color="auto"/>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上年结转</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right"/>
              <w:rPr>
                <w:rFonts w:ascii="宋体" w:cs="宋体"/>
                <w:kern w:val="0"/>
                <w:sz w:val="22"/>
              </w:rPr>
            </w:pPr>
            <w:r>
              <w:rPr>
                <w:rFonts w:ascii="宋体" w:cs="宋体" w:hint="eastAsia"/>
                <w:kern w:val="0"/>
                <w:sz w:val="22"/>
              </w:rPr>
              <w:t xml:space="preserve"> - </w:t>
            </w:r>
          </w:p>
        </w:tc>
        <w:tc>
          <w:tcPr>
            <w:tcW w:w="1002" w:type="dxa"/>
            <w:vMerge/>
            <w:tcBorders>
              <w:top w:val="nil"/>
              <w:left w:val="single" w:sz="4" w:space="0" w:color="auto"/>
              <w:bottom w:val="single" w:sz="4" w:space="0" w:color="000000"/>
              <w:right w:val="single" w:sz="4" w:space="0" w:color="auto"/>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其他资金</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right"/>
              <w:rPr>
                <w:rFonts w:ascii="宋体" w:cs="宋体"/>
                <w:kern w:val="0"/>
                <w:sz w:val="22"/>
              </w:rPr>
            </w:pPr>
            <w:r>
              <w:rPr>
                <w:rFonts w:ascii="宋体" w:cs="宋体" w:hint="eastAsia"/>
                <w:kern w:val="0"/>
                <w:sz w:val="22"/>
              </w:rPr>
              <w:t xml:space="preserve"> 142.22 </w:t>
            </w:r>
          </w:p>
        </w:tc>
        <w:tc>
          <w:tcPr>
            <w:tcW w:w="1002" w:type="dxa"/>
            <w:vMerge/>
            <w:tcBorders>
              <w:top w:val="nil"/>
              <w:left w:val="single" w:sz="4" w:space="0" w:color="auto"/>
              <w:bottom w:val="single" w:sz="4" w:space="0" w:color="000000"/>
              <w:right w:val="single" w:sz="4" w:space="0" w:color="auto"/>
            </w:tcBorders>
            <w:vAlign w:val="center"/>
          </w:tcPr>
          <w:p/>
        </w:tc>
      </w:tr>
      <w:tr>
        <w:trPr>
          <w:trHeight w:val="1782"/>
        </w:trPr>
        <w:tc>
          <w:tcPr>
            <w:tcW w:w="438" w:type="dxa"/>
            <w:tcBorders>
              <w:top w:val="nil"/>
              <w:left w:val="single" w:sz="4" w:space="0" w:color="auto"/>
              <w:bottom w:val="nil"/>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年</w:t>
              <w:br/>
              <w:t>度</w:t>
              <w:br/>
              <w:t>总</w:t>
              <w:br/>
              <w:t>体</w:t>
              <w:br/>
              <w:t>目</w:t>
              <w:br/>
              <w:t>标</w:t>
            </w:r>
          </w:p>
        </w:tc>
        <w:tc>
          <w:tcPr>
            <w:tcW w:w="8085" w:type="dxa"/>
            <w:gridSpan w:val="6"/>
            <w:tcBorders>
              <w:top w:val="single" w:sz="4" w:space="0" w:color="auto"/>
              <w:left w:val="nil"/>
              <w:bottom w:val="single" w:sz="4" w:space="0" w:color="auto"/>
              <w:right w:val="single" w:sz="4" w:space="0" w:color="auto"/>
            </w:tcBorders>
            <w:shd w:val="clear" w:color="auto" w:fill="auto"/>
            <w:vAlign w:val="center"/>
          </w:tcPr>
          <w:p>
            <w:pPr>
              <w:widowControl/>
              <w:autoSpaceDN w:val="0"/>
              <w:rPr>
                <w:rFonts w:ascii="宋体" w:cs="宋体"/>
                <w:kern w:val="0"/>
                <w:sz w:val="22"/>
              </w:rPr>
            </w:pPr>
            <w:r>
              <w:rPr>
                <w:rFonts w:ascii="宋体" w:cs="宋体" w:hint="eastAsia"/>
                <w:kern w:val="0"/>
                <w:sz w:val="22"/>
              </w:rPr>
              <w:t>1.保障口岸监管运行高效，提升执法能力和执法水平，服务地方外向型经济高质量发展。</w:t>
              <w:br/>
              <w:t>2.保障包联驻村工作各项经费需求，巩固拓展脱贫</w:t>
            </w:r>
            <w:r>
              <w:rPr>
                <w:rFonts w:ascii="宋体" w:cs="宋体"/>
                <w:kern w:val="0"/>
                <w:sz w:val="22"/>
              </w:rPr>
              <w:t>攻坚</w:t>
            </w:r>
            <w:r>
              <w:rPr>
                <w:rFonts w:ascii="宋体" w:cs="宋体" w:hint="eastAsia"/>
                <w:kern w:val="0"/>
                <w:sz w:val="22"/>
              </w:rPr>
              <w:t>成果，并与乡村振兴有效衔接。</w:t>
            </w:r>
            <w:bookmarkStart w:id="1" w:name="_GoBack"/>
            <w:bookmarkEnd w:id="1"/>
          </w:p>
        </w:tc>
      </w:tr>
      <w:tr>
        <w:trPr>
          <w:trHeight w:val="600"/>
        </w:trPr>
        <w:tc>
          <w:tcPr>
            <w:tcW w:w="43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绩</w:t>
              <w:br/>
              <w:t>效</w:t>
              <w:br/>
              <w:t>指</w:t>
              <w:br/>
              <w:t>标</w:t>
            </w:r>
          </w:p>
        </w:tc>
        <w:tc>
          <w:tcPr>
            <w:tcW w:w="1004"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宋体" w:cs="宋体"/>
                <w:kern w:val="0"/>
                <w:sz w:val="22"/>
              </w:rPr>
            </w:pPr>
            <w:r>
              <w:rPr>
                <w:rFonts w:ascii="宋体" w:cs="宋体" w:hint="eastAsia"/>
                <w:kern w:val="0"/>
                <w:sz w:val="22"/>
              </w:rPr>
              <w:t>一级</w:t>
              <w:br/>
              <w:t>指标</w:t>
            </w:r>
          </w:p>
        </w:tc>
        <w:tc>
          <w:tcPr>
            <w:tcW w:w="175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二级指标</w:t>
            </w:r>
          </w:p>
        </w:tc>
        <w:tc>
          <w:tcPr>
            <w:tcW w:w="2569" w:type="dxa"/>
            <w:gridSpan w:val="2"/>
            <w:tcBorders>
              <w:top w:val="single" w:sz="4" w:space="0" w:color="auto"/>
              <w:left w:val="nil"/>
              <w:bottom w:val="single" w:sz="4" w:space="0" w:color="auto"/>
              <w:right w:val="single" w:sz="4" w:space="0" w:color="000000"/>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三级指标</w:t>
            </w:r>
          </w:p>
        </w:tc>
        <w:tc>
          <w:tcPr>
            <w:tcW w:w="1756"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指标值</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分值</w:t>
              <w:br/>
              <w:t>（90）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val="restart"/>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产出指标</w:t>
            </w:r>
          </w:p>
        </w:tc>
        <w:tc>
          <w:tcPr>
            <w:tcW w:w="1754" w:type="dxa"/>
            <w:vMerge w:val="restart"/>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数量指标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rPr>
                <w:rFonts w:ascii="宋体" w:cs="宋体"/>
                <w:kern w:val="0"/>
                <w:sz w:val="22"/>
              </w:rPr>
            </w:pPr>
            <w:r>
              <w:rPr>
                <w:rFonts w:ascii="宋体" w:cs="宋体" w:hint="eastAsia"/>
                <w:kern w:val="0"/>
                <w:sz w:val="22"/>
              </w:rPr>
              <w:t>保障关警员数量</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≥27人/年</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15</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rPr>
                <w:rFonts w:ascii="宋体" w:cs="宋体"/>
                <w:kern w:val="0"/>
                <w:sz w:val="22"/>
              </w:rPr>
            </w:pPr>
            <w:r>
              <w:rPr>
                <w:rFonts w:ascii="宋体" w:cs="宋体" w:hint="eastAsia"/>
                <w:kern w:val="0"/>
                <w:sz w:val="22"/>
              </w:rPr>
              <w:t>保障驻村干部人数</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≥1人</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15</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val="restart"/>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质量指标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rPr>
                <w:rFonts w:ascii="宋体" w:cs="宋体"/>
                <w:kern w:val="0"/>
                <w:sz w:val="22"/>
              </w:rPr>
            </w:pPr>
            <w:r>
              <w:rPr>
                <w:rFonts w:ascii="宋体" w:cs="宋体" w:hint="eastAsia"/>
                <w:kern w:val="0"/>
                <w:sz w:val="22"/>
              </w:rPr>
              <w:t>驻村经费保障率</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≥90%</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rPr>
                <w:rFonts w:ascii="宋体" w:cs="宋体"/>
                <w:kern w:val="0"/>
                <w:sz w:val="22"/>
              </w:rPr>
            </w:pPr>
            <w:r>
              <w:rPr>
                <w:rFonts w:ascii="宋体" w:cs="宋体" w:hint="eastAsia"/>
                <w:kern w:val="0"/>
                <w:sz w:val="22"/>
              </w:rPr>
              <w:t>因保障能力不足造成的执法差错率</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≤1%</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效益指标</w:t>
            </w:r>
          </w:p>
        </w:tc>
        <w:tc>
          <w:tcPr>
            <w:tcW w:w="175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社会效益指标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rPr>
                <w:rFonts w:ascii="宋体" w:cs="宋体"/>
                <w:kern w:val="0"/>
                <w:sz w:val="22"/>
              </w:rPr>
            </w:pPr>
            <w:r>
              <w:rPr>
                <w:rFonts w:ascii="宋体" w:cs="宋体" w:hint="eastAsia"/>
                <w:kern w:val="0"/>
                <w:sz w:val="22"/>
              </w:rPr>
              <w:t>脱贫户返贫数</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≤2户/年</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30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满意度指标</w:t>
            </w:r>
          </w:p>
        </w:tc>
        <w:tc>
          <w:tcPr>
            <w:tcW w:w="175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服务对象满意度指标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rPr>
                <w:rFonts w:ascii="宋体" w:cs="宋体"/>
                <w:kern w:val="0"/>
                <w:sz w:val="22"/>
              </w:rPr>
            </w:pPr>
            <w:r>
              <w:rPr>
                <w:rFonts w:ascii="宋体" w:cs="宋体" w:hint="eastAsia"/>
                <w:kern w:val="0"/>
                <w:sz w:val="22"/>
              </w:rPr>
              <w:t>关警员满意度</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≥95%</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10</w:t>
            </w:r>
          </w:p>
        </w:tc>
      </w:tr>
    </w:tbl>
    <w:p>
      <w:pPr>
        <w:widowControl/>
        <w:jc w:val="left"/>
        <w:rPr>
          <w:rFonts w:ascii="宋体" w:cs="宋体"/>
          <w:kern w:val="0"/>
          <w:sz w:val="24"/>
          <w:szCs w:val="24"/>
        </w:rPr>
        <w:sectPr>
          <w:pgSz w:w="11906" w:h="16838"/>
          <w:pgMar w:top="1440" w:right="1800" w:bottom="1440" w:left="1800" w:header="851" w:footer="992" w:gutter="0"/>
          <w:docGrid w:type="lines" w:linePitch="312" w:charSpace="0"/>
        </w:sectPr>
      </w:pP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38"/>
        <w:gridCol w:w="1004"/>
        <w:gridCol w:w="1754"/>
        <w:gridCol w:w="815"/>
        <w:gridCol w:w="1754"/>
        <w:gridCol w:w="1756"/>
        <w:gridCol w:w="1002"/>
      </w:tblGrid>
      <w:tr>
        <w:trPr>
          <w:trHeight w:val="702"/>
        </w:trPr>
        <w:tc>
          <w:tcPr>
            <w:tcW w:w="8523" w:type="dxa"/>
            <w:gridSpan w:val="7"/>
            <w:tcBorders>
              <w:top w:val="nil"/>
              <w:left w:val="nil"/>
              <w:bottom w:val="nil"/>
              <w:right w:val="nil"/>
            </w:tcBorders>
            <w:shd w:val="clear" w:color="auto" w:fill="auto"/>
            <w:vAlign w:val="center"/>
          </w:tcPr>
          <w:p>
            <w:pPr>
              <w:widowControl/>
              <w:autoSpaceDN w:val="0"/>
              <w:jc w:val="center"/>
              <w:rPr>
                <w:rFonts w:ascii="黑体" w:eastAsia="黑体" w:cs="宋体"/>
                <w:kern w:val="0"/>
                <w:sz w:val="32"/>
                <w:szCs w:val="32"/>
              </w:rPr>
            </w:pPr>
            <w:r>
              <w:rPr>
                <w:rFonts w:ascii="黑体" w:eastAsia="黑体" w:cs="宋体" w:hint="eastAsia"/>
                <w:kern w:val="0"/>
                <w:sz w:val="32"/>
                <w:szCs w:val="32"/>
              </w:rPr>
              <w:t>绩效目标表</w:t>
            </w:r>
          </w:p>
        </w:tc>
      </w:tr>
      <w:tr>
        <w:trPr>
          <w:trHeight w:val="499"/>
        </w:trPr>
        <w:tc>
          <w:tcPr>
            <w:tcW w:w="8523" w:type="dxa"/>
            <w:gridSpan w:val="7"/>
            <w:tcBorders>
              <w:top w:val="nil"/>
              <w:left w:val="nil"/>
              <w:bottom w:val="nil"/>
              <w:right w:val="nil"/>
            </w:tcBorders>
            <w:shd w:val="clear" w:color="auto" w:fill="auto"/>
          </w:tcPr>
          <w:p>
            <w:pPr>
              <w:widowControl/>
              <w:autoSpaceDN w:val="0"/>
              <w:jc w:val="center"/>
              <w:rPr>
                <w:rFonts w:ascii="宋体" w:cs="宋体"/>
                <w:kern w:val="0"/>
                <w:sz w:val="24"/>
                <w:szCs w:val="24"/>
              </w:rPr>
            </w:pPr>
            <w:r>
              <w:rPr>
                <w:rFonts w:ascii="宋体" w:cs="宋体" w:hint="eastAsia"/>
                <w:kern w:val="0"/>
                <w:sz w:val="24"/>
                <w:szCs w:val="24"/>
              </w:rPr>
              <w:t>（2024年度）</w:t>
            </w:r>
          </w:p>
        </w:tc>
      </w:tr>
      <w:tr>
        <w:trPr>
          <w:trHeight w:val="439"/>
        </w:trPr>
        <w:tc>
          <w:tcPr>
            <w:tcW w:w="14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项目名称</w:t>
            </w:r>
          </w:p>
        </w:tc>
        <w:tc>
          <w:tcPr>
            <w:tcW w:w="7081" w:type="dxa"/>
            <w:gridSpan w:val="5"/>
            <w:tcBorders>
              <w:top w:val="single" w:sz="4" w:space="0" w:color="auto"/>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监管查验技术装备设备购建及能力保障专项</w:t>
            </w:r>
          </w:p>
        </w:tc>
      </w:tr>
      <w:tr>
        <w:trPr>
          <w:trHeight w:val="439"/>
        </w:trPr>
        <w:tc>
          <w:tcPr>
            <w:tcW w:w="14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主管部门及代码</w:t>
            </w: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[167]海关总署</w:t>
            </w:r>
          </w:p>
        </w:tc>
        <w:tc>
          <w:tcPr>
            <w:tcW w:w="1754"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实施单位</w:t>
            </w:r>
          </w:p>
        </w:tc>
        <w:tc>
          <w:tcPr>
            <w:tcW w:w="2758" w:type="dxa"/>
            <w:gridSpan w:val="2"/>
            <w:tcBorders>
              <w:top w:val="single" w:sz="4" w:space="0" w:color="auto"/>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中华人民共和国鄂尔多斯海关</w:t>
            </w:r>
          </w:p>
        </w:tc>
      </w:tr>
      <w:tr>
        <w:trPr>
          <w:trHeight w:val="439"/>
        </w:trPr>
        <w:tc>
          <w:tcPr>
            <w:tcW w:w="1442"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项目资金</w:t>
              <w:br/>
              <w:t>（万元）</w:t>
            </w: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jc w:val="left"/>
              <w:rPr>
                <w:rFonts w:ascii="宋体" w:cs="宋体"/>
                <w:kern w:val="0"/>
                <w:sz w:val="22"/>
              </w:rPr>
            </w:pPr>
            <w:r>
              <w:rPr>
                <w:rFonts w:ascii="宋体" w:cs="宋体" w:hint="eastAsia"/>
                <w:kern w:val="0"/>
                <w:sz w:val="22"/>
              </w:rPr>
              <w:t>年度资金总额：</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right"/>
              <w:rPr>
                <w:rFonts w:ascii="宋体" w:cs="宋体"/>
                <w:kern w:val="0"/>
                <w:sz w:val="22"/>
              </w:rPr>
            </w:pPr>
            <w:r>
              <w:rPr>
                <w:rFonts w:ascii="宋体" w:cs="宋体" w:hint="eastAsia"/>
                <w:kern w:val="0"/>
                <w:sz w:val="22"/>
              </w:rPr>
              <w:t xml:space="preserve"> 5.79 </w:t>
            </w:r>
          </w:p>
        </w:tc>
        <w:tc>
          <w:tcPr>
            <w:tcW w:w="1002" w:type="dxa"/>
            <w:vMerge w:val="restart"/>
            <w:tcBorders>
              <w:top w:val="nil"/>
              <w:left w:val="single" w:sz="4" w:space="0" w:color="auto"/>
              <w:bottom w:val="single" w:sz="4" w:space="0" w:color="000000"/>
              <w:right w:val="single" w:sz="4" w:space="0" w:color="auto"/>
            </w:tcBorders>
            <w:shd w:val="clear" w:color="auto" w:fill="C7EDCC"/>
            <w:vAlign w:val="center"/>
          </w:tcPr>
          <w:p>
            <w:pPr>
              <w:widowControl/>
              <w:autoSpaceDN w:val="0"/>
              <w:jc w:val="center"/>
              <w:rPr>
                <w:rFonts w:ascii="宋体" w:cs="宋体"/>
                <w:kern w:val="0"/>
                <w:sz w:val="22"/>
              </w:rPr>
            </w:pPr>
            <w:r>
              <w:rPr>
                <w:rFonts w:ascii="宋体" w:cs="宋体" w:hint="eastAsia"/>
                <w:kern w:val="0"/>
                <w:sz w:val="22"/>
              </w:rPr>
              <w:t>执行率</w:t>
              <w:br/>
              <w:t>分值（10）</w:t>
            </w: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其中：财政拨款</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right"/>
              <w:rPr>
                <w:rFonts w:ascii="宋体" w:cs="宋体"/>
                <w:kern w:val="0"/>
                <w:sz w:val="22"/>
              </w:rPr>
            </w:pPr>
            <w:r>
              <w:rPr>
                <w:rFonts w:ascii="宋体" w:cs="宋体" w:hint="eastAsia"/>
                <w:kern w:val="0"/>
                <w:sz w:val="22"/>
              </w:rPr>
              <w:t xml:space="preserve"> 5.79 </w:t>
            </w:r>
          </w:p>
        </w:tc>
        <w:tc>
          <w:tcPr>
            <w:tcW w:w="1002" w:type="dxa"/>
            <w:vMerge/>
            <w:tcBorders>
              <w:top w:val="nil"/>
              <w:left w:val="single" w:sz="4" w:space="0" w:color="auto"/>
              <w:bottom w:val="single" w:sz="4" w:space="0" w:color="000000"/>
              <w:right w:val="single" w:sz="4" w:space="0" w:color="auto"/>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上年结转</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right"/>
              <w:rPr>
                <w:rFonts w:ascii="宋体" w:cs="宋体"/>
                <w:kern w:val="0"/>
                <w:sz w:val="22"/>
              </w:rPr>
            </w:pPr>
            <w:r>
              <w:rPr>
                <w:rFonts w:ascii="宋体" w:cs="宋体" w:hint="eastAsia"/>
                <w:kern w:val="0"/>
                <w:sz w:val="22"/>
              </w:rPr>
              <w:t xml:space="preserve"> - </w:t>
            </w:r>
          </w:p>
        </w:tc>
        <w:tc>
          <w:tcPr>
            <w:tcW w:w="1002" w:type="dxa"/>
            <w:vMerge/>
            <w:tcBorders>
              <w:top w:val="nil"/>
              <w:left w:val="single" w:sz="4" w:space="0" w:color="auto"/>
              <w:bottom w:val="single" w:sz="4" w:space="0" w:color="000000"/>
              <w:right w:val="single" w:sz="4" w:space="0" w:color="auto"/>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其他资金</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right"/>
              <w:rPr>
                <w:rFonts w:ascii="宋体" w:cs="宋体"/>
                <w:kern w:val="0"/>
                <w:sz w:val="22"/>
              </w:rPr>
            </w:pPr>
            <w:r>
              <w:rPr>
                <w:rFonts w:ascii="宋体" w:cs="宋体" w:hint="eastAsia"/>
                <w:kern w:val="0"/>
                <w:sz w:val="22"/>
              </w:rPr>
              <w:t xml:space="preserve"> - </w:t>
            </w:r>
          </w:p>
        </w:tc>
        <w:tc>
          <w:tcPr>
            <w:tcW w:w="1002" w:type="dxa"/>
            <w:vMerge/>
            <w:tcBorders>
              <w:top w:val="nil"/>
              <w:left w:val="single" w:sz="4" w:space="0" w:color="auto"/>
              <w:bottom w:val="single" w:sz="4" w:space="0" w:color="000000"/>
              <w:right w:val="single" w:sz="4" w:space="0" w:color="auto"/>
            </w:tcBorders>
            <w:vAlign w:val="center"/>
          </w:tcPr>
          <w:p/>
        </w:tc>
      </w:tr>
      <w:tr>
        <w:trPr>
          <w:trHeight w:val="1782"/>
        </w:trPr>
        <w:tc>
          <w:tcPr>
            <w:tcW w:w="438" w:type="dxa"/>
            <w:tcBorders>
              <w:top w:val="nil"/>
              <w:left w:val="single" w:sz="4" w:space="0" w:color="auto"/>
              <w:bottom w:val="nil"/>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年</w:t>
              <w:br/>
              <w:t>度</w:t>
              <w:br/>
              <w:t>总</w:t>
              <w:br/>
              <w:t>体</w:t>
              <w:br/>
              <w:t>目</w:t>
              <w:br/>
              <w:t>标</w:t>
            </w:r>
          </w:p>
        </w:tc>
        <w:tc>
          <w:tcPr>
            <w:tcW w:w="8085" w:type="dxa"/>
            <w:gridSpan w:val="6"/>
            <w:tcBorders>
              <w:top w:val="single" w:sz="4" w:space="0" w:color="auto"/>
              <w:left w:val="nil"/>
              <w:bottom w:val="single" w:sz="4" w:space="0" w:color="auto"/>
              <w:right w:val="single" w:sz="4" w:space="0" w:color="auto"/>
            </w:tcBorders>
            <w:shd w:val="clear" w:color="auto" w:fill="auto"/>
            <w:vAlign w:val="center"/>
          </w:tcPr>
          <w:p>
            <w:pPr>
              <w:widowControl/>
              <w:autoSpaceDN w:val="0"/>
              <w:rPr>
                <w:rFonts w:ascii="宋体" w:cs="宋体"/>
                <w:kern w:val="0"/>
                <w:sz w:val="22"/>
              </w:rPr>
            </w:pPr>
            <w:r>
              <w:rPr>
                <w:rFonts w:ascii="宋体" w:cs="宋体" w:hint="eastAsia"/>
                <w:kern w:val="0"/>
                <w:sz w:val="22"/>
              </w:rPr>
              <w:t>目标1：为鄂尔多斯海关监管现场配备货运、旅检等渠道监管查验技术装备，进一步提升进出口（境）监管查验能力，提高通关便利化水平；</w:t>
              <w:br/>
              <w:t>目标2：保障鄂尔多斯海关监管装备运行维护经费，确保监管装备正常可用，有效支撑进出口（境）监管工作正常进行。</w:t>
              <w:br/>
              <w:t>目标3：组织开展海关口岸监管环节反恐模拟演练、技能培训、工作宣传、研究调研等工作，提升海关口岸监管环节反恐怖工作能力。</w:t>
              <w:br/>
              <w:t xml:space="preserve">目标4：提升海关口岸监管环节反恐人防、物防、技防水平。     </w:t>
            </w:r>
          </w:p>
        </w:tc>
      </w:tr>
      <w:tr>
        <w:trPr>
          <w:trHeight w:val="600"/>
        </w:trPr>
        <w:tc>
          <w:tcPr>
            <w:tcW w:w="43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绩</w:t>
              <w:br/>
              <w:t>效</w:t>
              <w:br/>
              <w:t>指</w:t>
              <w:br/>
              <w:t>标</w:t>
            </w:r>
          </w:p>
        </w:tc>
        <w:tc>
          <w:tcPr>
            <w:tcW w:w="1004"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宋体" w:cs="宋体"/>
                <w:kern w:val="0"/>
                <w:sz w:val="22"/>
              </w:rPr>
            </w:pPr>
            <w:r>
              <w:rPr>
                <w:rFonts w:ascii="宋体" w:cs="宋体" w:hint="eastAsia"/>
                <w:kern w:val="0"/>
                <w:sz w:val="22"/>
              </w:rPr>
              <w:t>一级</w:t>
              <w:br/>
              <w:t>指标</w:t>
            </w:r>
          </w:p>
        </w:tc>
        <w:tc>
          <w:tcPr>
            <w:tcW w:w="175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二级指标</w:t>
            </w:r>
          </w:p>
        </w:tc>
        <w:tc>
          <w:tcPr>
            <w:tcW w:w="2569" w:type="dxa"/>
            <w:gridSpan w:val="2"/>
            <w:tcBorders>
              <w:top w:val="single" w:sz="4" w:space="0" w:color="auto"/>
              <w:left w:val="nil"/>
              <w:bottom w:val="single" w:sz="4" w:space="0" w:color="auto"/>
              <w:right w:val="single" w:sz="4" w:space="0" w:color="000000"/>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三级指标</w:t>
            </w:r>
          </w:p>
        </w:tc>
        <w:tc>
          <w:tcPr>
            <w:tcW w:w="1756"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指标值</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分值</w:t>
              <w:br/>
              <w:t>（90）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val="restart"/>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产出指标</w:t>
            </w:r>
          </w:p>
        </w:tc>
        <w:tc>
          <w:tcPr>
            <w:tcW w:w="175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数量指标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rPr>
                <w:rFonts w:ascii="宋体" w:cs="宋体"/>
                <w:kern w:val="0"/>
                <w:sz w:val="22"/>
              </w:rPr>
            </w:pPr>
            <w:r>
              <w:rPr>
                <w:rFonts w:ascii="宋体" w:cs="宋体" w:hint="eastAsia"/>
                <w:kern w:val="0"/>
                <w:sz w:val="22"/>
              </w:rPr>
              <w:t>组织开展口岸反恐模拟演练</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≥1次</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20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val="restart"/>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质量指标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rPr>
                <w:rFonts w:ascii="宋体" w:cs="宋体"/>
                <w:kern w:val="0"/>
                <w:sz w:val="22"/>
              </w:rPr>
            </w:pPr>
            <w:r>
              <w:rPr>
                <w:rFonts w:ascii="宋体" w:cs="宋体" w:hint="eastAsia"/>
                <w:kern w:val="0"/>
                <w:sz w:val="22"/>
              </w:rPr>
              <w:t>口岸核辐射监测设备全年正常运行率</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≥90%</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rPr>
                <w:rFonts w:ascii="宋体" w:cs="宋体"/>
                <w:kern w:val="0"/>
                <w:sz w:val="22"/>
              </w:rPr>
            </w:pPr>
            <w:r>
              <w:rPr>
                <w:rFonts w:ascii="宋体" w:cs="宋体" w:hint="eastAsia"/>
                <w:kern w:val="0"/>
                <w:sz w:val="22"/>
              </w:rPr>
              <w:t>核辐射探测设备定期校验率</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&gt;90%</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rPr>
                <w:rFonts w:ascii="宋体" w:cs="宋体"/>
                <w:kern w:val="0"/>
                <w:sz w:val="22"/>
              </w:rPr>
            </w:pPr>
            <w:r>
              <w:rPr>
                <w:rFonts w:ascii="宋体" w:cs="宋体" w:hint="eastAsia"/>
                <w:kern w:val="0"/>
                <w:sz w:val="22"/>
              </w:rPr>
              <w:t>设备采购合同执行率</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≥90%</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效益指标</w:t>
            </w:r>
          </w:p>
        </w:tc>
        <w:tc>
          <w:tcPr>
            <w:tcW w:w="175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社会效益指标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rPr>
                <w:rFonts w:ascii="宋体" w:cs="宋体"/>
                <w:kern w:val="0"/>
                <w:sz w:val="22"/>
              </w:rPr>
            </w:pPr>
            <w:r>
              <w:rPr>
                <w:rFonts w:ascii="宋体" w:cs="宋体" w:hint="eastAsia"/>
                <w:kern w:val="0"/>
                <w:sz w:val="22"/>
              </w:rPr>
              <w:t>口岸监管环节反恐能力</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良好</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30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满意度指标</w:t>
            </w:r>
          </w:p>
        </w:tc>
        <w:tc>
          <w:tcPr>
            <w:tcW w:w="175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服务对象满意度指标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rPr>
                <w:rFonts w:ascii="宋体" w:cs="宋体"/>
                <w:kern w:val="0"/>
                <w:sz w:val="22"/>
              </w:rPr>
            </w:pPr>
            <w:r>
              <w:rPr>
                <w:rFonts w:ascii="宋体" w:cs="宋体" w:hint="eastAsia"/>
                <w:kern w:val="0"/>
                <w:sz w:val="22"/>
              </w:rPr>
              <w:t>进出境人员满意度</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≥90%</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10</w:t>
            </w:r>
          </w:p>
        </w:tc>
      </w:tr>
    </w:tbl>
    <w:p>
      <w:pPr>
        <w:widowControl/>
        <w:jc w:val="left"/>
        <w:rPr>
          <w:rFonts w:ascii="宋体" w:cs="宋体"/>
          <w:kern w:val="0"/>
          <w:sz w:val="24"/>
          <w:szCs w:val="24"/>
        </w:rPr>
        <w:sectPr>
          <w:pgSz w:w="11906" w:h="16838"/>
          <w:pgMar w:top="1440" w:right="1800" w:bottom="1440" w:left="1800" w:header="851" w:footer="992" w:gutter="0"/>
          <w:docGrid w:type="lines" w:linePitch="312" w:charSpace="0"/>
        </w:sectPr>
      </w:pP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38"/>
        <w:gridCol w:w="1004"/>
        <w:gridCol w:w="1754"/>
        <w:gridCol w:w="815"/>
        <w:gridCol w:w="1754"/>
        <w:gridCol w:w="1756"/>
        <w:gridCol w:w="1002"/>
      </w:tblGrid>
      <w:tr>
        <w:trPr>
          <w:trHeight w:val="702"/>
        </w:trPr>
        <w:tc>
          <w:tcPr>
            <w:tcW w:w="8523" w:type="dxa"/>
            <w:gridSpan w:val="7"/>
            <w:tcBorders>
              <w:top w:val="nil"/>
              <w:left w:val="nil"/>
              <w:bottom w:val="nil"/>
              <w:right w:val="nil"/>
            </w:tcBorders>
            <w:shd w:val="clear" w:color="auto" w:fill="auto"/>
            <w:vAlign w:val="center"/>
          </w:tcPr>
          <w:p>
            <w:pPr>
              <w:widowControl/>
              <w:autoSpaceDN w:val="0"/>
              <w:jc w:val="center"/>
              <w:rPr>
                <w:rFonts w:ascii="黑体" w:eastAsia="黑体" w:cs="宋体"/>
                <w:kern w:val="0"/>
                <w:sz w:val="32"/>
                <w:szCs w:val="32"/>
              </w:rPr>
            </w:pPr>
            <w:r>
              <w:rPr>
                <w:rFonts w:ascii="黑体" w:eastAsia="黑体" w:cs="宋体" w:hint="eastAsia"/>
                <w:kern w:val="0"/>
                <w:sz w:val="32"/>
                <w:szCs w:val="32"/>
              </w:rPr>
              <w:t>绩效目标表</w:t>
            </w:r>
          </w:p>
        </w:tc>
      </w:tr>
      <w:tr>
        <w:trPr>
          <w:trHeight w:val="499"/>
        </w:trPr>
        <w:tc>
          <w:tcPr>
            <w:tcW w:w="8523" w:type="dxa"/>
            <w:gridSpan w:val="7"/>
            <w:tcBorders>
              <w:top w:val="nil"/>
              <w:left w:val="nil"/>
              <w:bottom w:val="nil"/>
              <w:right w:val="nil"/>
            </w:tcBorders>
            <w:shd w:val="clear" w:color="auto" w:fill="auto"/>
          </w:tcPr>
          <w:p>
            <w:pPr>
              <w:widowControl/>
              <w:autoSpaceDN w:val="0"/>
              <w:jc w:val="center"/>
              <w:rPr>
                <w:rFonts w:ascii="宋体" w:cs="宋体"/>
                <w:kern w:val="0"/>
                <w:sz w:val="24"/>
                <w:szCs w:val="24"/>
              </w:rPr>
            </w:pPr>
            <w:r>
              <w:rPr>
                <w:rFonts w:ascii="宋体" w:cs="宋体" w:hint="eastAsia"/>
                <w:kern w:val="0"/>
                <w:sz w:val="24"/>
                <w:szCs w:val="24"/>
              </w:rPr>
              <w:t>（2024年度）</w:t>
            </w:r>
          </w:p>
        </w:tc>
      </w:tr>
      <w:tr>
        <w:trPr>
          <w:trHeight w:val="439"/>
        </w:trPr>
        <w:tc>
          <w:tcPr>
            <w:tcW w:w="14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项目名称</w:t>
            </w:r>
          </w:p>
        </w:tc>
        <w:tc>
          <w:tcPr>
            <w:tcW w:w="7081" w:type="dxa"/>
            <w:gridSpan w:val="5"/>
            <w:tcBorders>
              <w:top w:val="single" w:sz="4" w:space="0" w:color="auto"/>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海关缉私办案费</w:t>
            </w:r>
          </w:p>
        </w:tc>
      </w:tr>
      <w:tr>
        <w:trPr>
          <w:trHeight w:val="439"/>
        </w:trPr>
        <w:tc>
          <w:tcPr>
            <w:tcW w:w="14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主管部门及代码</w:t>
            </w: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[167]海关总署</w:t>
            </w:r>
          </w:p>
        </w:tc>
        <w:tc>
          <w:tcPr>
            <w:tcW w:w="1754"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实施单位</w:t>
            </w:r>
          </w:p>
        </w:tc>
        <w:tc>
          <w:tcPr>
            <w:tcW w:w="2758" w:type="dxa"/>
            <w:gridSpan w:val="2"/>
            <w:tcBorders>
              <w:top w:val="single" w:sz="4" w:space="0" w:color="auto"/>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中华人民共和国鄂尔多斯海关</w:t>
            </w:r>
          </w:p>
        </w:tc>
      </w:tr>
      <w:tr>
        <w:trPr>
          <w:trHeight w:val="439"/>
        </w:trPr>
        <w:tc>
          <w:tcPr>
            <w:tcW w:w="1442"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项目资金</w:t>
              <w:br/>
              <w:t>（万元）</w:t>
            </w: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jc w:val="left"/>
              <w:rPr>
                <w:rFonts w:ascii="宋体" w:cs="宋体"/>
                <w:kern w:val="0"/>
                <w:sz w:val="22"/>
              </w:rPr>
            </w:pPr>
            <w:r>
              <w:rPr>
                <w:rFonts w:ascii="宋体" w:cs="宋体" w:hint="eastAsia"/>
                <w:kern w:val="0"/>
                <w:sz w:val="22"/>
              </w:rPr>
              <w:t>年度资金总额：</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right"/>
              <w:rPr>
                <w:rFonts w:ascii="宋体" w:cs="宋体"/>
                <w:kern w:val="0"/>
                <w:sz w:val="22"/>
              </w:rPr>
            </w:pPr>
            <w:r>
              <w:rPr>
                <w:rFonts w:ascii="宋体" w:cs="宋体" w:hint="eastAsia"/>
                <w:kern w:val="0"/>
                <w:sz w:val="22"/>
              </w:rPr>
              <w:t xml:space="preserve"> 2.00 </w:t>
            </w:r>
          </w:p>
        </w:tc>
        <w:tc>
          <w:tcPr>
            <w:tcW w:w="1002" w:type="dxa"/>
            <w:vMerge w:val="restart"/>
            <w:tcBorders>
              <w:top w:val="nil"/>
              <w:left w:val="single" w:sz="4" w:space="0" w:color="auto"/>
              <w:bottom w:val="single" w:sz="4" w:space="0" w:color="000000"/>
              <w:right w:val="single" w:sz="4" w:space="0" w:color="auto"/>
            </w:tcBorders>
            <w:shd w:val="clear" w:color="auto" w:fill="C7EDCC"/>
            <w:vAlign w:val="center"/>
          </w:tcPr>
          <w:p>
            <w:pPr>
              <w:widowControl/>
              <w:autoSpaceDN w:val="0"/>
              <w:jc w:val="center"/>
              <w:rPr>
                <w:rFonts w:ascii="宋体" w:cs="宋体"/>
                <w:kern w:val="0"/>
                <w:sz w:val="22"/>
              </w:rPr>
            </w:pPr>
            <w:r>
              <w:rPr>
                <w:rFonts w:ascii="宋体" w:cs="宋体" w:hint="eastAsia"/>
                <w:kern w:val="0"/>
                <w:sz w:val="22"/>
              </w:rPr>
              <w:t>执行率</w:t>
              <w:br/>
              <w:t>分值（10）</w:t>
            </w: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其中：财政拨款</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right"/>
              <w:rPr>
                <w:rFonts w:ascii="宋体" w:cs="宋体"/>
                <w:kern w:val="0"/>
                <w:sz w:val="22"/>
              </w:rPr>
            </w:pPr>
            <w:r>
              <w:rPr>
                <w:rFonts w:ascii="宋体" w:cs="宋体" w:hint="eastAsia"/>
                <w:kern w:val="0"/>
                <w:sz w:val="22"/>
              </w:rPr>
              <w:t xml:space="preserve"> 2.00 </w:t>
            </w:r>
          </w:p>
        </w:tc>
        <w:tc>
          <w:tcPr>
            <w:tcW w:w="1002" w:type="dxa"/>
            <w:vMerge/>
            <w:tcBorders>
              <w:top w:val="nil"/>
              <w:left w:val="single" w:sz="4" w:space="0" w:color="auto"/>
              <w:bottom w:val="single" w:sz="4" w:space="0" w:color="000000"/>
              <w:right w:val="single" w:sz="4" w:space="0" w:color="auto"/>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上年结转</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right"/>
              <w:rPr>
                <w:rFonts w:ascii="宋体" w:cs="宋体"/>
                <w:kern w:val="0"/>
                <w:sz w:val="22"/>
              </w:rPr>
            </w:pPr>
            <w:r>
              <w:rPr>
                <w:rFonts w:ascii="宋体" w:cs="宋体" w:hint="eastAsia"/>
                <w:kern w:val="0"/>
                <w:sz w:val="22"/>
              </w:rPr>
              <w:t xml:space="preserve"> - </w:t>
            </w:r>
          </w:p>
        </w:tc>
        <w:tc>
          <w:tcPr>
            <w:tcW w:w="1002" w:type="dxa"/>
            <w:vMerge/>
            <w:tcBorders>
              <w:top w:val="nil"/>
              <w:left w:val="single" w:sz="4" w:space="0" w:color="auto"/>
              <w:bottom w:val="single" w:sz="4" w:space="0" w:color="000000"/>
              <w:right w:val="single" w:sz="4" w:space="0" w:color="auto"/>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其他资金</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right"/>
              <w:rPr>
                <w:rFonts w:ascii="宋体" w:cs="宋体"/>
                <w:kern w:val="0"/>
                <w:sz w:val="22"/>
              </w:rPr>
            </w:pPr>
            <w:r>
              <w:rPr>
                <w:rFonts w:ascii="宋体" w:cs="宋体" w:hint="eastAsia"/>
                <w:kern w:val="0"/>
                <w:sz w:val="22"/>
              </w:rPr>
              <w:t xml:space="preserve"> - </w:t>
            </w:r>
          </w:p>
        </w:tc>
        <w:tc>
          <w:tcPr>
            <w:tcW w:w="1002" w:type="dxa"/>
            <w:vMerge/>
            <w:tcBorders>
              <w:top w:val="nil"/>
              <w:left w:val="single" w:sz="4" w:space="0" w:color="auto"/>
              <w:bottom w:val="single" w:sz="4" w:space="0" w:color="000000"/>
              <w:right w:val="single" w:sz="4" w:space="0" w:color="auto"/>
            </w:tcBorders>
            <w:vAlign w:val="center"/>
          </w:tcPr>
          <w:p/>
        </w:tc>
      </w:tr>
      <w:tr>
        <w:trPr>
          <w:trHeight w:val="1782"/>
        </w:trPr>
        <w:tc>
          <w:tcPr>
            <w:tcW w:w="438" w:type="dxa"/>
            <w:tcBorders>
              <w:top w:val="nil"/>
              <w:left w:val="single" w:sz="4" w:space="0" w:color="auto"/>
              <w:bottom w:val="nil"/>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年</w:t>
              <w:br/>
              <w:t>度</w:t>
              <w:br/>
              <w:t>总</w:t>
              <w:br/>
              <w:t>体</w:t>
              <w:br/>
              <w:t>目</w:t>
              <w:br/>
              <w:t>标</w:t>
            </w:r>
          </w:p>
        </w:tc>
        <w:tc>
          <w:tcPr>
            <w:tcW w:w="8085" w:type="dxa"/>
            <w:gridSpan w:val="6"/>
            <w:tcBorders>
              <w:top w:val="single" w:sz="4" w:space="0" w:color="auto"/>
              <w:left w:val="nil"/>
              <w:bottom w:val="single" w:sz="4" w:space="0" w:color="auto"/>
              <w:right w:val="single" w:sz="4" w:space="0" w:color="auto"/>
            </w:tcBorders>
            <w:shd w:val="clear" w:color="auto" w:fill="auto"/>
            <w:vAlign w:val="center"/>
          </w:tcPr>
          <w:p>
            <w:pPr>
              <w:widowControl/>
              <w:autoSpaceDN w:val="0"/>
              <w:rPr>
                <w:rFonts w:ascii="宋体" w:cs="宋体"/>
                <w:kern w:val="0"/>
                <w:sz w:val="22"/>
              </w:rPr>
            </w:pPr>
            <w:r>
              <w:rPr>
                <w:rFonts w:ascii="宋体" w:cs="宋体" w:hint="eastAsia"/>
                <w:kern w:val="0"/>
                <w:sz w:val="22"/>
              </w:rPr>
              <w:t>目标1：开展辖区内进出口企业稽核查工作和相关联合执法工作。</w:t>
              <w:br/>
              <w:t>目标2：开展辖区内进出口商品企业核查和属地查检相关工作。</w:t>
              <w:br/>
              <w:t>目标3：开展稽核查工作业务培训工作。</w:t>
            </w:r>
          </w:p>
        </w:tc>
      </w:tr>
      <w:tr>
        <w:trPr>
          <w:trHeight w:val="600"/>
        </w:trPr>
        <w:tc>
          <w:tcPr>
            <w:tcW w:w="43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绩</w:t>
              <w:br/>
              <w:t>效</w:t>
              <w:br/>
              <w:t>指</w:t>
              <w:br/>
              <w:t>标</w:t>
            </w:r>
          </w:p>
        </w:tc>
        <w:tc>
          <w:tcPr>
            <w:tcW w:w="1004"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宋体" w:cs="宋体"/>
                <w:kern w:val="0"/>
                <w:sz w:val="22"/>
              </w:rPr>
            </w:pPr>
            <w:r>
              <w:rPr>
                <w:rFonts w:ascii="宋体" w:cs="宋体" w:hint="eastAsia"/>
                <w:kern w:val="0"/>
                <w:sz w:val="22"/>
              </w:rPr>
              <w:t>一级</w:t>
              <w:br/>
              <w:t>指标</w:t>
            </w:r>
          </w:p>
        </w:tc>
        <w:tc>
          <w:tcPr>
            <w:tcW w:w="175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二级指标</w:t>
            </w:r>
          </w:p>
        </w:tc>
        <w:tc>
          <w:tcPr>
            <w:tcW w:w="2569" w:type="dxa"/>
            <w:gridSpan w:val="2"/>
            <w:tcBorders>
              <w:top w:val="single" w:sz="4" w:space="0" w:color="auto"/>
              <w:left w:val="nil"/>
              <w:bottom w:val="single" w:sz="4" w:space="0" w:color="auto"/>
              <w:right w:val="single" w:sz="4" w:space="0" w:color="000000"/>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三级指标</w:t>
            </w:r>
          </w:p>
        </w:tc>
        <w:tc>
          <w:tcPr>
            <w:tcW w:w="1756"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指标值</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分值</w:t>
              <w:br/>
              <w:t>（90）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val="restart"/>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产出指标</w:t>
            </w:r>
          </w:p>
        </w:tc>
        <w:tc>
          <w:tcPr>
            <w:tcW w:w="1754" w:type="dxa"/>
            <w:vMerge w:val="restart"/>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数量指标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rPr>
                <w:rFonts w:ascii="宋体" w:cs="宋体"/>
                <w:kern w:val="0"/>
                <w:sz w:val="22"/>
              </w:rPr>
            </w:pPr>
            <w:r>
              <w:rPr>
                <w:rFonts w:ascii="宋体" w:cs="宋体" w:hint="eastAsia"/>
                <w:kern w:val="0"/>
                <w:sz w:val="22"/>
              </w:rPr>
              <w:t>完成稽核查辖区企业数量</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≥1.00家</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rPr>
                <w:rFonts w:ascii="宋体" w:cs="宋体"/>
                <w:kern w:val="0"/>
                <w:sz w:val="22"/>
              </w:rPr>
            </w:pPr>
            <w:r>
              <w:rPr>
                <w:rFonts w:ascii="宋体" w:cs="宋体" w:hint="eastAsia"/>
                <w:kern w:val="0"/>
                <w:sz w:val="22"/>
              </w:rPr>
              <w:t>完成辖区进出口企业稽核查项目</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≥1.00次</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vMerge/>
            <w:tcBorders>
              <w:top w:val="nil"/>
              <w:left w:val="single" w:sz="4" w:space="0" w:color="auto"/>
              <w:bottom w:val="single" w:sz="4" w:space="0" w:color="auto"/>
              <w:right w:val="single" w:sz="4" w:space="0" w:color="auto"/>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rPr>
                <w:rFonts w:ascii="宋体" w:cs="宋体"/>
                <w:kern w:val="0"/>
                <w:sz w:val="22"/>
              </w:rPr>
            </w:pPr>
            <w:r>
              <w:rPr>
                <w:rFonts w:ascii="宋体" w:cs="宋体" w:hint="eastAsia"/>
                <w:kern w:val="0"/>
                <w:sz w:val="22"/>
              </w:rPr>
              <w:t>完成辖区属地查检数量</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≥2.00次</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质量指标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rPr>
                <w:rFonts w:ascii="宋体" w:cs="宋体"/>
                <w:kern w:val="0"/>
                <w:sz w:val="22"/>
              </w:rPr>
            </w:pPr>
            <w:r>
              <w:rPr>
                <w:rFonts w:ascii="宋体" w:cs="宋体" w:hint="eastAsia"/>
                <w:kern w:val="0"/>
                <w:sz w:val="22"/>
              </w:rPr>
              <w:t>开展稽核查、属地查检培训次数</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≥2次</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20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效益指标</w:t>
            </w:r>
          </w:p>
        </w:tc>
        <w:tc>
          <w:tcPr>
            <w:tcW w:w="175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社会效益指标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rPr>
                <w:rFonts w:ascii="宋体" w:cs="宋体"/>
                <w:kern w:val="0"/>
                <w:sz w:val="22"/>
              </w:rPr>
            </w:pPr>
            <w:r>
              <w:rPr>
                <w:rFonts w:ascii="宋体" w:cs="宋体" w:hint="eastAsia"/>
                <w:kern w:val="0"/>
                <w:sz w:val="22"/>
              </w:rPr>
              <w:t>有效打击毒品、武器、普通货物、固体废物等走私活动</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是</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30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满意度指标</w:t>
            </w:r>
          </w:p>
        </w:tc>
        <w:tc>
          <w:tcPr>
            <w:tcW w:w="175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服务对象满意度指标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rPr>
                <w:rFonts w:ascii="宋体" w:cs="宋体"/>
                <w:kern w:val="0"/>
                <w:sz w:val="22"/>
              </w:rPr>
            </w:pPr>
            <w:r>
              <w:rPr>
                <w:rFonts w:ascii="宋体" w:cs="宋体" w:hint="eastAsia"/>
                <w:kern w:val="0"/>
                <w:sz w:val="22"/>
              </w:rPr>
              <w:t>辖区内进出口企业满意度</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≥90.00%</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10</w:t>
            </w:r>
          </w:p>
        </w:tc>
      </w:tr>
    </w:tbl>
    <w:p>
      <w:pPr>
        <w:widowControl/>
        <w:jc w:val="left"/>
        <w:rPr>
          <w:rFonts w:ascii="宋体" w:cs="宋体"/>
          <w:kern w:val="0"/>
          <w:sz w:val="24"/>
          <w:szCs w:val="24"/>
        </w:rPr>
        <w:sectPr>
          <w:pgSz w:w="11906" w:h="16838"/>
          <w:pgMar w:top="1440" w:right="1800" w:bottom="1440" w:left="1800" w:header="851" w:footer="992" w:gutter="0"/>
          <w:docGrid w:type="lines" w:linePitch="312" w:charSpace="0"/>
        </w:sectPr>
      </w:pP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38"/>
        <w:gridCol w:w="1004"/>
        <w:gridCol w:w="1754"/>
        <w:gridCol w:w="815"/>
        <w:gridCol w:w="1754"/>
        <w:gridCol w:w="1756"/>
        <w:gridCol w:w="1002"/>
      </w:tblGrid>
      <w:tr>
        <w:trPr>
          <w:trHeight w:val="702"/>
        </w:trPr>
        <w:tc>
          <w:tcPr>
            <w:tcW w:w="8523" w:type="dxa"/>
            <w:gridSpan w:val="7"/>
            <w:tcBorders>
              <w:top w:val="nil"/>
              <w:left w:val="nil"/>
              <w:bottom w:val="nil"/>
              <w:right w:val="nil"/>
            </w:tcBorders>
            <w:shd w:val="clear" w:color="auto" w:fill="auto"/>
            <w:vAlign w:val="center"/>
          </w:tcPr>
          <w:p>
            <w:pPr>
              <w:widowControl/>
              <w:autoSpaceDN w:val="0"/>
              <w:jc w:val="center"/>
              <w:rPr>
                <w:rFonts w:ascii="黑体" w:eastAsia="黑体" w:cs="宋体"/>
                <w:kern w:val="0"/>
                <w:sz w:val="32"/>
                <w:szCs w:val="32"/>
              </w:rPr>
            </w:pPr>
            <w:r>
              <w:rPr>
                <w:rFonts w:ascii="黑体" w:eastAsia="黑体" w:cs="宋体" w:hint="eastAsia"/>
                <w:kern w:val="0"/>
                <w:sz w:val="32"/>
                <w:szCs w:val="32"/>
              </w:rPr>
              <w:t>绩效目标表</w:t>
            </w:r>
          </w:p>
        </w:tc>
      </w:tr>
      <w:tr>
        <w:trPr>
          <w:trHeight w:val="499"/>
        </w:trPr>
        <w:tc>
          <w:tcPr>
            <w:tcW w:w="8523" w:type="dxa"/>
            <w:gridSpan w:val="7"/>
            <w:tcBorders>
              <w:top w:val="nil"/>
              <w:left w:val="nil"/>
              <w:bottom w:val="nil"/>
              <w:right w:val="nil"/>
            </w:tcBorders>
            <w:shd w:val="clear" w:color="auto" w:fill="auto"/>
          </w:tcPr>
          <w:p>
            <w:pPr>
              <w:widowControl/>
              <w:autoSpaceDN w:val="0"/>
              <w:jc w:val="center"/>
              <w:rPr>
                <w:rFonts w:ascii="宋体" w:cs="宋体"/>
                <w:kern w:val="0"/>
                <w:sz w:val="24"/>
                <w:szCs w:val="24"/>
              </w:rPr>
            </w:pPr>
            <w:r>
              <w:rPr>
                <w:rFonts w:ascii="宋体" w:cs="宋体" w:hint="eastAsia"/>
                <w:kern w:val="0"/>
                <w:sz w:val="24"/>
                <w:szCs w:val="24"/>
              </w:rPr>
              <w:t>（2024年度）</w:t>
            </w:r>
          </w:p>
        </w:tc>
      </w:tr>
      <w:tr>
        <w:trPr>
          <w:trHeight w:val="439"/>
        </w:trPr>
        <w:tc>
          <w:tcPr>
            <w:tcW w:w="14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项目名称</w:t>
            </w:r>
          </w:p>
        </w:tc>
        <w:tc>
          <w:tcPr>
            <w:tcW w:w="7081" w:type="dxa"/>
            <w:gridSpan w:val="5"/>
            <w:tcBorders>
              <w:top w:val="single" w:sz="4" w:space="0" w:color="auto"/>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艰苦地区边关综合保障专项</w:t>
            </w:r>
          </w:p>
        </w:tc>
      </w:tr>
      <w:tr>
        <w:trPr>
          <w:trHeight w:val="439"/>
        </w:trPr>
        <w:tc>
          <w:tcPr>
            <w:tcW w:w="14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主管部门及代码</w:t>
            </w: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[167]海关总署</w:t>
            </w:r>
          </w:p>
        </w:tc>
        <w:tc>
          <w:tcPr>
            <w:tcW w:w="1754"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实施单位</w:t>
            </w:r>
          </w:p>
        </w:tc>
        <w:tc>
          <w:tcPr>
            <w:tcW w:w="2758" w:type="dxa"/>
            <w:gridSpan w:val="2"/>
            <w:tcBorders>
              <w:top w:val="single" w:sz="4" w:space="0" w:color="auto"/>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中华人民共和国鄂尔多斯海关</w:t>
            </w:r>
          </w:p>
        </w:tc>
      </w:tr>
      <w:tr>
        <w:trPr>
          <w:trHeight w:val="439"/>
        </w:trPr>
        <w:tc>
          <w:tcPr>
            <w:tcW w:w="1442"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项目资金</w:t>
              <w:br/>
              <w:t>（万元）</w:t>
            </w: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jc w:val="left"/>
              <w:rPr>
                <w:rFonts w:ascii="宋体" w:cs="宋体"/>
                <w:kern w:val="0"/>
                <w:sz w:val="22"/>
              </w:rPr>
            </w:pPr>
            <w:r>
              <w:rPr>
                <w:rFonts w:ascii="宋体" w:cs="宋体" w:hint="eastAsia"/>
                <w:kern w:val="0"/>
                <w:sz w:val="22"/>
              </w:rPr>
              <w:t>年度资金总额：</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right"/>
              <w:rPr>
                <w:rFonts w:ascii="宋体" w:cs="宋体"/>
                <w:kern w:val="0"/>
                <w:sz w:val="22"/>
              </w:rPr>
            </w:pPr>
            <w:r>
              <w:rPr>
                <w:rFonts w:ascii="宋体" w:cs="宋体" w:hint="eastAsia"/>
                <w:kern w:val="0"/>
                <w:sz w:val="22"/>
              </w:rPr>
              <w:t xml:space="preserve"> 24.25 </w:t>
            </w:r>
          </w:p>
        </w:tc>
        <w:tc>
          <w:tcPr>
            <w:tcW w:w="1002" w:type="dxa"/>
            <w:vMerge w:val="restart"/>
            <w:tcBorders>
              <w:top w:val="nil"/>
              <w:left w:val="single" w:sz="4" w:space="0" w:color="auto"/>
              <w:bottom w:val="single" w:sz="4" w:space="0" w:color="000000"/>
              <w:right w:val="single" w:sz="4" w:space="0" w:color="auto"/>
            </w:tcBorders>
            <w:shd w:val="clear" w:color="auto" w:fill="C7EDCC"/>
            <w:vAlign w:val="center"/>
          </w:tcPr>
          <w:p>
            <w:pPr>
              <w:widowControl/>
              <w:autoSpaceDN w:val="0"/>
              <w:jc w:val="center"/>
              <w:rPr>
                <w:rFonts w:ascii="宋体" w:cs="宋体"/>
                <w:kern w:val="0"/>
                <w:sz w:val="22"/>
              </w:rPr>
            </w:pPr>
            <w:r>
              <w:rPr>
                <w:rFonts w:ascii="宋体" w:cs="宋体" w:hint="eastAsia"/>
                <w:kern w:val="0"/>
                <w:sz w:val="22"/>
              </w:rPr>
              <w:t>执行率</w:t>
              <w:br/>
              <w:t>分值（10）</w:t>
            </w: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其中：财政拨款</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right"/>
              <w:rPr>
                <w:rFonts w:ascii="宋体" w:cs="宋体"/>
                <w:kern w:val="0"/>
                <w:sz w:val="22"/>
              </w:rPr>
            </w:pPr>
            <w:r>
              <w:rPr>
                <w:rFonts w:ascii="宋体" w:cs="宋体" w:hint="eastAsia"/>
                <w:kern w:val="0"/>
                <w:sz w:val="22"/>
              </w:rPr>
              <w:t xml:space="preserve"> 24.25 </w:t>
            </w:r>
          </w:p>
        </w:tc>
        <w:tc>
          <w:tcPr>
            <w:tcW w:w="1002" w:type="dxa"/>
            <w:vMerge/>
            <w:tcBorders>
              <w:top w:val="nil"/>
              <w:left w:val="single" w:sz="4" w:space="0" w:color="auto"/>
              <w:bottom w:val="single" w:sz="4" w:space="0" w:color="000000"/>
              <w:right w:val="single" w:sz="4" w:space="0" w:color="auto"/>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上年结转</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right"/>
              <w:rPr>
                <w:rFonts w:ascii="宋体" w:cs="宋体"/>
                <w:kern w:val="0"/>
                <w:sz w:val="22"/>
              </w:rPr>
            </w:pPr>
            <w:r>
              <w:rPr>
                <w:rFonts w:ascii="宋体" w:cs="宋体" w:hint="eastAsia"/>
                <w:kern w:val="0"/>
                <w:sz w:val="22"/>
              </w:rPr>
              <w:t xml:space="preserve"> - </w:t>
            </w:r>
          </w:p>
        </w:tc>
        <w:tc>
          <w:tcPr>
            <w:tcW w:w="1002" w:type="dxa"/>
            <w:vMerge/>
            <w:tcBorders>
              <w:top w:val="nil"/>
              <w:left w:val="single" w:sz="4" w:space="0" w:color="auto"/>
              <w:bottom w:val="single" w:sz="4" w:space="0" w:color="000000"/>
              <w:right w:val="single" w:sz="4" w:space="0" w:color="auto"/>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cBorders>
            <w:vAlign w:val="center"/>
          </w:tcP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其他资金</w:t>
            </w:r>
          </w:p>
        </w:tc>
        <w:tc>
          <w:tcPr>
            <w:tcW w:w="35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autoSpaceDN w:val="0"/>
              <w:jc w:val="right"/>
              <w:rPr>
                <w:rFonts w:ascii="宋体" w:cs="宋体"/>
                <w:kern w:val="0"/>
                <w:sz w:val="22"/>
              </w:rPr>
            </w:pPr>
            <w:r>
              <w:rPr>
                <w:rFonts w:ascii="宋体" w:cs="宋体" w:hint="eastAsia"/>
                <w:kern w:val="0"/>
                <w:sz w:val="22"/>
              </w:rPr>
              <w:t xml:space="preserve"> - </w:t>
            </w:r>
          </w:p>
        </w:tc>
        <w:tc>
          <w:tcPr>
            <w:tcW w:w="1002" w:type="dxa"/>
            <w:vMerge/>
            <w:tcBorders>
              <w:top w:val="nil"/>
              <w:left w:val="single" w:sz="4" w:space="0" w:color="auto"/>
              <w:bottom w:val="single" w:sz="4" w:space="0" w:color="000000"/>
              <w:right w:val="single" w:sz="4" w:space="0" w:color="auto"/>
            </w:tcBorders>
            <w:vAlign w:val="center"/>
          </w:tcPr>
          <w:p/>
        </w:tc>
      </w:tr>
      <w:tr>
        <w:trPr>
          <w:trHeight w:val="1782"/>
        </w:trPr>
        <w:tc>
          <w:tcPr>
            <w:tcW w:w="438" w:type="dxa"/>
            <w:tcBorders>
              <w:top w:val="nil"/>
              <w:left w:val="single" w:sz="4" w:space="0" w:color="auto"/>
              <w:bottom w:val="nil"/>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年</w:t>
              <w:br/>
              <w:t>度</w:t>
              <w:br/>
              <w:t>总</w:t>
              <w:br/>
              <w:t>体</w:t>
              <w:br/>
              <w:t>目</w:t>
              <w:br/>
              <w:t>标</w:t>
            </w:r>
          </w:p>
        </w:tc>
        <w:tc>
          <w:tcPr>
            <w:tcW w:w="8085" w:type="dxa"/>
            <w:gridSpan w:val="6"/>
            <w:tcBorders>
              <w:top w:val="single" w:sz="4" w:space="0" w:color="auto"/>
              <w:left w:val="nil"/>
              <w:bottom w:val="single" w:sz="4" w:space="0" w:color="auto"/>
              <w:right w:val="single" w:sz="4" w:space="0" w:color="auto"/>
            </w:tcBorders>
            <w:shd w:val="clear" w:color="auto" w:fill="auto"/>
            <w:vAlign w:val="center"/>
          </w:tcPr>
          <w:p>
            <w:pPr>
              <w:widowControl/>
              <w:autoSpaceDN w:val="0"/>
              <w:rPr>
                <w:rFonts w:ascii="宋体" w:cs="宋体"/>
                <w:kern w:val="0"/>
                <w:sz w:val="22"/>
              </w:rPr>
            </w:pPr>
            <w:r>
              <w:rPr>
                <w:rFonts w:ascii="宋体" w:cs="宋体" w:hint="eastAsia"/>
                <w:kern w:val="0"/>
                <w:sz w:val="22"/>
              </w:rPr>
              <w:t>目标1：改善艰苦地区边关工作、生活条件；</w:t>
              <w:br/>
              <w:t>目标2：给予艰苦地区边关更精准的政策倾斜和资金保障，逐步缩小目前艰苦地区边关与同地区戍边部队、边检等单位基础设施和工作生活条件保障差距。</w:t>
            </w:r>
          </w:p>
        </w:tc>
      </w:tr>
      <w:tr>
        <w:trPr>
          <w:trHeight w:val="600"/>
        </w:trPr>
        <w:tc>
          <w:tcPr>
            <w:tcW w:w="43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绩</w:t>
              <w:br/>
              <w:t>效</w:t>
              <w:br/>
              <w:t>指</w:t>
              <w:br/>
              <w:t>标</w:t>
            </w:r>
          </w:p>
        </w:tc>
        <w:tc>
          <w:tcPr>
            <w:tcW w:w="1004" w:type="dxa"/>
            <w:tcBorders>
              <w:top w:val="nil"/>
              <w:left w:val="nil"/>
              <w:bottom w:val="single" w:sz="4" w:space="0" w:color="auto"/>
              <w:right w:val="single" w:sz="4" w:space="0" w:color="auto"/>
            </w:tcBorders>
            <w:shd w:val="clear" w:color="auto" w:fill="auto"/>
            <w:noWrap/>
            <w:vAlign w:val="center"/>
          </w:tcPr>
          <w:p>
            <w:pPr>
              <w:widowControl/>
              <w:autoSpaceDN w:val="0"/>
              <w:jc w:val="center"/>
              <w:rPr>
                <w:rFonts w:ascii="宋体" w:cs="宋体"/>
                <w:kern w:val="0"/>
                <w:sz w:val="22"/>
              </w:rPr>
            </w:pPr>
            <w:r>
              <w:rPr>
                <w:rFonts w:ascii="宋体" w:cs="宋体" w:hint="eastAsia"/>
                <w:kern w:val="0"/>
                <w:sz w:val="22"/>
              </w:rPr>
              <w:t>一级</w:t>
              <w:br/>
              <w:t>指标</w:t>
            </w:r>
          </w:p>
        </w:tc>
        <w:tc>
          <w:tcPr>
            <w:tcW w:w="175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二级指标</w:t>
            </w:r>
          </w:p>
        </w:tc>
        <w:tc>
          <w:tcPr>
            <w:tcW w:w="2569" w:type="dxa"/>
            <w:gridSpan w:val="2"/>
            <w:tcBorders>
              <w:top w:val="single" w:sz="4" w:space="0" w:color="auto"/>
              <w:left w:val="nil"/>
              <w:bottom w:val="single" w:sz="4" w:space="0" w:color="auto"/>
              <w:right w:val="single" w:sz="4" w:space="0" w:color="000000"/>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三级指标</w:t>
            </w:r>
          </w:p>
        </w:tc>
        <w:tc>
          <w:tcPr>
            <w:tcW w:w="1756"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指标值</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分值</w:t>
              <w:br/>
              <w:t>（90）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val="restart"/>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产出指标</w:t>
            </w:r>
          </w:p>
        </w:tc>
        <w:tc>
          <w:tcPr>
            <w:tcW w:w="175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数量指标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rPr>
                <w:rFonts w:ascii="宋体" w:cs="宋体"/>
                <w:kern w:val="0"/>
                <w:sz w:val="22"/>
              </w:rPr>
            </w:pPr>
            <w:r>
              <w:rPr>
                <w:rFonts w:ascii="宋体" w:cs="宋体" w:hint="eastAsia"/>
                <w:kern w:val="0"/>
                <w:sz w:val="22"/>
              </w:rPr>
              <w:t>保障关警员数量</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≥27人/年</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30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vMerge/>
            <w:tcBorders>
              <w:top w:val="nil"/>
              <w:left w:val="single" w:sz="4" w:space="0" w:color="auto"/>
              <w:bottom w:val="single" w:sz="4" w:space="0" w:color="auto"/>
              <w:right w:val="single" w:sz="4" w:space="0" w:color="auto"/>
            </w:tcBorders>
            <w:vAlign w:val="center"/>
          </w:tcPr>
          <w:p/>
        </w:tc>
        <w:tc>
          <w:tcPr>
            <w:tcW w:w="175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质量指标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rPr>
                <w:rFonts w:ascii="宋体" w:cs="宋体"/>
                <w:kern w:val="0"/>
                <w:sz w:val="22"/>
              </w:rPr>
            </w:pPr>
            <w:r>
              <w:rPr>
                <w:rFonts w:ascii="宋体" w:cs="宋体" w:hint="eastAsia"/>
                <w:kern w:val="0"/>
                <w:sz w:val="22"/>
              </w:rPr>
              <w:t>体检覆盖率</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≥95%</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20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效益指标</w:t>
            </w:r>
          </w:p>
        </w:tc>
        <w:tc>
          <w:tcPr>
            <w:tcW w:w="175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社会效益指标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rPr>
                <w:rFonts w:ascii="宋体" w:cs="宋体"/>
                <w:kern w:val="0"/>
                <w:sz w:val="22"/>
              </w:rPr>
            </w:pPr>
            <w:r>
              <w:rPr>
                <w:rFonts w:ascii="宋体" w:cs="宋体" w:hint="eastAsia"/>
                <w:kern w:val="0"/>
                <w:sz w:val="22"/>
              </w:rPr>
              <w:t xml:space="preserve"> 提升艰苦边关保障质量</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是</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30</w:t>
            </w:r>
          </w:p>
        </w:tc>
      </w:tr>
      <w:tr>
        <w:trPr>
          <w:trHeight w:val="439"/>
        </w:trPr>
        <w:tc>
          <w:tcPr>
            <w:tcW w:w="438" w:type="dxa"/>
            <w:vMerge/>
            <w:tcBorders>
              <w:top w:val="single" w:sz="4" w:space="0" w:color="auto"/>
              <w:left w:val="single" w:sz="4" w:space="0" w:color="auto"/>
              <w:bottom w:val="single" w:sz="4" w:space="0" w:color="000000"/>
              <w:right w:val="single" w:sz="4" w:space="0" w:color="auto"/>
            </w:tcBorders>
            <w:vAlign w:val="center"/>
          </w:tcPr>
          <w:p/>
        </w:tc>
        <w:tc>
          <w:tcPr>
            <w:tcW w:w="100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满意度指标</w:t>
            </w:r>
          </w:p>
        </w:tc>
        <w:tc>
          <w:tcPr>
            <w:tcW w:w="1754"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服务对象满意度指标</w:t>
            </w:r>
          </w:p>
        </w:tc>
        <w:tc>
          <w:tcPr>
            <w:tcW w:w="2569" w:type="dxa"/>
            <w:gridSpan w:val="2"/>
            <w:tcBorders>
              <w:top w:val="single" w:sz="4" w:space="0" w:color="auto"/>
              <w:left w:val="nil"/>
              <w:bottom w:val="single" w:sz="4" w:space="0" w:color="auto"/>
              <w:right w:val="nil"/>
            </w:tcBorders>
            <w:shd w:val="clear" w:color="auto" w:fill="auto"/>
            <w:vAlign w:val="center"/>
          </w:tcPr>
          <w:p>
            <w:pPr>
              <w:widowControl/>
              <w:autoSpaceDN w:val="0"/>
              <w:rPr>
                <w:rFonts w:ascii="宋体" w:cs="宋体"/>
                <w:kern w:val="0"/>
                <w:sz w:val="22"/>
              </w:rPr>
            </w:pPr>
            <w:r>
              <w:rPr>
                <w:rFonts w:ascii="宋体" w:cs="宋体" w:hint="eastAsia"/>
                <w:kern w:val="0"/>
                <w:sz w:val="22"/>
              </w:rPr>
              <w:t>服务关警员满意度</w:t>
            </w:r>
          </w:p>
        </w:tc>
        <w:tc>
          <w:tcPr>
            <w:tcW w:w="1756" w:type="dxa"/>
            <w:tcBorders>
              <w:top w:val="nil"/>
              <w:left w:val="single" w:sz="4" w:space="0" w:color="auto"/>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≥95%</w:t>
            </w:r>
          </w:p>
        </w:tc>
        <w:tc>
          <w:tcPr>
            <w:tcW w:w="1002" w:type="dxa"/>
            <w:tcBorders>
              <w:top w:val="nil"/>
              <w:left w:val="nil"/>
              <w:bottom w:val="single" w:sz="4" w:space="0" w:color="auto"/>
              <w:right w:val="single" w:sz="4" w:space="0" w:color="auto"/>
            </w:tcBorders>
            <w:shd w:val="clear" w:color="auto" w:fill="auto"/>
            <w:vAlign w:val="center"/>
          </w:tcPr>
          <w:p>
            <w:pPr>
              <w:widowControl/>
              <w:autoSpaceDN w:val="0"/>
              <w:jc w:val="center"/>
              <w:rPr>
                <w:rFonts w:ascii="宋体" w:cs="宋体"/>
                <w:kern w:val="0"/>
                <w:sz w:val="22"/>
              </w:rPr>
            </w:pPr>
            <w:r>
              <w:rPr>
                <w:rFonts w:ascii="宋体" w:cs="宋体" w:hint="eastAsia"/>
                <w:kern w:val="0"/>
                <w:sz w:val="22"/>
              </w:rPr>
              <w:t>10</w:t>
            </w:r>
          </w:p>
        </w:tc>
      </w:tr>
    </w:tbl>
    <w:p>
      <w:pPr>
        <w:widowControl/>
        <w:jc w:val="left"/>
      </w:pP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方正黑体_GBK">
    <w:panose1 w:val="03000509000000000000"/>
    <w:charset w:val="86"/>
    <w:family w:val="script"/>
    <w:pitch w:val="variable"/>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方正楷体_GBK">
    <w:panose1 w:val="03000509000000000000"/>
    <w:charset w:val="86"/>
    <w:family w:val="script"/>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bestFit"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mn-Mong-CN"/>
    </w:rPr>
  </w:style>
  <w:style w:type="character" w:default="1" w:styleId="10">
    <w:name w:val="Default Paragraph Font"/>
  </w:style>
  <w:style w:type="paragraph" w:styleId="15">
    <w:name w:val="footer"/>
    <w:basedOn w:val="0"/>
    <w:pPr>
      <w:tabs>
        <w:tab w:val="center" w:pos="4153"/>
        <w:tab w:val="right" w:pos="8307"/>
      </w:tabs>
      <w:snapToGrid w:val="0"/>
      <w:jc w:val="left"/>
    </w:pPr>
    <w:rPr>
      <w:rFonts w:cs="宋体"/>
      <w:sz w:val="18"/>
    </w:rPr>
  </w:style>
  <w:style w:type="paragraph" w:styleId="16">
    <w:name w:val="header"/>
    <w:basedOn w:val="0"/>
    <w:pPr>
      <w:tabs>
        <w:tab w:val="center" w:pos="4153"/>
        <w:tab w:val="right" w:pos="8306"/>
      </w:tabs>
      <w:snapToGrid w:val="0"/>
    </w:pPr>
    <w:rPr>
      <w:rFonts w:cs="宋体"/>
      <w:sz w:val="18"/>
    </w:rPr>
  </w:style>
  <w:style w:type="paragraph" w:customStyle="1" w:styleId="17">
    <w:name w:val="样式 4 10 磅"/>
    <w:basedOn w:val="0"/>
    <w:rPr>
      <w:rFonts w:ascii="Times New Roman" w:cs="Times New Roman" w:hAnsi="Times New Roman"/>
      <w:szCs w:val="21"/>
    </w:rPr>
  </w:style>
  <w:style w:type="paragraph" w:customStyle="1" w:styleId="18">
    <w:name w:val="样式 51 10 磅"/>
    <w:basedOn w:val="0"/>
    <w:rPr>
      <w:rFonts w:ascii="Times New Roman" w:cs="Times New Roman" w:hAnsi="Times New Roman"/>
      <w:szCs w:val="21"/>
    </w:rPr>
  </w:style>
  <w:style w:type="paragraph" w:customStyle="1" w:styleId="19">
    <w:name w:val="样式 36 10 磅"/>
    <w:basedOn w:val="0"/>
    <w:rPr>
      <w:rFonts w:ascii="Times New Roman" w:cs="Times New Roman" w:hAnsi="Times New Roman"/>
      <w:szCs w:val="21"/>
    </w:rPr>
  </w:style>
  <w:style w:type="paragraph" w:customStyle="1" w:styleId="20">
    <w:name w:val="样式 49 10 磅"/>
    <w:basedOn w:val="0"/>
    <w:rPr>
      <w:rFonts w:ascii="Times New Roman" w:cs="Times New Roman" w:hAnsi="Times New Roman"/>
      <w:szCs w:val="21"/>
    </w:rPr>
  </w:style>
  <w:style w:type="paragraph" w:customStyle="1" w:styleId="21">
    <w:name w:val="样式 2 10 磅"/>
    <w:basedOn w:val="0"/>
    <w:rPr>
      <w:rFonts w:ascii="Times New Roman" w:cs="Times New Roman" w:hAnsi="Times New Roman"/>
      <w:szCs w:val="21"/>
    </w:rPr>
  </w:style>
  <w:style w:type="paragraph" w:customStyle="1" w:styleId="22">
    <w:name w:val="样式 1 10 磅"/>
    <w:basedOn w:val="0"/>
    <w:rPr>
      <w:rFonts w:ascii="Times New Roman" w:cs="Times New Roman" w:hAnsi="Times New Roman"/>
      <w:szCs w:val="21"/>
    </w:rPr>
  </w:style>
  <w:style w:type="paragraph" w:styleId="23">
    <w:name w:val="Balloon Text"/>
    <w:basedOn w:val="0"/>
    <w:rPr>
      <w:rFonts w:cs="宋体"/>
      <w:sz w:val="18"/>
      <w:szCs w:val="18"/>
    </w:rPr>
  </w:style>
  <w:style w:type="paragraph" w:customStyle="1" w:styleId="24">
    <w:name w:val="样式 10 磅"/>
    <w:pPr>
      <w:widowControl w:val="0"/>
      <w:jc w:val="both"/>
    </w:pPr>
    <w:rPr>
      <w:rFonts w:ascii="Times New Roman" w:eastAsia="宋体" w:cs="Times New Roman" w:hAnsi="Times New Roman"/>
      <w:kern w:val="2"/>
      <w:sz w:val="21"/>
      <w:szCs w:val="21"/>
      <w:lang w:val="en-US" w:eastAsia="zh-CN" w:bidi="mn-Mong-CN"/>
    </w:rPr>
  </w:style>
  <w:style w:type="paragraph" w:customStyle="1" w:styleId="25">
    <w:name w:val="样式 3 10 磅"/>
    <w:pPr>
      <w:widowControl w:val="0"/>
      <w:jc w:val="both"/>
    </w:pPr>
    <w:rPr>
      <w:rFonts w:ascii="Calibri" w:eastAsia="宋体" w:cs="Arial" w:hAnsi="Calibri"/>
      <w:kern w:val="2"/>
      <w:sz w:val="21"/>
      <w:szCs w:val="22"/>
      <w:lang w:val="en-US" w:eastAsia="zh-CN" w:bidi="mn-Mong-CN"/>
    </w:rPr>
  </w:style>
  <w:style w:type="paragraph" w:customStyle="1" w:styleId="26">
    <w:name w:val="样式 5 10 磅"/>
    <w:pPr>
      <w:widowControl w:val="0"/>
      <w:jc w:val="both"/>
    </w:pPr>
    <w:rPr>
      <w:rFonts w:ascii="Calibri" w:eastAsia="宋体" w:cs="Arial" w:hAnsi="Calibri"/>
      <w:kern w:val="2"/>
      <w:sz w:val="21"/>
      <w:szCs w:val="22"/>
      <w:lang w:val="en-US" w:eastAsia="zh-CN" w:bidi="mn-Mong-CN"/>
    </w:rPr>
  </w:style>
  <w:style w:type="character" w:customStyle="1" w:styleId="27">
    <w:name w:val="font41"/>
    <w:basedOn w:val="10"/>
    <w:rPr>
      <w:rFonts w:ascii="宋体" w:eastAsia="宋体" w:cs="宋体"/>
      <w:strike w:val="0"/>
      <w:dstrike w:val="0"/>
      <w:color w:val="000000"/>
      <w:sz w:val="22"/>
      <w:szCs w:val="22"/>
      <w:u w:val="none"/>
      <w:lang w:bidi="ar-SA"/>
    </w:rPr>
  </w:style>
  <w:style w:type="character" w:customStyle="1" w:styleId="28">
    <w:name w:val="font61"/>
    <w:basedOn w:val="10"/>
    <w:rPr>
      <w:rFonts w:ascii="宋体" w:eastAsia="宋体" w:cs="宋体"/>
      <w:strike w:val="0"/>
      <w:dstrike w:val="0"/>
      <w:color w:val="000000"/>
      <w:sz w:val="22"/>
      <w:szCs w:val="22"/>
      <w:u w:val="none"/>
      <w:lang w:bidi="ar-SA"/>
    </w:rPr>
  </w:style>
  <w:style w:type="character" w:customStyle="1" w:styleId="29">
    <w:name w:val="font71"/>
    <w:basedOn w:val="10"/>
    <w:rPr>
      <w:rFonts w:ascii="Times New Roman" w:cs="Times New Roman" w:hAnsi="Times New Roman"/>
      <w:strike w:val="0"/>
      <w:dstrike w:val="0"/>
      <w:color w:val="000000"/>
      <w:sz w:val="22"/>
      <w:szCs w:val="22"/>
      <w:u w:val="none"/>
      <w:lang w:bidi="ar-SA"/>
    </w:rPr>
  </w:style>
  <w:style w:type="character" w:customStyle="1" w:styleId="30">
    <w:name w:val="font51"/>
    <w:basedOn w:val="10"/>
    <w:rPr>
      <w:rFonts w:ascii="宋体" w:eastAsia="宋体" w:cs="宋体"/>
      <w:strike w:val="0"/>
      <w:dstrike w:val="0"/>
      <w:color w:val="000000"/>
      <w:sz w:val="22"/>
      <w:szCs w:val="22"/>
      <w:u w:val="none"/>
      <w:lang w:bidi="ar-SA"/>
    </w:rPr>
  </w:style>
  <w:style w:type="character" w:customStyle="1" w:styleId="31">
    <w:name w:val="font01"/>
    <w:basedOn w:val="10"/>
    <w:rPr>
      <w:rFonts w:ascii="宋体" w:eastAsia="宋体" w:cs="宋体"/>
      <w:strike w:val="0"/>
      <w:dstrike w:val="0"/>
      <w:color w:val="000000"/>
      <w:sz w:val="22"/>
      <w:szCs w:val="22"/>
      <w:u w:val="none"/>
      <w:lang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image" Target="media/2.jpeg"/><Relationship Id="rId3" Type="http://schemas.openxmlformats.org/officeDocument/2006/relationships/image" Target="media/5.jpeg"/><Relationship Id="rId4" Type="http://schemas.openxmlformats.org/officeDocument/2006/relationships/image" Target="media/10.jpeg"/><Relationship Id="rId5" Type="http://schemas.openxmlformats.org/officeDocument/2006/relationships/image" Target="media/15.jpeg"/><Relationship Id="rId6" Type="http://schemas.openxmlformats.org/officeDocument/2006/relationships/image" Target="media/18.jpeg"/><Relationship Id="rId7" Type="http://schemas.openxmlformats.org/officeDocument/2006/relationships/styles" Target="styles.xml"/><Relationship Id="rId8" Type="http://schemas.openxmlformats.org/officeDocument/2006/relationships/fontTable" Target="fontTable.xml"/></Relationships>
</file>

<file path=docProps/app.xml><?xml version="1.0" encoding="utf-8"?>
<Properties xmlns="http://schemas.openxmlformats.org/officeDocument/2006/extended-properties">
  <Template>Normal.eit</Template>
  <TotalTime>340</TotalTime>
  <Application>Yozo_Office</Application>
  <Pages>42</Pages>
  <Words>12202</Words>
  <Characters>14967</Characters>
  <Lines>2222</Lines>
  <Paragraphs>1305</Paragraphs>
  <CharactersWithSpaces>15754</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engl_wangwensong</dc:creator>
  <cp:lastModifiedBy>郭浩</cp:lastModifiedBy>
  <cp:revision>25</cp:revision>
  <cp:lastPrinted>2024-04-28T09:00:00Z</cp:lastPrinted>
  <dcterms:created xsi:type="dcterms:W3CDTF">2024-04-26T06:28:00Z</dcterms:created>
  <dcterms:modified xsi:type="dcterms:W3CDTF">2025-03-17T01:26:58Z</dcterms:modified>
</cp:coreProperties>
</file>