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firstLine="0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cs="方正仿宋_GBK" w:hint="eastAsia"/>
                <w:sz w:val="32"/>
                <w:szCs w:val="32"/>
                <w:lang w:val="en-US" w:eastAsia="zh-CN"/>
              </w:rPr>
              <w:t>鄂尔多斯</w:t>
            </w:r>
            <w:r>
              <w:rPr>
                <w:rFonts w:ascii="方正仿宋_GBK" w:eastAsia="方正仿宋_GBK" w:cs="方正仿宋_GBK" w:hint="eastAsia"/>
                <w:sz w:val="32"/>
                <w:szCs w:val="32"/>
              </w:rPr>
              <w:t>海关七氟丙烷气体灭火罐及配套设施的检测及药剂充装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val="en-US" w:eastAsia="zh-CN"/>
              </w:rPr>
              <w:t>28000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ind w:firstLineChars="900" w:firstLine="2520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最低价法</w:t>
            </w:r>
          </w:p>
        </w:tc>
      </w:tr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3421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1.不满足资格条件的响应文件将按无效响应文件处理。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详细需求栏中所有加“★”项的需求均为实质性要求，不满足实质性要求的响应文件将按无效响应文件处理。</w:t>
            </w:r>
          </w:p>
        </w:tc>
      </w:tr>
      <w:tr>
        <w:trPr>
          <w:trHeight w:val="4825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1.具有独立承担民事责任的能力。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2.单位负责人为同一人或者存在直接控股、管理关系的不同服务商，不得参加同一合同项下的采购活动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供应商须在“社会消防技术服务信息系统”中登记备案，服务类型须包含消防设施维护保养检测。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4.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供应商须持有市场监督管理部门颁发的《特种设备检验检测机构核准证》或者授权，充装介质类别须包含七氟丙烷(或气体灭火介质)，提供证书复印件加盖公章。(说明:若供应商自身不具备特种设备检验检测机构核准证，可提供具备相应资质的气瓶充装单位针对本项目出具的唯一授权书，授权单位与供应商不得同时参与本项目报价</w:t>
            </w: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4"/>
                <w:szCs w:val="24"/>
              </w:rPr>
              <w:t>）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。</w:t>
            </w:r>
          </w:p>
        </w:tc>
      </w:tr>
      <w:tr>
        <w:trPr>
          <w:trHeight w:val="3733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</w:tcPr>
          <w:p>
            <w:pPr>
              <w:spacing w:line="400" w:lineRule="exact"/>
              <w:ind w:firstLine="0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1.工期：15个工作日。</w:t>
            </w:r>
          </w:p>
          <w:p>
            <w:pPr>
              <w:spacing w:line="400" w:lineRule="exact"/>
              <w:jc w:val="left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2.根据国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家标准充装七氟丙烷药剂，并对七氟丙烷钢瓶进行质量检测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  <w:lang w:eastAsia="zh-CN"/>
              </w:rPr>
              <w:t>（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  <w:lang w:val="en-US" w:eastAsia="zh-CN"/>
              </w:rPr>
              <w:t>规格150KG的4具，90KG的2具）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。</w:t>
            </w:r>
          </w:p>
          <w:p>
            <w:pPr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3.检测结束后，出具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符合国家标准的检测报告及灭火剂称重报告。</w:t>
            </w:r>
          </w:p>
          <w:p>
            <w:pPr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4.在对柜式七氟丙烷气体灭火装置灭火剂瓶组的运输、装卸全过程中，须采取符合国家相关标准的防护措施，确保甲方所有钢瓶及附属设施（含阀门、压力表、接口管路、柜体外壳等）完好无损。</w:t>
            </w:r>
          </w:p>
          <w:p>
            <w:pPr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4"/>
                <w:szCs w:val="24"/>
              </w:rPr>
              <w:t>5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.质保期：验收合格后质保期不少于1年，期间出现非火灾原因泄漏等问题，供应商应免费负责处理。</w:t>
            </w:r>
          </w:p>
          <w:p>
            <w:pPr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  <w:lang w:val="en-US" w:eastAsia="zh-CN"/>
              </w:rPr>
            </w:pPr>
          </w:p>
        </w:tc>
      </w:tr>
      <w:tr>
        <w:trPr>
          <w:trHeight w:val="3110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862" w:type="dxa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rPr>
          <w:trHeight w:val="3724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其他因素</w:t>
            </w:r>
          </w:p>
        </w:tc>
        <w:tc>
          <w:tcPr>
            <w:tcW w:w="6862" w:type="dxa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ascii="方正仿宋_GBK" w:eastAsia="方正仿宋_GBK" w:cs="方正仿宋_GBK"/>
          <w:sz w:val="32"/>
          <w:szCs w:val="32"/>
        </w:rPr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10600010101010101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800002BF" w:usb1="38CF7CFA" w:usb2="00000016" w:usb3="00000000" w:csb0="00040000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19"/>
      </w:rPr>
      <w:fldChar w:fldCharType="begin"/>
    </w:r>
    <w:r>
      <w:rPr>
        <w:rStyle w:val="19"/>
      </w:rPr>
      <w:instrText>Page</w:instrText>
    </w:r>
    <w:r>
      <w:rPr>
        <w:rStyle w:val="19"/>
      </w:rPr>
      <w:fldChar w:fldCharType="separate"/>
    </w:r>
    <w:r>
      <w:rPr>
        <w:rStyle w:val="19"/>
      </w:rPr>
      <w:t>1</w:t>
    </w:r>
    <w:r>
      <w:rPr>
        <w:rStyle w:val="19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19"/>
      </w:rPr>
      <w:fldChar w:fldCharType="begin"/>
    </w:r>
    <w:r>
      <w:rPr>
        <w:rStyle w:val="19"/>
      </w:rPr>
      <w:instrText>Page</w:instrText>
    </w:r>
    <w:r>
      <w:rPr>
        <w:rStyle w:val="19"/>
      </w:rPr>
      <w:fldChar w:fldCharType="separate"/>
    </w:r>
    <w:r>
      <w:rPr>
        <w:rStyle w:val="19"/>
      </w:rPr>
      <w:t>1</w:t>
    </w:r>
    <w:r>
      <w:rPr>
        <w:rStyle w:val="19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8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character" w:styleId="19">
    <w:name w:val="page number"/>
    <w:basedOn w:val="10"/>
  </w:style>
  <w:style w:type="paragraph" w:customStyle="1" w:styleId="20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6 10 磅"/>
    <w:next w:val="61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8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0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5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6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8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0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2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4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7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8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59">
    <w:name w:val="List 4"/>
    <w:basedOn w:val="0"/>
    <w:pPr>
      <w:ind w:left="1680" w:hanging="420"/>
    </w:pPr>
  </w:style>
  <w:style w:type="character" w:styleId="60">
    <w:name w:val="Hyperlink"/>
    <w:rPr>
      <w:color w:val="0000FF"/>
      <w:u w:val="single"/>
    </w:rPr>
  </w:style>
  <w:style w:type="paragraph" w:styleId="61">
    <w:name w:val="Normal (Web)"/>
    <w:next w:val="59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4"/>
      <w:lang w:val="en-US" w:eastAsia="zh-CN" w:bidi="ar-SA"/>
    </w:rPr>
  </w:style>
  <w:style w:type="paragraph" w:customStyle="1" w:styleId="62">
    <w:name w:val="样式 1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74</TotalTime>
  <Application>Yozo_Office</Application>
  <Pages>2</Pages>
  <Words>626</Words>
  <Characters>649</Characters>
  <Lines>47</Lines>
  <Paragraphs>26</Paragraphs>
  <CharactersWithSpaces>649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王鑫涛</cp:lastModifiedBy>
  <cp:revision>2</cp:revision>
  <cp:lastPrinted>2025-07-02T10:14:00Z</cp:lastPrinted>
  <dcterms:created xsi:type="dcterms:W3CDTF">2025-05-16T10:09:00Z</dcterms:created>
  <dcterms:modified xsi:type="dcterms:W3CDTF">2026-07-10T01:38:41Z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2052-12.1.0.26895</vt:lpwstr>
  </property>
  <property fmtid="{D5CDD505-2E9C-101B-9397-08002B2CF9AE}" pid="3" name="ICV">
    <vt:lpwstr>5D974C0679984329BD0850353E0B73EE_13</vt:lpwstr>
  </property>
  <property fmtid="{D5CDD505-2E9C-101B-9397-08002B2CF9AE}" pid="4" name="KSOTemplateDocerSaveRecord">
    <vt:lpwstr>eyJoZGlkIjoiZjdhY2NkZGNkMzJlZGU0YzcxYmY1YTdhNWY4ZTA4MTIiLCJ1c2VySWQiOiIyMjAwOTU4MTcifQ==</vt:lpwstr>
  </property>
</Properties>
</file>