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emf" ContentType="image/emf"/>
  <Default Extension="bin" ContentType="application/vnd.openxmlformats-officedocument.oleObject"/>
  <Default Extension="jpg" ContentType="image/jp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rPr>
          <w:sz w:val="48"/>
          <w:szCs w:val="48"/>
          <w:highlight w:val="auto"/>
        </w:rPr>
      </w:pPr>
      <w:bookmarkStart w:id="0" w:name="_GoBack"/>
      <w:bookmarkEnd w:id="0"/>
    </w:p>
    <w:p>
      <w:pPr>
        <w:jc w:val="center"/>
        <w:rPr>
          <w:sz w:val="48"/>
          <w:szCs w:val="48"/>
          <w:highlight w:val="auto"/>
        </w:rPr>
      </w:pPr>
    </w:p>
    <w:p>
      <w:pPr>
        <w:jc w:val="center"/>
        <w:rPr>
          <w:rFonts w:hint="eastAsia"/>
          <w:sz w:val="48"/>
          <w:szCs w:val="48"/>
          <w:highlight w:val="auto"/>
        </w:rPr>
      </w:pPr>
      <w:r>
        <w:rPr>
          <w:rFonts w:hint="eastAsia"/>
          <w:sz w:val="48"/>
          <w:szCs w:val="48"/>
          <w:highlight w:val="auto"/>
        </w:rPr>
        <w:t xml:space="preserve">                   </w:t>
      </w:r>
    </w:p>
    <w:p>
      <w:pPr>
        <w:jc w:val="center"/>
        <w:rPr>
          <w:sz w:val="84"/>
          <w:szCs w:val="84"/>
          <w:highlight w:val="auto"/>
        </w:rPr>
      </w:pPr>
      <w:r>
        <w:rPr>
          <w:sz w:val="48"/>
          <w:szCs w:val="48"/>
          <w:highlight w:val="auto"/>
        </w:rPr>
        <w:drawing>
          <wp:inline distT="0" distB="0" distL="68578" distR="68578">
            <wp:extent cx="3061970" cy="3061970"/>
            <wp:effectExtent l="0" t="0" r="0" b="0"/>
            <wp:docPr id="4" name="图片 4"/>
            <wp:cNvGraphicFramePr>
              <a:graphicFrameLocks noChangeAspect="1"/>
            </wp:cNvGraphicFramePr>
            <a:graphic>
              <a:graphicData uri="http://schemas.openxmlformats.org/drawingml/2006/picture">
                <pic:pic>
                  <pic:nvPicPr>
                    <pic:cNvPr id="6" name="图片 6"/>
                    <pic:cNvPicPr/>
                  </pic:nvPicPr>
                  <pic:blipFill>
                    <a:blip r:embed="rId3"/>
                    <a:stretch>
                      <a:fillRect/>
                    </a:stretch>
                  </pic:blipFill>
                  <pic:spPr>
                    <a:xfrm rot="0">
                      <a:off x="0" y="0"/>
                      <a:ext cx="3061970" cy="3061970"/>
                    </a:xfrm>
                    <a:prstGeom prst="rect"/>
                    <a:solidFill>
                      <a:srgbClr val="FFFFFF"/>
                    </a:solidFill>
                    <a:ln w="9525" cmpd="sng" cap="flat">
                      <a:noFill/>
                      <a:prstDash val="solid"/>
                      <a:miter/>
                    </a:ln>
                  </pic:spPr>
                </pic:pic>
              </a:graphicData>
            </a:graphic>
          </wp:inline>
        </w:drawing>
      </w:r>
    </w:p>
    <w:p>
      <w:pPr>
        <w:jc w:val="center"/>
        <w:rPr>
          <w:sz w:val="84"/>
          <w:szCs w:val="84"/>
          <w:highlight w:val="auto"/>
        </w:rPr>
      </w:pPr>
    </w:p>
    <w:p>
      <w:pPr>
        <w:jc w:val="center"/>
        <w:rPr>
          <w:rFonts w:hint="eastAsia"/>
          <w:sz w:val="84"/>
          <w:szCs w:val="84"/>
          <w:highlight w:val="auto"/>
        </w:rPr>
      </w:pPr>
      <w:r>
        <w:rPr>
          <w:sz w:val="84"/>
          <w:szCs w:val="84"/>
          <w:highlight w:val="auto"/>
        </w:rPr>
        <w:t>集宁</w:t>
      </w:r>
      <w:r>
        <w:rPr>
          <w:rFonts w:hint="eastAsia"/>
          <w:sz w:val="84"/>
          <w:szCs w:val="84"/>
          <w:highlight w:val="auto"/>
        </w:rPr>
        <w:t>海关部门预算</w:t>
      </w:r>
    </w:p>
    <w:p>
      <w:pPr>
        <w:jc w:val="center"/>
        <w:rPr>
          <w:rFonts w:hint="eastAsia"/>
          <w:sz w:val="44"/>
          <w:szCs w:val="44"/>
          <w:highlight w:val="auto"/>
        </w:rPr>
      </w:pPr>
      <w:r>
        <w:rPr>
          <w:rFonts w:hint="eastAsia"/>
          <w:sz w:val="44"/>
          <w:szCs w:val="44"/>
          <w:highlight w:val="auto"/>
        </w:rPr>
        <w:t>202</w:t>
      </w:r>
      <w:r>
        <w:rPr>
          <w:sz w:val="44"/>
          <w:szCs w:val="44"/>
          <w:highlight w:val="auto"/>
        </w:rPr>
        <w:t>4</w:t>
      </w:r>
      <w:r>
        <w:rPr>
          <w:rFonts w:hint="eastAsia"/>
          <w:sz w:val="44"/>
          <w:szCs w:val="44"/>
          <w:highlight w:val="auto"/>
        </w:rPr>
        <w:t>年</w:t>
      </w:r>
    </w:p>
    <w:p>
      <w:pPr>
        <w:jc w:val="center"/>
        <w:rPr>
          <w:rFonts w:hint="eastAsia"/>
          <w:sz w:val="44"/>
          <w:szCs w:val="44"/>
          <w:highlight w:val="auto"/>
        </w:rPr>
      </w:pPr>
    </w:p>
    <w:p>
      <w:pPr>
        <w:jc w:val="center"/>
        <w:rPr>
          <w:rFonts w:hint="eastAsia"/>
          <w:sz w:val="44"/>
          <w:szCs w:val="44"/>
          <w:highlight w:val="auto"/>
        </w:rPr>
      </w:pPr>
    </w:p>
    <w:p>
      <w:pPr>
        <w:jc w:val="center"/>
        <w:rPr>
          <w:rFonts w:hint="eastAsia"/>
          <w:sz w:val="44"/>
          <w:szCs w:val="44"/>
          <w:highlight w:val="auto"/>
        </w:rPr>
      </w:pPr>
    </w:p>
    <w:p>
      <w:pPr>
        <w:jc w:val="center"/>
        <w:rPr>
          <w:rFonts w:hint="eastAsia"/>
          <w:sz w:val="44"/>
          <w:szCs w:val="44"/>
          <w:highlight w:val="auto"/>
        </w:rPr>
      </w:pPr>
    </w:p>
    <w:p>
      <w:pPr>
        <w:rPr>
          <w:b/>
          <w:sz w:val="84"/>
          <w:szCs w:val="84"/>
          <w:highlight w:val="auto"/>
        </w:rPr>
      </w:pPr>
    </w:p>
    <w:p>
      <w:pPr>
        <w:jc w:val="center"/>
        <w:rPr>
          <w:b/>
          <w:sz w:val="84"/>
          <w:szCs w:val="84"/>
          <w:highlight w:val="auto"/>
        </w:rPr>
      </w:pPr>
      <w:r>
        <w:rPr>
          <w:rFonts w:hint="eastAsia"/>
          <w:b/>
          <w:sz w:val="84"/>
          <w:szCs w:val="84"/>
          <w:highlight w:val="auto"/>
        </w:rPr>
        <w:t>目</w:t>
      </w:r>
      <w:r>
        <w:rPr>
          <w:b/>
          <w:sz w:val="84"/>
          <w:szCs w:val="84"/>
          <w:highlight w:val="auto"/>
        </w:rPr>
        <w:t xml:space="preserve">  </w:t>
      </w:r>
      <w:r>
        <w:rPr>
          <w:rFonts w:hint="eastAsia"/>
          <w:b/>
          <w:sz w:val="84"/>
          <w:szCs w:val="84"/>
          <w:highlight w:val="auto"/>
        </w:rPr>
        <w:t>录</w:t>
      </w:r>
    </w:p>
    <w:p>
      <w:pPr>
        <w:jc w:val="center"/>
        <w:rPr>
          <w:b/>
          <w:sz w:val="84"/>
          <w:szCs w:val="84"/>
          <w:highlight w:val="auto"/>
        </w:rPr>
      </w:pPr>
    </w:p>
    <w:p>
      <w:pPr>
        <w:rPr>
          <w:b/>
          <w:sz w:val="44"/>
          <w:szCs w:val="44"/>
          <w:highlight w:val="auto"/>
        </w:rPr>
      </w:pPr>
      <w:r>
        <w:rPr>
          <w:rFonts w:hint="eastAsia"/>
          <w:b/>
          <w:sz w:val="44"/>
          <w:szCs w:val="44"/>
          <w:highlight w:val="auto"/>
        </w:rPr>
        <w:t xml:space="preserve">第一部分  </w:t>
      </w:r>
      <w:r>
        <w:rPr>
          <w:b/>
          <w:sz w:val="44"/>
          <w:szCs w:val="44"/>
        </w:rPr>
        <w:t>集宁</w:t>
      </w:r>
      <w:r>
        <w:rPr>
          <w:rFonts w:hint="eastAsia"/>
          <w:b/>
          <w:sz w:val="44"/>
          <w:szCs w:val="44"/>
          <w:highlight w:val="auto"/>
        </w:rPr>
        <w:t>海关</w:t>
      </w:r>
      <w:r>
        <w:rPr>
          <w:b/>
          <w:sz w:val="44"/>
          <w:szCs w:val="44"/>
          <w:highlight w:val="auto"/>
        </w:rPr>
        <w:t>单位</w:t>
      </w:r>
      <w:r>
        <w:rPr>
          <w:rFonts w:hint="eastAsia"/>
          <w:b/>
          <w:sz w:val="44"/>
          <w:szCs w:val="44"/>
          <w:highlight w:val="auto"/>
        </w:rPr>
        <w:t>概况</w:t>
      </w:r>
    </w:p>
    <w:p>
      <w:pPr>
        <w:rPr>
          <w:rFonts w:hint="eastAsia"/>
          <w:sz w:val="36"/>
          <w:szCs w:val="36"/>
          <w:highlight w:val="auto"/>
        </w:rPr>
      </w:pPr>
      <w:r>
        <w:rPr>
          <w:rFonts w:hint="eastAsia"/>
          <w:sz w:val="36"/>
          <w:szCs w:val="36"/>
          <w:highlight w:val="auto"/>
        </w:rPr>
        <w:t>一、主要职能</w:t>
      </w:r>
    </w:p>
    <w:p>
      <w:pPr>
        <w:rPr>
          <w:rFonts w:hint="eastAsia"/>
          <w:sz w:val="36"/>
          <w:szCs w:val="36"/>
          <w:highlight w:val="auto"/>
        </w:rPr>
      </w:pPr>
      <w:r>
        <w:rPr>
          <w:rFonts w:hint="eastAsia"/>
          <w:sz w:val="36"/>
          <w:szCs w:val="36"/>
          <w:highlight w:val="auto"/>
        </w:rPr>
        <w:t xml:space="preserve">二、海关系统单位构成情况 </w:t>
      </w:r>
    </w:p>
    <w:p>
      <w:pPr>
        <w:rPr>
          <w:b/>
          <w:sz w:val="44"/>
          <w:szCs w:val="44"/>
          <w:highlight w:val="auto"/>
        </w:rPr>
      </w:pPr>
      <w:r>
        <w:rPr>
          <w:rFonts w:hint="eastAsia"/>
          <w:b/>
          <w:sz w:val="44"/>
          <w:szCs w:val="44"/>
          <w:highlight w:val="auto"/>
        </w:rPr>
        <w:t xml:space="preserve">第二部分  </w:t>
      </w:r>
      <w:r>
        <w:rPr>
          <w:b/>
          <w:sz w:val="44"/>
          <w:szCs w:val="44"/>
        </w:rPr>
        <w:t>集宁</w:t>
      </w:r>
      <w:r>
        <w:rPr>
          <w:rFonts w:hint="eastAsia"/>
          <w:b/>
          <w:sz w:val="44"/>
          <w:szCs w:val="44"/>
          <w:highlight w:val="auto"/>
        </w:rPr>
        <w:t>海关</w:t>
      </w:r>
      <w:r>
        <w:rPr>
          <w:b/>
          <w:sz w:val="44"/>
          <w:szCs w:val="44"/>
          <w:highlight w:val="auto"/>
        </w:rPr>
        <w:t>2024</w:t>
      </w:r>
      <w:r>
        <w:rPr>
          <w:rFonts w:hint="eastAsia"/>
          <w:b/>
          <w:sz w:val="44"/>
          <w:szCs w:val="44"/>
          <w:highlight w:val="auto"/>
        </w:rPr>
        <w:t>年部门预算表</w:t>
      </w:r>
    </w:p>
    <w:p>
      <w:pPr>
        <w:pStyle w:val="3119"/>
        <w:rPr>
          <w:color w:val="3366FF"/>
          <w:sz w:val="36"/>
          <w:szCs w:val="36"/>
        </w:rPr>
      </w:pPr>
      <w:r>
        <w:rPr>
          <w:rFonts w:ascii="宋体" w:hint="eastAsia"/>
          <w:sz w:val="36"/>
          <w:szCs w:val="36"/>
        </w:rPr>
        <w:t>一、</w:t>
      </w:r>
      <w:r>
        <w:rPr>
          <w:rFonts w:ascii="宋体"/>
          <w:sz w:val="36"/>
          <w:szCs w:val="36"/>
        </w:rPr>
        <w:t>部门</w:t>
      </w:r>
      <w:r>
        <w:rPr>
          <w:rFonts w:ascii="宋体" w:hint="eastAsia"/>
          <w:sz w:val="36"/>
          <w:szCs w:val="36"/>
        </w:rPr>
        <w:t>收支总表</w:t>
      </w:r>
    </w:p>
    <w:p>
      <w:pPr>
        <w:pStyle w:val="3120"/>
        <w:rPr>
          <w:sz w:val="36"/>
          <w:szCs w:val="36"/>
        </w:rPr>
      </w:pPr>
      <w:r>
        <w:rPr>
          <w:rFonts w:ascii="宋体" w:hint="eastAsia"/>
          <w:sz w:val="36"/>
          <w:szCs w:val="36"/>
        </w:rPr>
        <w:t>二、部门收入总表</w:t>
      </w:r>
    </w:p>
    <w:p>
      <w:pPr>
        <w:pStyle w:val="3121"/>
        <w:rPr>
          <w:sz w:val="36"/>
          <w:szCs w:val="36"/>
        </w:rPr>
      </w:pPr>
      <w:r>
        <w:rPr>
          <w:rFonts w:ascii="宋体" w:hint="eastAsia"/>
          <w:sz w:val="36"/>
          <w:szCs w:val="36"/>
        </w:rPr>
        <w:t>三、部门支出总表</w:t>
      </w:r>
    </w:p>
    <w:p>
      <w:pPr>
        <w:pStyle w:val="3119"/>
        <w:rPr>
          <w:sz w:val="36"/>
          <w:szCs w:val="36"/>
        </w:rPr>
      </w:pPr>
      <w:r>
        <w:rPr>
          <w:rFonts w:ascii="宋体" w:hint="eastAsia"/>
          <w:sz w:val="36"/>
          <w:szCs w:val="36"/>
        </w:rPr>
        <w:t>四、</w:t>
      </w:r>
      <w:r>
        <w:rPr>
          <w:rFonts w:ascii="宋体"/>
          <w:sz w:val="36"/>
          <w:szCs w:val="36"/>
        </w:rPr>
        <w:t>财政拨款收支总表</w:t>
      </w:r>
    </w:p>
    <w:p>
      <w:pPr>
        <w:pStyle w:val="3119"/>
        <w:rPr>
          <w:sz w:val="36"/>
          <w:szCs w:val="36"/>
        </w:rPr>
      </w:pPr>
      <w:r>
        <w:rPr>
          <w:rFonts w:ascii="宋体" w:hint="eastAsia"/>
          <w:sz w:val="36"/>
          <w:szCs w:val="36"/>
        </w:rPr>
        <w:t>五、</w:t>
      </w:r>
      <w:r>
        <w:rPr>
          <w:rFonts w:ascii="宋体"/>
          <w:sz w:val="36"/>
          <w:szCs w:val="36"/>
        </w:rPr>
        <w:t>一般公共预算支出表</w:t>
      </w:r>
    </w:p>
    <w:p>
      <w:pPr>
        <w:pStyle w:val="3119"/>
        <w:rPr>
          <w:color w:val="339966"/>
          <w:sz w:val="36"/>
          <w:szCs w:val="36"/>
        </w:rPr>
      </w:pPr>
      <w:r>
        <w:rPr>
          <w:rFonts w:ascii="宋体" w:hint="eastAsia"/>
          <w:sz w:val="36"/>
          <w:szCs w:val="36"/>
        </w:rPr>
        <w:t>六、</w:t>
      </w:r>
      <w:r>
        <w:rPr>
          <w:rFonts w:ascii="宋体"/>
          <w:sz w:val="36"/>
          <w:szCs w:val="36"/>
        </w:rPr>
        <w:t>一般公共预算基本支出表</w:t>
      </w:r>
    </w:p>
    <w:p>
      <w:pPr>
        <w:pStyle w:val="3119"/>
        <w:rPr>
          <w:sz w:val="36"/>
          <w:szCs w:val="36"/>
        </w:rPr>
      </w:pPr>
      <w:r>
        <w:rPr>
          <w:rFonts w:ascii="宋体" w:hint="eastAsia"/>
          <w:sz w:val="36"/>
          <w:szCs w:val="36"/>
        </w:rPr>
        <w:t>七、</w:t>
      </w:r>
      <w:r>
        <w:rPr>
          <w:rFonts w:ascii="宋体"/>
          <w:sz w:val="36"/>
          <w:szCs w:val="36"/>
        </w:rPr>
        <w:t>政府性基金预算支出表</w:t>
      </w:r>
    </w:p>
    <w:p>
      <w:pPr>
        <w:pStyle w:val="3119"/>
        <w:rPr>
          <w:rFonts w:ascii="宋体" w:hint="eastAsia"/>
          <w:sz w:val="36"/>
          <w:szCs w:val="36"/>
        </w:rPr>
      </w:pPr>
      <w:r>
        <w:rPr>
          <w:rFonts w:ascii="宋体" w:hint="eastAsia"/>
          <w:sz w:val="36"/>
          <w:szCs w:val="36"/>
        </w:rPr>
        <w:t>八、</w:t>
      </w:r>
      <w:r>
        <w:rPr>
          <w:rFonts w:ascii="宋体"/>
          <w:sz w:val="36"/>
          <w:szCs w:val="36"/>
        </w:rPr>
        <w:t>国有资本经营预算支出表</w:t>
      </w:r>
    </w:p>
    <w:p>
      <w:pPr>
        <w:rPr>
          <w:sz w:val="36"/>
          <w:szCs w:val="36"/>
          <w:highlight w:val="auto"/>
        </w:rPr>
      </w:pPr>
      <w:r>
        <w:rPr>
          <w:rFonts w:ascii="宋体"/>
          <w:sz w:val="36"/>
          <w:szCs w:val="36"/>
        </w:rPr>
        <w:t>九、</w:t>
      </w:r>
      <w:r>
        <w:rPr>
          <w:rFonts w:ascii="宋体" w:hint="eastAsia"/>
          <w:sz w:val="36"/>
          <w:szCs w:val="36"/>
        </w:rPr>
        <w:t>财政拨款预算“三公”经费支出表</w:t>
      </w:r>
    </w:p>
    <w:p>
      <w:pPr>
        <w:ind w:left="2164" w:hangingChars="492" w:hanging="2164"/>
        <w:rPr>
          <w:b/>
          <w:sz w:val="44"/>
          <w:szCs w:val="44"/>
          <w:highlight w:val="auto"/>
        </w:rPr>
      </w:pPr>
      <w:r>
        <w:rPr>
          <w:rFonts w:hint="eastAsia"/>
          <w:b/>
          <w:sz w:val="44"/>
          <w:szCs w:val="44"/>
          <w:highlight w:val="auto"/>
        </w:rPr>
        <w:t xml:space="preserve">第三部分  </w:t>
      </w:r>
      <w:r>
        <w:rPr>
          <w:b/>
          <w:sz w:val="44"/>
          <w:szCs w:val="44"/>
          <w:highlight w:val="auto"/>
        </w:rPr>
        <w:t>集宁</w:t>
      </w:r>
      <w:r>
        <w:rPr>
          <w:rFonts w:hint="eastAsia"/>
          <w:b/>
          <w:sz w:val="44"/>
          <w:szCs w:val="44"/>
          <w:highlight w:val="auto"/>
        </w:rPr>
        <w:t>海关</w:t>
      </w:r>
      <w:r>
        <w:rPr>
          <w:b/>
          <w:sz w:val="44"/>
          <w:szCs w:val="44"/>
          <w:highlight w:val="auto"/>
        </w:rPr>
        <w:t>2024</w:t>
      </w:r>
      <w:r>
        <w:rPr>
          <w:rFonts w:hint="eastAsia"/>
          <w:b/>
          <w:sz w:val="44"/>
          <w:szCs w:val="44"/>
          <w:highlight w:val="auto"/>
        </w:rPr>
        <w:t>年部门预算情况说明</w:t>
      </w:r>
    </w:p>
    <w:p>
      <w:pPr>
        <w:rPr>
          <w:rFonts w:hint="eastAsia"/>
          <w:b/>
          <w:sz w:val="44"/>
          <w:szCs w:val="44"/>
          <w:highlight w:val="auto"/>
        </w:rPr>
      </w:pPr>
      <w:r>
        <w:rPr>
          <w:rFonts w:hint="eastAsia"/>
          <w:b/>
          <w:sz w:val="44"/>
          <w:szCs w:val="44"/>
          <w:highlight w:val="auto"/>
        </w:rPr>
        <w:t>第四部分  名词解释</w:t>
      </w:r>
    </w:p>
    <w:p>
      <w:pPr>
        <w:rPr>
          <w:b/>
          <w:sz w:val="44"/>
          <w:szCs w:val="44"/>
          <w:highlight w:val="auto"/>
        </w:rPr>
      </w:pPr>
      <w:r>
        <w:rPr>
          <w:rFonts w:hint="eastAsia"/>
          <w:b/>
          <w:sz w:val="44"/>
          <w:szCs w:val="44"/>
          <w:highlight w:val="auto"/>
        </w:rPr>
        <w:t>第五部分  附件</w:t>
      </w:r>
    </w:p>
    <w:p>
      <w:pPr>
        <w:rPr>
          <w:b/>
          <w:sz w:val="44"/>
          <w:szCs w:val="44"/>
          <w:highlight w:val="auto"/>
        </w:rPr>
        <w:sectPr>
          <w:footerReference w:type="default" r:id="rId2"/>
          <w:pgSz w:w="11906" w:h="16838"/>
          <w:pgMar w:top="1440" w:right="1797" w:bottom="1440" w:left="1797" w:header="851" w:footer="992" w:gutter="0"/>
          <w:pgNumType/>
          <w:docGrid w:type="linesAndChars" w:linePitch="312" w:charSpace="0"/>
        </w:sect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jc w:val="center"/>
        <w:rPr>
          <w:b/>
          <w:sz w:val="84"/>
          <w:szCs w:val="84"/>
          <w:highlight w:val="auto"/>
        </w:rPr>
      </w:pPr>
      <w:r>
        <w:rPr>
          <w:rFonts w:hint="eastAsia"/>
          <w:b/>
          <w:sz w:val="84"/>
          <w:szCs w:val="84"/>
          <w:highlight w:val="auto"/>
        </w:rPr>
        <w:t>第一部分</w:t>
      </w:r>
    </w:p>
    <w:p>
      <w:pPr>
        <w:jc w:val="center"/>
        <w:rPr>
          <w:b/>
          <w:sz w:val="84"/>
          <w:szCs w:val="84"/>
          <w:highlight w:val="auto"/>
        </w:rPr>
      </w:pPr>
      <w:r>
        <w:rPr>
          <w:b/>
          <w:sz w:val="84"/>
          <w:szCs w:val="84"/>
          <w:highlight w:val="auto"/>
        </w:rPr>
        <w:t>集宁</w:t>
      </w:r>
      <w:r>
        <w:rPr>
          <w:rFonts w:hint="eastAsia"/>
          <w:b/>
          <w:sz w:val="84"/>
          <w:szCs w:val="84"/>
          <w:highlight w:val="auto"/>
        </w:rPr>
        <w:t>海关</w:t>
      </w:r>
      <w:r>
        <w:rPr>
          <w:b/>
          <w:sz w:val="84"/>
          <w:szCs w:val="84"/>
          <w:highlight w:val="auto"/>
        </w:rPr>
        <w:t>单位</w:t>
      </w:r>
      <w:r>
        <w:rPr>
          <w:rFonts w:hint="eastAsia"/>
          <w:b/>
          <w:sz w:val="84"/>
          <w:szCs w:val="84"/>
          <w:highlight w:val="auto"/>
        </w:rPr>
        <w:t>概况</w:t>
      </w:r>
    </w:p>
    <w:p>
      <w:pPr>
        <w:spacing w:line="560" w:lineRule="exact"/>
        <w:rPr>
          <w:rFonts w:eastAsia="方正仿宋_GBK"/>
          <w:sz w:val="32"/>
          <w:szCs w:val="32"/>
          <w:highlight w:val="auto"/>
        </w:rPr>
      </w:pPr>
    </w:p>
    <w:p>
      <w:pPr>
        <w:autoSpaceDN w:val="0"/>
        <w:spacing w:line="560" w:lineRule="exact"/>
        <w:ind w:firstLineChars="200" w:firstLine="640"/>
        <w:rPr>
          <w:rFonts w:eastAsia="方正仿宋_GBK"/>
          <w:sz w:val="32"/>
          <w:szCs w:val="32"/>
          <w:highlight w:val="auto"/>
        </w:rPr>
      </w:pPr>
      <w:r>
        <w:rPr>
          <w:rFonts w:eastAsia="方正仿宋_GBK" w:hint="eastAsia"/>
          <w:sz w:val="32"/>
          <w:szCs w:val="32"/>
          <w:highlight w:val="auto"/>
        </w:rPr>
        <w:br w:type="page"/>
      </w:r>
    </w:p>
    <w:p>
      <w:pPr>
        <w:autoSpaceDN w:val="0"/>
        <w:spacing w:line="560" w:lineRule="exact"/>
        <w:ind w:firstLineChars="200" w:firstLine="640"/>
        <w:rPr>
          <w:rFonts w:ascii="方正黑体_GBK" w:eastAsia="方正黑体_GBK" w:cs="方正黑体_GBK"/>
          <w:sz w:val="32"/>
          <w:szCs w:val="32"/>
          <w:lang w:bidi="ar-SA"/>
          <w:highlight w:val="auto"/>
        </w:rPr>
      </w:pPr>
      <w:r>
        <w:rPr>
          <w:rFonts w:ascii="方正黑体_GBK" w:eastAsia="方正黑体_GBK" w:cs="方正黑体_GBK" w:hint="eastAsia"/>
          <w:sz w:val="32"/>
          <w:szCs w:val="32"/>
          <w:lang w:bidi="ar-SA"/>
          <w:highlight w:val="auto"/>
        </w:rPr>
        <w:t>一、主要职能</w:t>
      </w:r>
    </w:p>
    <w:p>
      <w:pPr>
        <w:pStyle w:val="3104"/>
        <w:pBdr>
          <w:top w:val="none" w:sz="0" w:space="0" w:color="auto"/>
          <w:left w:val="none" w:sz="0" w:space="0" w:color="auto"/>
          <w:bottom w:val="none" w:sz="0" w:space="0" w:color="auto"/>
          <w:right w:val="none" w:sz="0" w:space="0" w:color="auto"/>
        </w:pBdr>
        <w:spacing w:line="599" w:lineRule="atLeast"/>
        <w:ind w:left="0" w:firstLine="640"/>
        <w:outlineLvl w:val="0"/>
        <w:rPr>
          <w:rFonts w:ascii="方正仿宋_GBK" w:eastAsia="方正仿宋_GBK" w:hint="eastAsia"/>
          <w:color w:val="333333"/>
          <w:kern w:val="36"/>
          <w:sz w:val="32"/>
          <w:szCs w:val="32"/>
        </w:rPr>
      </w:pPr>
      <w:r>
        <w:rPr>
          <w:rFonts w:ascii="方正仿宋_GBK" w:eastAsia="方正仿宋_GBK" w:hint="eastAsia"/>
          <w:b w:val="0"/>
          <w:bCs w:val="0"/>
          <w:vanish w:val="0"/>
          <w:color w:val="auto"/>
          <w:kern w:val="36"/>
          <w:sz w:val="32"/>
          <w:szCs w:val="32"/>
          <w:vertAlign w:val="baseline"/>
        </w:rPr>
        <w:t>2012年5月10日，中央编制办正式批复设立集宁海关。</w:t>
      </w:r>
      <w:r>
        <w:rPr>
          <w:rFonts w:ascii="方正仿宋_GBK" w:eastAsia="方正仿宋_GBK" w:hint="eastAsia"/>
          <w:b w:val="0"/>
          <w:bCs w:val="0"/>
          <w:vanish w:val="0"/>
          <w:color w:val="333333"/>
          <w:kern w:val="36"/>
          <w:sz w:val="32"/>
          <w:szCs w:val="32"/>
        </w:rPr>
        <w:t xml:space="preserve"> </w:t>
      </w:r>
      <w:r>
        <w:rPr>
          <w:rFonts w:ascii="方正仿宋_GBK" w:eastAsia="方正仿宋_GBK" w:hint="eastAsia"/>
          <w:b w:val="0"/>
          <w:bCs w:val="0"/>
          <w:vanish w:val="0"/>
          <w:color w:val="auto"/>
          <w:kern w:val="36"/>
          <w:sz w:val="32"/>
          <w:szCs w:val="32"/>
          <w:vertAlign w:val="baseline"/>
        </w:rPr>
        <w:t>2014年9月20日，海关总署批准集宁海关开关。</w:t>
      </w:r>
      <w:r>
        <w:rPr>
          <w:rFonts w:ascii="方正仿宋_GBK" w:eastAsia="方正仿宋_GBK" w:hint="eastAsia"/>
          <w:b w:val="0"/>
          <w:bCs w:val="0"/>
          <w:vanish w:val="0"/>
          <w:color w:val="333333"/>
          <w:kern w:val="36"/>
          <w:sz w:val="32"/>
          <w:szCs w:val="32"/>
        </w:rPr>
        <w:t xml:space="preserve"> </w:t>
      </w:r>
      <w:r>
        <w:rPr>
          <w:rFonts w:ascii="方正仿宋_GBK" w:eastAsia="方正仿宋_GBK" w:hint="eastAsia"/>
          <w:b w:val="0"/>
          <w:bCs w:val="0"/>
          <w:vanish w:val="0"/>
          <w:color w:val="auto"/>
          <w:kern w:val="36"/>
          <w:sz w:val="32"/>
          <w:szCs w:val="32"/>
          <w:vertAlign w:val="baseline"/>
        </w:rPr>
        <w:t>2018年4月20日起，原乌兰察布出入境检验检疫局统划入集宁海关。</w:t>
      </w:r>
    </w:p>
    <w:p>
      <w:pPr>
        <w:pStyle w:val="3104"/>
        <w:pBdr>
          <w:top w:val="none" w:sz="0" w:space="0" w:color="auto"/>
          <w:left w:val="none" w:sz="0" w:space="0" w:color="auto"/>
          <w:bottom w:val="none" w:sz="0" w:space="0" w:color="auto"/>
          <w:right w:val="none" w:sz="0" w:space="0" w:color="auto"/>
        </w:pBdr>
        <w:spacing w:line="599" w:lineRule="atLeast"/>
        <w:ind w:left="0" w:firstLine="640"/>
        <w:outlineLvl w:val="0"/>
        <w:rPr>
          <w:rFonts w:ascii="方正仿宋_GBK" w:eastAsia="方正仿宋_GBK" w:hint="eastAsia"/>
          <w:kern w:val="36"/>
          <w:sz w:val="32"/>
          <w:szCs w:val="32"/>
        </w:rPr>
      </w:pPr>
      <w:r>
        <w:rPr>
          <w:rFonts w:ascii="方正仿宋_GBK" w:eastAsia="方正仿宋_GBK" w:hint="eastAsia"/>
          <w:b w:val="0"/>
          <w:bCs w:val="0"/>
          <w:vanish w:val="0"/>
          <w:color w:val="auto"/>
          <w:kern w:val="36"/>
          <w:sz w:val="32"/>
          <w:szCs w:val="32"/>
          <w:vertAlign w:val="baseline"/>
        </w:rPr>
        <w:t>集宁海关属于内陆型海关，现有2个业务现场：</w:t>
      </w:r>
      <w:r>
        <w:rPr>
          <w:rFonts w:ascii="方正仿宋_GBK" w:eastAsia="方正仿宋_GBK"/>
          <w:b w:val="0"/>
          <w:bCs w:val="0"/>
          <w:vanish w:val="0"/>
          <w:color w:val="auto"/>
          <w:kern w:val="36"/>
          <w:sz w:val="32"/>
          <w:szCs w:val="32"/>
          <w:vertAlign w:val="baseline"/>
        </w:rPr>
        <w:t>内蒙古</w:t>
      </w:r>
      <w:r>
        <w:rPr>
          <w:rFonts w:ascii="方正仿宋_GBK" w:eastAsia="方正仿宋_GBK" w:hint="eastAsia"/>
          <w:b w:val="0"/>
          <w:bCs w:val="0"/>
          <w:vanish w:val="0"/>
          <w:color w:val="auto"/>
          <w:kern w:val="36"/>
          <w:sz w:val="32"/>
          <w:szCs w:val="32"/>
          <w:vertAlign w:val="baseline"/>
        </w:rPr>
        <w:t>亚欧国际海关监管</w:t>
      </w:r>
      <w:r>
        <w:rPr>
          <w:rFonts w:ascii="方正仿宋_GBK" w:eastAsia="方正仿宋_GBK"/>
          <w:b w:val="0"/>
          <w:bCs w:val="0"/>
          <w:vanish w:val="0"/>
          <w:color w:val="auto"/>
          <w:kern w:val="36"/>
          <w:sz w:val="32"/>
          <w:szCs w:val="32"/>
          <w:vertAlign w:val="baseline"/>
        </w:rPr>
        <w:t>作业</w:t>
      </w:r>
      <w:r>
        <w:rPr>
          <w:rFonts w:ascii="方正仿宋_GBK" w:eastAsia="方正仿宋_GBK" w:hint="eastAsia"/>
          <w:b w:val="0"/>
          <w:bCs w:val="0"/>
          <w:vanish w:val="0"/>
          <w:color w:val="auto"/>
          <w:kern w:val="36"/>
          <w:sz w:val="32"/>
          <w:szCs w:val="32"/>
          <w:vertAlign w:val="baseline"/>
        </w:rPr>
        <w:t>场所，七苏木保税物流中心（B）型。</w:t>
      </w:r>
    </w:p>
    <w:p>
      <w:pPr>
        <w:autoSpaceDN w:val="0"/>
        <w:spacing w:line="560" w:lineRule="exact"/>
        <w:ind w:firstLineChars="200" w:firstLine="640"/>
        <w:rPr>
          <w:rFonts w:ascii="方正黑体_GBK" w:eastAsia="方正黑体_GBK" w:cs="方正黑体_GBK" w:hint="eastAsia"/>
          <w:sz w:val="32"/>
          <w:szCs w:val="32"/>
          <w:lang w:bidi="ar-SA"/>
          <w:highlight w:val="auto"/>
        </w:rPr>
      </w:pPr>
      <w:r>
        <w:rPr>
          <w:rFonts w:ascii="方正黑体_GBK" w:eastAsia="方正黑体_GBK" w:cs="方正黑体_GBK" w:hint="eastAsia"/>
          <w:sz w:val="32"/>
          <w:szCs w:val="32"/>
          <w:lang w:bidi="ar-SA"/>
          <w:highlight w:val="auto"/>
        </w:rPr>
        <w:t>二、</w:t>
      </w:r>
      <w:r>
        <w:rPr>
          <w:rFonts w:ascii="方正黑体_GBK" w:eastAsia="方正黑体_GBK" w:cs="方正黑体_GBK"/>
          <w:sz w:val="32"/>
          <w:szCs w:val="32"/>
          <w:lang w:bidi="ar-SA"/>
          <w:highlight w:val="auto"/>
        </w:rPr>
        <w:t>集宁海关</w:t>
      </w:r>
      <w:r>
        <w:rPr>
          <w:rFonts w:ascii="方正黑体_GBK" w:eastAsia="方正黑体_GBK" w:cs="方正黑体_GBK" w:hint="eastAsia"/>
          <w:sz w:val="32"/>
          <w:szCs w:val="32"/>
          <w:lang w:bidi="ar-SA"/>
          <w:highlight w:val="auto"/>
        </w:rPr>
        <w:t>单位构成情况</w:t>
      </w:r>
    </w:p>
    <w:p>
      <w:pPr>
        <w:pStyle w:val="3105"/>
        <w:pBdr>
          <w:top w:val="none" w:sz="0" w:space="0" w:color="auto"/>
          <w:left w:val="none" w:sz="0" w:space="0" w:color="auto"/>
          <w:bottom w:val="none" w:sz="0" w:space="0" w:color="auto"/>
          <w:right w:val="none" w:sz="0" w:space="0" w:color="auto"/>
        </w:pBdr>
        <w:spacing w:line="599" w:lineRule="atLeast"/>
        <w:ind w:left="0" w:firstLine="640"/>
        <w:outlineLvl w:val="0"/>
        <w:rPr>
          <w:rFonts w:ascii="方正仿宋_GBK" w:eastAsia="方正仿宋_GBK"/>
          <w:b w:val="0"/>
          <w:bCs w:val="0"/>
          <w:vanish w:val="0"/>
          <w:color w:val="auto"/>
          <w:kern w:val="36"/>
          <w:sz w:val="32"/>
          <w:szCs w:val="32"/>
          <w:vertAlign w:val="baseline"/>
        </w:rPr>
      </w:pPr>
      <w:r>
        <w:rPr>
          <w:rFonts w:ascii="方正仿宋_GBK" w:eastAsia="方正仿宋_GBK" w:hint="eastAsia"/>
          <w:b w:val="0"/>
          <w:bCs w:val="0"/>
          <w:vanish w:val="0"/>
          <w:color w:val="auto"/>
          <w:kern w:val="36"/>
          <w:sz w:val="32"/>
          <w:szCs w:val="32"/>
          <w:vertAlign w:val="baseline"/>
        </w:rPr>
        <w:t>全关内设</w:t>
      </w:r>
      <w:r>
        <w:rPr>
          <w:rFonts w:ascii="方正仿宋_GBK" w:eastAsia="方正仿宋_GBK"/>
          <w:b w:val="0"/>
          <w:bCs w:val="0"/>
          <w:vanish w:val="0"/>
          <w:color w:val="auto"/>
          <w:kern w:val="36"/>
          <w:sz w:val="32"/>
          <w:szCs w:val="32"/>
          <w:vertAlign w:val="baseline"/>
        </w:rPr>
        <w:t>5</w:t>
      </w:r>
      <w:r>
        <w:rPr>
          <w:rFonts w:ascii="方正仿宋_GBK" w:eastAsia="方正仿宋_GBK" w:hint="eastAsia"/>
          <w:b w:val="0"/>
          <w:bCs w:val="0"/>
          <w:vanish w:val="0"/>
          <w:color w:val="auto"/>
          <w:kern w:val="36"/>
          <w:sz w:val="32"/>
          <w:szCs w:val="32"/>
          <w:vertAlign w:val="baseline"/>
        </w:rPr>
        <w:t>个业务科室，分别为办公室，综合业务科，查验一科，查验二科</w:t>
      </w:r>
      <w:r>
        <w:rPr>
          <w:rFonts w:ascii="方正仿宋_GBK" w:eastAsia="方正仿宋_GBK"/>
          <w:b w:val="0"/>
          <w:bCs w:val="0"/>
          <w:vanish w:val="0"/>
          <w:color w:val="auto"/>
          <w:kern w:val="36"/>
          <w:sz w:val="32"/>
          <w:szCs w:val="32"/>
          <w:vertAlign w:val="baseline"/>
        </w:rPr>
        <w:t>，查验三科。</w:t>
      </w:r>
    </w:p>
    <w:p>
      <w:pPr>
        <w:pStyle w:val="3405"/>
        <w:spacing w:line="560" w:lineRule="exact"/>
        <w:ind w:left="0"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纳入</w:t>
      </w:r>
      <w:r>
        <w:rPr>
          <w:rFonts w:ascii="Times New Roman" w:eastAsia="方正仿宋_GBK" w:hAnsi="Times New Roman"/>
          <w:sz w:val="32"/>
          <w:szCs w:val="32"/>
        </w:rPr>
        <w:t>集宁</w:t>
      </w:r>
      <w:r>
        <w:rPr>
          <w:rFonts w:ascii="Times New Roman" w:eastAsia="方正仿宋_GBK" w:hAnsi="Times New Roman" w:hint="eastAsia"/>
          <w:sz w:val="32"/>
          <w:szCs w:val="32"/>
        </w:rPr>
        <w:t>海关2024年部门预算编制范围的</w:t>
      </w:r>
      <w:r>
        <w:rPr>
          <w:rFonts w:ascii="Times New Roman" w:eastAsia="方正仿宋_GBK" w:hAnsi="Times New Roman"/>
          <w:sz w:val="32"/>
          <w:szCs w:val="32"/>
        </w:rPr>
        <w:t>三级预算</w:t>
      </w:r>
      <w:r>
        <w:rPr>
          <w:rFonts w:ascii="Times New Roman" w:eastAsia="方正仿宋_GBK" w:hAnsi="Times New Roman" w:hint="eastAsia"/>
          <w:sz w:val="32"/>
          <w:szCs w:val="32"/>
        </w:rPr>
        <w:t>单位如下：</w:t>
      </w:r>
    </w:p>
    <w:tbl>
      <w:tblPr>
        <w:tblpPr w:leftFromText="180" w:rightFromText="180" w:vertAnchor="text" w:horzAnchor="page" w:tblpX="3594" w:tblpY="507"/>
        <w:tblOverlap w:val="never"/>
        <w:tblW w:w="452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54"/>
        <w:gridCol w:w="3370"/>
      </w:tblGrid>
      <w:tr>
        <w:trPr>
          <w:trHeight w:val="624"/>
        </w:trPr>
        <w:tc>
          <w:tcPr>
            <w:tcW w:w="1154" w:type="dxa"/>
            <w:tcBorders>
              <w:top w:val="single" w:sz="4" w:space="0" w:color="auto"/>
              <w:left w:val="single" w:sz="4" w:space="0" w:color="auto"/>
              <w:bottom w:val="single" w:sz="4" w:space="0" w:color="auto"/>
              <w:right w:val="single" w:sz="4" w:space="0" w:color="auto"/>
              <w:tl2br w:val="nil"/>
              <w:tr2bl w:val="nil"/>
            </w:tcBorders>
            <w:shd w:val="clear" w:color="auto" w:fill="auto"/>
            <w:noWrap/>
            <w:vAlign w:val="center"/>
          </w:tcPr>
          <w:p>
            <w:pPr>
              <w:pStyle w:val="3405"/>
              <w:widowControl/>
              <w:jc w:val="center"/>
              <w:rPr>
                <w:rFonts w:ascii="Times New Roman" w:eastAsia="方正黑体_GBK" w:cs="宋体" w:hAnsi="Times New Roman"/>
                <w:kern w:val="0"/>
                <w:sz w:val="20"/>
                <w:szCs w:val="20"/>
                <w:lang w:bidi="ar-SA"/>
              </w:rPr>
            </w:pPr>
            <w:r>
              <w:rPr>
                <w:rFonts w:ascii="Times New Roman" w:eastAsia="方正黑体_GBK" w:cs="宋体" w:hAnsi="Times New Roman" w:hint="eastAsia"/>
                <w:kern w:val="0"/>
                <w:sz w:val="20"/>
                <w:szCs w:val="20"/>
                <w:lang w:bidi="ar-SA"/>
              </w:rPr>
              <w:t>序号</w:t>
            </w:r>
          </w:p>
        </w:tc>
        <w:tc>
          <w:tcPr>
            <w:tcW w:w="3370" w:type="dxa"/>
            <w:tcBorders>
              <w:top w:val="single" w:sz="4" w:space="0" w:color="auto"/>
              <w:left w:val="nil"/>
              <w:bottom w:val="single" w:sz="4" w:space="0" w:color="auto"/>
              <w:right w:val="single" w:sz="4" w:space="0" w:color="auto"/>
              <w:tl2br w:val="nil"/>
              <w:tr2bl w:val="nil"/>
            </w:tcBorders>
            <w:shd w:val="clear" w:color="auto" w:fill="auto"/>
            <w:noWrap/>
            <w:vAlign w:val="center"/>
          </w:tcPr>
          <w:p>
            <w:pPr>
              <w:pStyle w:val="3405"/>
              <w:widowControl/>
              <w:jc w:val="center"/>
              <w:rPr>
                <w:rFonts w:ascii="Times New Roman" w:eastAsia="方正黑体_GBK" w:cs="宋体" w:hAnsi="Times New Roman"/>
                <w:kern w:val="0"/>
                <w:sz w:val="20"/>
                <w:szCs w:val="20"/>
                <w:lang w:bidi="ar-SA"/>
              </w:rPr>
            </w:pPr>
            <w:r>
              <w:rPr>
                <w:rFonts w:ascii="Times New Roman" w:eastAsia="方正黑体_GBK" w:cs="宋体" w:hAnsi="Times New Roman" w:hint="eastAsia"/>
                <w:kern w:val="0"/>
                <w:sz w:val="20"/>
                <w:szCs w:val="20"/>
                <w:lang w:bidi="ar-SA"/>
              </w:rPr>
              <w:t>单位名称</w:t>
            </w:r>
          </w:p>
        </w:tc>
      </w:tr>
      <w:tr>
        <w:trPr>
          <w:trHeight w:val="624"/>
        </w:trPr>
        <w:tc>
          <w:tcPr>
            <w:tcW w:w="1154" w:type="dxa"/>
            <w:tcBorders>
              <w:top w:val="nil"/>
              <w:left w:val="single" w:sz="4" w:space="0" w:color="auto"/>
              <w:bottom w:val="single" w:sz="4" w:space="0" w:color="auto"/>
              <w:right w:val="single" w:sz="4" w:space="0" w:color="auto"/>
              <w:tl2br w:val="nil"/>
              <w:tr2bl w:val="nil"/>
            </w:tcBorders>
            <w:shd w:val="clear" w:color="auto" w:fill="auto"/>
            <w:noWrap/>
            <w:vAlign w:val="center"/>
          </w:tcPr>
          <w:p>
            <w:pPr>
              <w:pStyle w:val="3405"/>
              <w:widowControl/>
              <w:jc w:val="center"/>
              <w:rPr>
                <w:rFonts w:ascii="Times New Roman" w:cs="Times New Roman" w:hAnsi="Times New Roman"/>
                <w:kern w:val="0"/>
                <w:sz w:val="20"/>
                <w:szCs w:val="20"/>
                <w:lang w:bidi="ar-SA"/>
              </w:rPr>
            </w:pPr>
            <w:r>
              <w:rPr>
                <w:rFonts w:ascii="Times New Roman" w:cs="Times New Roman" w:hAnsi="Times New Roman"/>
                <w:kern w:val="0"/>
                <w:sz w:val="20"/>
                <w:szCs w:val="20"/>
                <w:lang w:bidi="ar-SA"/>
              </w:rPr>
              <w:t>1</w:t>
            </w:r>
          </w:p>
        </w:tc>
        <w:tc>
          <w:tcPr>
            <w:tcW w:w="3370" w:type="dxa"/>
            <w:tcBorders>
              <w:top w:val="nil"/>
              <w:left w:val="nil"/>
              <w:bottom w:val="single" w:sz="4" w:space="0" w:color="auto"/>
              <w:right w:val="single" w:sz="4" w:space="0" w:color="auto"/>
              <w:tl2br w:val="nil"/>
              <w:tr2bl w:val="nil"/>
            </w:tcBorders>
            <w:shd w:val="clear" w:color="auto" w:fill="auto"/>
            <w:noWrap/>
            <w:vAlign w:val="center"/>
          </w:tcPr>
          <w:p>
            <w:pPr>
              <w:pStyle w:val="3405"/>
              <w:widowControl/>
              <w:jc w:val="center"/>
              <w:rPr>
                <w:rFonts w:ascii="Times New Roman" w:eastAsia="方正仿宋_GBK" w:cs="宋体" w:hAnsi="Times New Roman"/>
                <w:kern w:val="0"/>
                <w:sz w:val="20"/>
                <w:szCs w:val="20"/>
                <w:lang w:bidi="ar-SA"/>
              </w:rPr>
            </w:pPr>
            <w:r>
              <w:rPr>
                <w:rFonts w:ascii="Times New Roman" w:eastAsia="方正仿宋_GBK" w:cs="宋体" w:hAnsi="Times New Roman" w:hint="eastAsia"/>
                <w:kern w:val="0"/>
                <w:sz w:val="20"/>
                <w:szCs w:val="20"/>
                <w:lang w:bidi="ar-SA"/>
              </w:rPr>
              <w:t>中华人民共和国集宁海关</w:t>
            </w:r>
          </w:p>
        </w:tc>
      </w:tr>
    </w:tbl>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jc w:val="center"/>
        <w:rPr>
          <w:b/>
          <w:sz w:val="72"/>
          <w:szCs w:val="72"/>
          <w:highlight w:val="auto"/>
        </w:rPr>
      </w:pPr>
      <w:r>
        <w:rPr>
          <w:rFonts w:hint="eastAsia"/>
          <w:b/>
          <w:sz w:val="72"/>
          <w:szCs w:val="72"/>
          <w:highlight w:val="auto"/>
        </w:rPr>
        <w:t>第二部分</w:t>
      </w:r>
      <w:r>
        <w:rPr>
          <w:b/>
          <w:sz w:val="72"/>
          <w:szCs w:val="72"/>
          <w:highlight w:val="auto"/>
        </w:rPr>
        <w:t xml:space="preserve">  </w:t>
      </w:r>
    </w:p>
    <w:p>
      <w:pPr>
        <w:ind w:left="-315"/>
        <w:jc w:val="center"/>
        <w:rPr>
          <w:b/>
          <w:sz w:val="72"/>
          <w:szCs w:val="72"/>
          <w:highlight w:val="auto"/>
        </w:rPr>
      </w:pPr>
      <w:r>
        <w:rPr>
          <w:b/>
          <w:sz w:val="72"/>
          <w:szCs w:val="72"/>
          <w:highlight w:val="auto"/>
        </w:rPr>
        <w:t>集宁</w:t>
      </w:r>
      <w:r>
        <w:rPr>
          <w:rFonts w:hint="eastAsia"/>
          <w:b/>
          <w:sz w:val="72"/>
          <w:szCs w:val="72"/>
          <w:highlight w:val="auto"/>
        </w:rPr>
        <w:t>海关</w:t>
      </w:r>
      <w:r>
        <w:rPr>
          <w:b/>
          <w:sz w:val="72"/>
          <w:szCs w:val="72"/>
          <w:highlight w:val="auto"/>
        </w:rPr>
        <w:t>2024</w:t>
      </w:r>
      <w:r>
        <w:rPr>
          <w:rFonts w:hint="eastAsia"/>
          <w:b/>
          <w:sz w:val="72"/>
          <w:szCs w:val="72"/>
          <w:highlight w:val="auto"/>
        </w:rPr>
        <w:t>年</w:t>
      </w:r>
    </w:p>
    <w:p>
      <w:pPr>
        <w:ind w:left="-315"/>
        <w:jc w:val="center"/>
        <w:rPr>
          <w:b/>
          <w:sz w:val="72"/>
          <w:szCs w:val="72"/>
          <w:highlight w:val="auto"/>
        </w:rPr>
        <w:sectPr>
          <w:footerReference w:type="default" r:id="rId4"/>
          <w:pgSz w:w="11906" w:h="16838"/>
          <w:pgMar w:top="1440" w:right="1797" w:bottom="1440" w:left="1797" w:header="851" w:footer="992" w:gutter="0"/>
          <w:pgNumType/>
          <w:docGrid w:type="linesAndChars" w:linePitch="312" w:charSpace="0"/>
        </w:sectPr>
      </w:pPr>
      <w:r>
        <w:rPr>
          <w:rFonts w:hint="eastAsia"/>
          <w:b/>
          <w:sz w:val="72"/>
          <w:szCs w:val="72"/>
          <w:highlight w:val="auto"/>
        </w:rPr>
        <w:t>部门预算表</w:t>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143"/>
        <w:gridCol w:w="3461"/>
        <w:gridCol w:w="4447"/>
        <w:gridCol w:w="3565"/>
      </w:tblGrid>
      <w:tr>
        <w:trPr>
          <w:trHeight w:val="170"/>
        </w:trPr>
        <w:tc>
          <w:tcPr>
            <w:tcW w:w="4143" w:type="dxa"/>
            <w:tcBorders>
              <w:top w:val="nil"/>
              <w:left w:val="nil"/>
              <w:bottom w:val="nil"/>
              <w:right w:val="nil"/>
              <w:tl2br w:val="nil"/>
              <w:tr2bl w:val="nil"/>
            </w:tcBorders>
            <w:noWrap/>
            <w:vAlign w:val="center"/>
          </w:tcPr>
          <w:p>
            <w:pPr>
              <w:rPr>
                <w:rFonts w:hint="eastAsia"/>
                <w:sz w:val="20"/>
                <w:highlight w:val="auto"/>
              </w:rPr>
            </w:pPr>
            <w:bookmarkStart w:id="1" w:name="RANGE!A1:D18"/>
            <w:bookmarkEnd w:id="1"/>
          </w:p>
        </w:tc>
        <w:tc>
          <w:tcPr>
            <w:tcW w:w="3461" w:type="dxa"/>
            <w:tcBorders>
              <w:top w:val="nil"/>
              <w:left w:val="nil"/>
              <w:bottom w:val="nil"/>
              <w:right w:val="nil"/>
              <w:tl2br w:val="nil"/>
              <w:tr2bl w:val="nil"/>
            </w:tcBorders>
            <w:noWrap/>
            <w:vAlign w:val="center"/>
          </w:tcPr>
          <w:p>
            <w:pPr>
              <w:rPr>
                <w:rFonts w:hint="eastAsia"/>
                <w:sz w:val="16"/>
                <w:highlight w:val="auto"/>
              </w:rPr>
            </w:pPr>
          </w:p>
        </w:tc>
        <w:tc>
          <w:tcPr>
            <w:tcW w:w="4447" w:type="dxa"/>
            <w:tcBorders>
              <w:top w:val="nil"/>
              <w:left w:val="nil"/>
              <w:bottom w:val="nil"/>
              <w:right w:val="nil"/>
              <w:tl2br w:val="nil"/>
              <w:tr2bl w:val="nil"/>
            </w:tcBorders>
            <w:noWrap/>
            <w:vAlign w:val="center"/>
          </w:tcPr>
          <w:p>
            <w:pPr>
              <w:rPr>
                <w:rFonts w:hint="eastAsia"/>
                <w:sz w:val="16"/>
                <w:highlight w:val="auto"/>
              </w:rPr>
            </w:pPr>
          </w:p>
        </w:tc>
        <w:tc>
          <w:tcPr>
            <w:tcW w:w="3565" w:type="dxa"/>
            <w:tcBorders>
              <w:top w:val="nil"/>
              <w:left w:val="nil"/>
              <w:bottom w:val="nil"/>
              <w:right w:val="nil"/>
              <w:tl2br w:val="nil"/>
              <w:tr2bl w:val="nil"/>
            </w:tcBorders>
            <w:noWrap/>
            <w:vAlign w:val="center"/>
          </w:tcPr>
          <w:p>
            <w:pPr>
              <w:jc w:val="right"/>
              <w:rPr>
                <w:rFonts w:ascii="黑体" w:eastAsia="黑体" w:cs="黑体"/>
                <w:sz w:val="20"/>
                <w:szCs w:val="20"/>
                <w:lang w:bidi="ar-SA"/>
                <w:highlight w:val="auto"/>
              </w:rPr>
            </w:pPr>
          </w:p>
          <w:p>
            <w:pPr>
              <w:jc w:val="right"/>
              <w:rPr>
                <w:rFonts w:ascii="黑体" w:eastAsia="黑体" w:cs="黑体"/>
                <w:sz w:val="20"/>
                <w:szCs w:val="20"/>
                <w:lang w:bidi="ar-SA"/>
                <w:highlight w:val="auto"/>
              </w:rPr>
            </w:pPr>
          </w:p>
          <w:p>
            <w:pPr>
              <w:jc w:val="right"/>
              <w:rPr>
                <w:rFonts w:hint="eastAsia"/>
                <w:szCs w:val="21"/>
                <w:highlight w:val="auto"/>
              </w:rPr>
            </w:pPr>
            <w:r>
              <w:rPr>
                <w:rFonts w:ascii="黑体" w:eastAsia="黑体" w:cs="黑体" w:hint="eastAsia"/>
                <w:sz w:val="20"/>
                <w:szCs w:val="20"/>
                <w:lang w:bidi="ar-SA"/>
                <w:highlight w:val="auto"/>
              </w:rPr>
              <w:t>部门公开表1</w:t>
            </w:r>
          </w:p>
        </w:tc>
      </w:tr>
      <w:tr>
        <w:trPr>
          <w:trHeight w:val="170"/>
        </w:trPr>
        <w:tc>
          <w:tcPr>
            <w:tcW w:w="15616" w:type="dxa"/>
            <w:gridSpan w:val="4"/>
            <w:tcBorders>
              <w:top w:val="nil"/>
              <w:left w:val="nil"/>
              <w:bottom w:val="nil"/>
              <w:right w:val="nil"/>
              <w:tl2br w:val="nil"/>
              <w:tr2bl w:val="nil"/>
            </w:tcBorders>
            <w:noWrap/>
            <w:vAlign w:val="center"/>
          </w:tcPr>
          <w:p>
            <w:pPr>
              <w:jc w:val="center"/>
              <w:rPr>
                <w:rFonts w:hint="eastAsia"/>
                <w:b/>
                <w:color w:val="000000"/>
                <w:sz w:val="36"/>
                <w:szCs w:val="36"/>
                <w:highlight w:val="auto"/>
              </w:rPr>
            </w:pPr>
            <w:r>
              <w:rPr>
                <w:rFonts w:hint="eastAsia"/>
                <w:b/>
                <w:color w:val="000000"/>
                <w:sz w:val="36"/>
                <w:szCs w:val="36"/>
                <w:highlight w:val="auto"/>
              </w:rPr>
              <w:t>部门收支总表</w:t>
            </w:r>
          </w:p>
        </w:tc>
      </w:tr>
      <w:tr>
        <w:trPr>
          <w:trHeight w:hRule="exact" w:val="509"/>
        </w:trPr>
        <w:tc>
          <w:tcPr>
            <w:tcW w:w="7604" w:type="dxa"/>
            <w:gridSpan w:val="2"/>
            <w:tcBorders>
              <w:top w:val="nil"/>
              <w:left w:val="nil"/>
              <w:bottom w:val="single" w:sz="4" w:space="0" w:color="auto"/>
              <w:right w:val="nil"/>
              <w:tl2br w:val="nil"/>
              <w:tr2bl w:val="nil"/>
            </w:tcBorders>
            <w:noWrap/>
            <w:vAlign w:val="center"/>
          </w:tcPr>
          <w:p>
            <w:pPr>
              <w:rPr>
                <w:rFonts w:hint="eastAsia"/>
                <w:color w:val="000000"/>
                <w:szCs w:val="21"/>
                <w:highlight w:val="auto"/>
              </w:rPr>
            </w:pPr>
          </w:p>
        </w:tc>
        <w:tc>
          <w:tcPr>
            <w:tcW w:w="8012" w:type="dxa"/>
            <w:gridSpan w:val="2"/>
            <w:tcBorders>
              <w:top w:val="nil"/>
              <w:left w:val="nil"/>
              <w:bottom w:val="single" w:sz="4" w:space="0" w:color="auto"/>
              <w:right w:val="nil"/>
              <w:tl2br w:val="nil"/>
              <w:tr2bl w:val="nil"/>
            </w:tcBorders>
            <w:noWrap/>
            <w:vAlign w:val="center"/>
          </w:tcPr>
          <w:p>
            <w:pPr>
              <w:jc w:val="right"/>
              <w:rPr>
                <w:rFonts w:hint="eastAsia"/>
                <w:color w:val="000000"/>
                <w:szCs w:val="21"/>
                <w:highlight w:val="auto"/>
              </w:rPr>
            </w:pPr>
            <w:r>
              <w:rPr>
                <w:rFonts w:hint="eastAsia"/>
                <w:color w:val="000000"/>
                <w:sz w:val="20"/>
                <w:szCs w:val="20"/>
                <w:highlight w:val="auto"/>
              </w:rPr>
              <w:t>单位：万元</w:t>
            </w:r>
          </w:p>
        </w:tc>
      </w:tr>
      <w:tr>
        <w:trPr>
          <w:trHeight w:hRule="exact" w:val="509"/>
        </w:trPr>
        <w:tc>
          <w:tcPr>
            <w:tcW w:w="7604"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pPr>
              <w:jc w:val="center"/>
              <w:rPr>
                <w:color w:val="000000"/>
                <w:sz w:val="24"/>
                <w:highlight w:val="auto"/>
              </w:rPr>
            </w:pPr>
            <w:r>
              <w:rPr>
                <w:color w:val="000000"/>
                <w:sz w:val="24"/>
                <w:highlight w:val="auto"/>
              </w:rPr>
              <w:t>收入</w:t>
            </w:r>
          </w:p>
        </w:tc>
        <w:tc>
          <w:tcPr>
            <w:tcW w:w="8012"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pPr>
              <w:jc w:val="center"/>
              <w:rPr>
                <w:color w:val="000000"/>
                <w:sz w:val="24"/>
                <w:highlight w:val="auto"/>
              </w:rPr>
            </w:pPr>
            <w:r>
              <w:rPr>
                <w:color w:val="000000"/>
                <w:sz w:val="24"/>
                <w:highlight w:val="auto"/>
              </w:rPr>
              <w:t>支出</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color w:val="000000"/>
                <w:sz w:val="24"/>
                <w:highlight w:val="auto"/>
              </w:rPr>
            </w:pPr>
            <w:r>
              <w:rPr>
                <w:color w:val="000000"/>
                <w:sz w:val="24"/>
                <w:highlight w:val="auto"/>
              </w:rPr>
              <w:t>项目</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center"/>
              <w:rPr>
                <w:color w:val="000000"/>
                <w:sz w:val="24"/>
                <w:highlight w:val="auto"/>
              </w:rPr>
            </w:pPr>
            <w:r>
              <w:rPr>
                <w:color w:val="000000"/>
                <w:sz w:val="24"/>
                <w:highlight w:val="auto"/>
              </w:rPr>
              <w:t>预算数</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color w:val="000000"/>
                <w:sz w:val="24"/>
                <w:highlight w:val="auto"/>
              </w:rPr>
            </w:pPr>
            <w:r>
              <w:rPr>
                <w:color w:val="000000"/>
                <w:sz w:val="24"/>
                <w:highlight w:val="auto"/>
              </w:rPr>
              <w:t>项目</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color w:val="000000"/>
                <w:sz w:val="24"/>
                <w:highlight w:val="auto"/>
              </w:rPr>
            </w:pPr>
            <w:r>
              <w:rPr>
                <w:color w:val="000000"/>
                <w:sz w:val="24"/>
                <w:highlight w:val="auto"/>
              </w:rPr>
              <w:t>预算数</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一、一般公共预算拨款收入</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highlight w:val="auto"/>
              </w:rPr>
            </w:pPr>
            <w:r>
              <w:rPr>
                <w:color w:val="000000"/>
                <w:sz w:val="24"/>
                <w:highlight w:val="auto"/>
              </w:rPr>
              <w:t>669.16</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一、一般公共服务支出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highlight w:val="auto"/>
              </w:rPr>
            </w:pPr>
            <w:r>
              <w:rPr>
                <w:color w:val="000000"/>
                <w:sz w:val="24"/>
                <w:highlight w:val="auto"/>
              </w:rPr>
              <w:t>750.98</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二、政府性基金预算拨款收入</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highlight w:val="auto"/>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二、外交支出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highlight w:val="auto"/>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三、国有资本经营预算拨款收入</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right"/>
              <w:rPr>
                <w:color w:val="000000"/>
                <w:sz w:val="24"/>
                <w:highlight w:val="auto"/>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三、公共安全支出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highlight w:val="auto"/>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四、事业收入</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right"/>
              <w:rPr>
                <w:color w:val="000000"/>
                <w:sz w:val="24"/>
                <w:highlight w:val="auto"/>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四、教育支出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highlight w:val="auto"/>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五、事业单位经营收入</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right"/>
              <w:rPr>
                <w:color w:val="000000"/>
                <w:sz w:val="24"/>
                <w:highlight w:val="auto"/>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五、社会保障和就业支出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highlight w:val="auto"/>
              </w:rPr>
            </w:pPr>
            <w:r>
              <w:rPr>
                <w:color w:val="000000"/>
                <w:sz w:val="24"/>
                <w:highlight w:val="auto"/>
              </w:rPr>
              <w:t>62.07</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六、其他收入</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highlight w:val="auto"/>
              </w:rPr>
            </w:pPr>
            <w:r>
              <w:rPr>
                <w:color w:val="000000"/>
                <w:sz w:val="24"/>
                <w:highlight w:val="auto"/>
              </w:rPr>
              <w:t>150.20</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六、卫生健康支出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highlight w:val="auto"/>
              </w:rPr>
            </w:pPr>
            <w:r>
              <w:rPr>
                <w:color w:val="000000"/>
                <w:sz w:val="24"/>
                <w:highlight w:val="auto"/>
              </w:rPr>
              <w:t>18.70</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highlight w:val="auto"/>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七、住房保障支出</w:t>
            </w: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highlight w:val="auto"/>
              </w:rPr>
            </w:pPr>
            <w:r>
              <w:rPr>
                <w:color w:val="000000"/>
                <w:sz w:val="24"/>
                <w:highlight w:val="auto"/>
              </w:rPr>
              <w:t>64.52</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highlight w:val="auto"/>
              </w:rPr>
            </w:pPr>
          </w:p>
        </w:tc>
        <w:tc>
          <w:tcPr>
            <w:tcW w:w="4447" w:type="dxa"/>
            <w:tcBorders>
              <w:top w:val="nil"/>
              <w:left w:val="nil"/>
              <w:bottom w:val="nil"/>
              <w:right w:val="nil"/>
              <w:tl2br w:val="nil"/>
              <w:tr2bl w:val="nil"/>
            </w:tcBorders>
            <w:noWrap/>
            <w:vAlign w:val="center"/>
          </w:tcPr>
          <w:p>
            <w:pPr>
              <w:rPr>
                <w:color w:val="000000"/>
                <w:sz w:val="24"/>
                <w:highlight w:val="auto"/>
              </w:rPr>
            </w:pP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highlight w:val="auto"/>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本年收入合计</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highlight w:val="auto"/>
              </w:rPr>
            </w:pPr>
            <w:r>
              <w:rPr>
                <w:color w:val="000000"/>
                <w:sz w:val="24"/>
                <w:highlight w:val="auto"/>
              </w:rPr>
              <w:t>819.36</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本年支出合计</w:t>
            </w: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highlight w:val="auto"/>
              </w:rPr>
            </w:pPr>
            <w:r>
              <w:rPr>
                <w:color w:val="000000"/>
                <w:sz w:val="24"/>
                <w:highlight w:val="auto"/>
              </w:rPr>
              <w:t>896.27</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使用非财政拨款结余</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right"/>
              <w:rPr>
                <w:color w:val="000000"/>
                <w:sz w:val="24"/>
                <w:highlight w:val="auto"/>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结转下年(非财政拨款)</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highlight w:val="auto"/>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上年结转</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right"/>
              <w:rPr>
                <w:color w:val="000000"/>
                <w:sz w:val="24"/>
                <w:highlight w:val="auto"/>
              </w:rPr>
            </w:pPr>
            <w:r>
              <w:rPr>
                <w:color w:val="000000"/>
                <w:sz w:val="24"/>
                <w:highlight w:val="auto"/>
              </w:rPr>
              <w:t>76.91</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highlight w:val="auto"/>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收入总计</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highlight w:val="auto"/>
              </w:rPr>
            </w:pPr>
            <w:r>
              <w:rPr>
                <w:color w:val="000000"/>
                <w:sz w:val="24"/>
                <w:highlight w:val="auto"/>
              </w:rPr>
              <w:t>896.27</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支出总计</w:t>
            </w: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highlight w:val="auto"/>
              </w:rPr>
            </w:pPr>
            <w:r>
              <w:rPr>
                <w:color w:val="000000"/>
                <w:sz w:val="24"/>
                <w:highlight w:val="auto"/>
              </w:rPr>
              <w:t>896.27</w:t>
            </w:r>
          </w:p>
        </w:tc>
      </w:tr>
    </w:tbl>
    <w:p>
      <w:pPr>
        <w:widowControl/>
        <w:spacing w:line="160" w:lineRule="atLeast"/>
        <w:rPr>
          <w:rFonts w:cs="宋体" w:hint="eastAsia"/>
          <w:kern w:val="0"/>
          <w:sz w:val="15"/>
          <w:szCs w:val="15"/>
          <w:lang w:bidi="ar-SA"/>
          <w:highlight w:val="auto"/>
        </w:rPr>
      </w:pPr>
    </w:p>
    <w:p>
      <w:pPr>
        <w:rPr>
          <w:highlight w:val="auto"/>
        </w:rPr>
      </w:pPr>
      <w:r>
        <w:rPr>
          <w:rFonts w:hint="eastAsia"/>
          <w:sz w:val="20"/>
          <w:szCs w:val="20"/>
          <w:highlight w:val="auto"/>
        </w:rPr>
        <w:br w:type="page"/>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143"/>
        <w:gridCol w:w="3461"/>
        <w:gridCol w:w="4447"/>
        <w:gridCol w:w="3565"/>
      </w:tblGrid>
      <w:tr>
        <w:trPr>
          <w:trHeight w:val="170"/>
        </w:trPr>
        <w:tc>
          <w:tcPr>
            <w:tcW w:w="4143" w:type="dxa"/>
            <w:tcBorders>
              <w:top w:val="nil"/>
              <w:left w:val="nil"/>
              <w:bottom w:val="nil"/>
              <w:right w:val="nil"/>
              <w:tl2br w:val="nil"/>
              <w:tr2bl w:val="nil"/>
            </w:tcBorders>
            <w:noWrap/>
            <w:vAlign w:val="center"/>
          </w:tcPr>
          <w:p>
            <w:pPr>
              <w:rPr>
                <w:rFonts w:hint="eastAsia"/>
                <w:sz w:val="20"/>
                <w:highlight w:val="auto"/>
              </w:rPr>
            </w:pPr>
          </w:p>
        </w:tc>
        <w:tc>
          <w:tcPr>
            <w:tcW w:w="3461" w:type="dxa"/>
            <w:tcBorders>
              <w:top w:val="nil"/>
              <w:left w:val="nil"/>
              <w:bottom w:val="nil"/>
              <w:right w:val="nil"/>
              <w:tl2br w:val="nil"/>
              <w:tr2bl w:val="nil"/>
            </w:tcBorders>
            <w:noWrap/>
            <w:vAlign w:val="center"/>
          </w:tcPr>
          <w:p>
            <w:pPr>
              <w:rPr>
                <w:rFonts w:hint="eastAsia"/>
                <w:sz w:val="16"/>
                <w:highlight w:val="auto"/>
              </w:rPr>
            </w:pPr>
          </w:p>
        </w:tc>
        <w:tc>
          <w:tcPr>
            <w:tcW w:w="4447" w:type="dxa"/>
            <w:tcBorders>
              <w:top w:val="nil"/>
              <w:left w:val="nil"/>
              <w:bottom w:val="nil"/>
              <w:right w:val="nil"/>
              <w:tl2br w:val="nil"/>
              <w:tr2bl w:val="nil"/>
            </w:tcBorders>
            <w:noWrap/>
            <w:vAlign w:val="center"/>
          </w:tcPr>
          <w:p>
            <w:pPr>
              <w:rPr>
                <w:rFonts w:hint="eastAsia"/>
                <w:sz w:val="16"/>
                <w:highlight w:val="auto"/>
              </w:rPr>
            </w:pPr>
          </w:p>
        </w:tc>
        <w:tc>
          <w:tcPr>
            <w:tcW w:w="3565" w:type="dxa"/>
            <w:tcBorders>
              <w:top w:val="nil"/>
              <w:left w:val="nil"/>
              <w:bottom w:val="nil"/>
              <w:right w:val="nil"/>
              <w:tl2br w:val="nil"/>
              <w:tr2bl w:val="nil"/>
            </w:tcBorders>
            <w:noWrap/>
            <w:vAlign w:val="center"/>
          </w:tcPr>
          <w:p>
            <w:pPr>
              <w:jc w:val="right"/>
              <w:rPr>
                <w:rFonts w:ascii="黑体" w:eastAsia="黑体" w:cs="黑体"/>
                <w:sz w:val="20"/>
                <w:szCs w:val="20"/>
                <w:lang w:bidi="ar-SA"/>
                <w:highlight w:val="auto"/>
              </w:rPr>
            </w:pPr>
          </w:p>
          <w:p>
            <w:pPr>
              <w:jc w:val="right"/>
              <w:rPr>
                <w:rFonts w:hint="eastAsia"/>
                <w:szCs w:val="21"/>
                <w:highlight w:val="auto"/>
              </w:rPr>
            </w:pPr>
            <w:r>
              <w:rPr>
                <w:rFonts w:ascii="黑体" w:eastAsia="黑体" w:cs="黑体" w:hint="eastAsia"/>
                <w:sz w:val="20"/>
                <w:szCs w:val="20"/>
                <w:lang w:bidi="ar-SA"/>
                <w:highlight w:val="auto"/>
              </w:rPr>
              <w:t>部门公开表2</w:t>
            </w:r>
          </w:p>
        </w:tc>
      </w:tr>
    </w:tbl>
    <w:p>
      <w:pPr>
        <w:jc w:val="center"/>
        <w:rPr>
          <w:rFonts w:cs="Microsoft JhengHei" w:hint="eastAsia"/>
          <w:sz w:val="28"/>
          <w:szCs w:val="28"/>
          <w:lang w:bidi="ar-SA"/>
          <w:highlight w:val="auto"/>
        </w:rPr>
      </w:pPr>
      <w:r>
        <w:rPr>
          <w:rFonts w:cs="Microsoft JhengHei" w:hint="eastAsia"/>
          <w:b/>
          <w:snapToGrid w:val="0"/>
          <w:color w:val="000000"/>
          <w:sz w:val="36"/>
          <w:szCs w:val="36"/>
          <w:lang w:bidi="ar-SA"/>
          <w:highlight w:val="auto"/>
        </w:rPr>
        <w:t>部门收入总表</w:t>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7604"/>
        <w:gridCol w:w="8012"/>
      </w:tblGrid>
      <w:tr>
        <w:trPr>
          <w:trHeight w:hRule="exact" w:val="509"/>
        </w:trPr>
        <w:tc>
          <w:tcPr>
            <w:tcW w:w="7604" w:type="dxa"/>
            <w:tcBorders>
              <w:top w:val="nil"/>
              <w:left w:val="nil"/>
              <w:bottom w:val="nil"/>
              <w:right w:val="nil"/>
              <w:tl2br w:val="nil"/>
              <w:tr2bl w:val="nil"/>
            </w:tcBorders>
            <w:noWrap/>
            <w:vAlign w:val="center"/>
          </w:tcPr>
          <w:p>
            <w:pPr>
              <w:pStyle w:val="2290"/>
              <w:rPr>
                <w:rFonts w:hint="eastAsia"/>
                <w:color w:val="000000"/>
                <w:szCs w:val="21"/>
                <w:highlight w:val="auto"/>
              </w:rPr>
            </w:pPr>
          </w:p>
        </w:tc>
        <w:tc>
          <w:tcPr>
            <w:tcW w:w="8012" w:type="dxa"/>
            <w:tcBorders>
              <w:top w:val="nil"/>
              <w:left w:val="nil"/>
              <w:bottom w:val="nil"/>
              <w:right w:val="nil"/>
              <w:tl2br w:val="nil"/>
              <w:tr2bl w:val="nil"/>
            </w:tcBorders>
            <w:noWrap/>
            <w:vAlign w:val="center"/>
          </w:tcPr>
          <w:p>
            <w:pPr>
              <w:pStyle w:val="2289"/>
              <w:jc w:val="right"/>
              <w:rPr>
                <w:rFonts w:hint="eastAsia"/>
                <w:color w:val="000000"/>
                <w:szCs w:val="21"/>
                <w:highlight w:val="auto"/>
              </w:rPr>
            </w:pPr>
            <w:r>
              <w:rPr>
                <w:rFonts w:hint="eastAsia"/>
                <w:color w:val="000000"/>
                <w:sz w:val="20"/>
                <w:szCs w:val="20"/>
                <w:highlight w:val="auto"/>
              </w:rPr>
              <w:t>单位：万元</w:t>
            </w:r>
          </w:p>
        </w:tc>
      </w:tr>
    </w:tbl>
    <w:p>
      <w:pPr>
        <w:pStyle w:val="2288"/>
        <w:spacing w:line="94" w:lineRule="auto"/>
        <w:rPr>
          <w:rFonts w:ascii="Times New Roman" w:eastAsia="宋体" w:hAnsi="Times New Roman"/>
          <w:sz w:val="2"/>
          <w:highlight w:val="auto"/>
        </w:rPr>
      </w:pPr>
    </w:p>
    <w:tbl>
      <w:tblPr>
        <w:tblpPr w:leftFromText="180" w:rightFromText="180" w:vertAnchor="text" w:horzAnchor="page" w:tblpX="1596" w:tblpY="369"/>
        <w:tblOverlap w:val="never"/>
        <w:tblW w:w="1360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201"/>
        <w:gridCol w:w="1360"/>
        <w:gridCol w:w="1201"/>
        <w:gridCol w:w="880"/>
        <w:gridCol w:w="880"/>
        <w:gridCol w:w="1116"/>
        <w:gridCol w:w="1120"/>
        <w:gridCol w:w="1139"/>
        <w:gridCol w:w="1134"/>
        <w:gridCol w:w="1087"/>
        <w:gridCol w:w="1201"/>
        <w:gridCol w:w="1290"/>
      </w:tblGrid>
      <w:tr>
        <w:trPr>
          <w:trHeight w:val="270"/>
        </w:trPr>
        <w:tc>
          <w:tcPr>
            <w:tcW w:w="1201" w:type="dxa"/>
            <w:tcBorders>
              <w:top w:val="nil"/>
              <w:left w:val="nil"/>
              <w:bottom w:val="nil"/>
              <w:right w:val="nil"/>
            </w:tcBorders>
            <w:shd w:val="clear" w:color="auto" w:fill="auto"/>
            <w:noWrap/>
            <w:vAlign w:val="center"/>
          </w:tcPr>
          <w:p>
            <w:pPr>
              <w:pStyle w:val="3256"/>
              <w:widowControl/>
              <w:jc w:val="left"/>
              <w:rPr>
                <w:rFonts w:ascii="Times New Roman" w:eastAsia="宋体" w:cs="宋体" w:hAnsi="Times New Roman"/>
                <w:kern w:val="0"/>
                <w:sz w:val="24"/>
                <w:szCs w:val="24"/>
              </w:rPr>
            </w:pPr>
          </w:p>
        </w:tc>
        <w:tc>
          <w:tcPr>
            <w:tcW w:w="1360" w:type="dxa"/>
            <w:tcBorders>
              <w:top w:val="nil"/>
              <w:left w:val="nil"/>
              <w:bottom w:val="nil"/>
              <w:right w:val="nil"/>
            </w:tcBorders>
            <w:shd w:val="clear" w:color="auto" w:fill="auto"/>
            <w:noWrap/>
            <w:vAlign w:val="center"/>
          </w:tcPr>
          <w:p>
            <w:pPr>
              <w:pStyle w:val="3255"/>
              <w:widowControl/>
              <w:jc w:val="left"/>
              <w:rPr>
                <w:rFonts w:ascii="Times New Roman" w:eastAsia="Times New Roman" w:cs="Times New Roman" w:hAnsi="Times New Roman"/>
                <w:kern w:val="0"/>
                <w:sz w:val="20"/>
                <w:szCs w:val="20"/>
              </w:rPr>
            </w:pPr>
          </w:p>
        </w:tc>
        <w:tc>
          <w:tcPr>
            <w:tcW w:w="1201" w:type="dxa"/>
            <w:tcBorders>
              <w:top w:val="nil"/>
              <w:left w:val="nil"/>
              <w:bottom w:val="nil"/>
              <w:right w:val="nil"/>
            </w:tcBorders>
            <w:shd w:val="clear" w:color="auto" w:fill="auto"/>
            <w:noWrap/>
            <w:vAlign w:val="center"/>
          </w:tcPr>
          <w:p>
            <w:pPr>
              <w:pStyle w:val="3254"/>
              <w:widowControl/>
              <w:jc w:val="left"/>
              <w:rPr>
                <w:rFonts w:ascii="Times New Roman" w:eastAsia="Times New Roman" w:cs="Times New Roman" w:hAnsi="Times New Roman"/>
                <w:kern w:val="0"/>
                <w:sz w:val="20"/>
                <w:szCs w:val="20"/>
              </w:rPr>
            </w:pPr>
          </w:p>
        </w:tc>
        <w:tc>
          <w:tcPr>
            <w:tcW w:w="880" w:type="dxa"/>
            <w:tcBorders>
              <w:top w:val="nil"/>
              <w:left w:val="nil"/>
              <w:bottom w:val="nil"/>
              <w:right w:val="nil"/>
            </w:tcBorders>
            <w:shd w:val="clear" w:color="auto" w:fill="auto"/>
            <w:noWrap/>
            <w:vAlign w:val="center"/>
          </w:tcPr>
          <w:p>
            <w:pPr>
              <w:pStyle w:val="3253"/>
              <w:widowControl/>
              <w:jc w:val="left"/>
              <w:rPr>
                <w:rFonts w:ascii="Times New Roman" w:eastAsia="Times New Roman" w:cs="Times New Roman" w:hAnsi="Times New Roman"/>
                <w:kern w:val="0"/>
                <w:sz w:val="20"/>
                <w:szCs w:val="20"/>
              </w:rPr>
            </w:pPr>
          </w:p>
        </w:tc>
        <w:tc>
          <w:tcPr>
            <w:tcW w:w="880" w:type="dxa"/>
            <w:tcBorders>
              <w:top w:val="nil"/>
              <w:left w:val="nil"/>
              <w:bottom w:val="nil"/>
              <w:right w:val="nil"/>
            </w:tcBorders>
            <w:shd w:val="clear" w:color="auto" w:fill="auto"/>
            <w:noWrap/>
            <w:vAlign w:val="center"/>
          </w:tcPr>
          <w:p>
            <w:pPr>
              <w:pStyle w:val="3252"/>
              <w:widowControl/>
              <w:jc w:val="left"/>
              <w:rPr>
                <w:rFonts w:ascii="Times New Roman" w:eastAsia="Times New Roman" w:cs="Times New Roman" w:hAnsi="Times New Roman"/>
                <w:kern w:val="0"/>
                <w:sz w:val="20"/>
                <w:szCs w:val="20"/>
              </w:rPr>
            </w:pPr>
          </w:p>
        </w:tc>
        <w:tc>
          <w:tcPr>
            <w:tcW w:w="1116" w:type="dxa"/>
            <w:tcBorders>
              <w:top w:val="nil"/>
              <w:left w:val="nil"/>
              <w:bottom w:val="nil"/>
              <w:right w:val="nil"/>
            </w:tcBorders>
            <w:shd w:val="clear" w:color="auto" w:fill="auto"/>
            <w:noWrap/>
            <w:vAlign w:val="center"/>
          </w:tcPr>
          <w:p>
            <w:pPr>
              <w:pStyle w:val="3251"/>
              <w:widowControl/>
              <w:jc w:val="left"/>
              <w:rPr>
                <w:rFonts w:ascii="Times New Roman" w:eastAsia="Times New Roman" w:cs="Times New Roman" w:hAnsi="Times New Roman"/>
                <w:kern w:val="0"/>
                <w:sz w:val="20"/>
                <w:szCs w:val="20"/>
              </w:rPr>
            </w:pPr>
          </w:p>
        </w:tc>
        <w:tc>
          <w:tcPr>
            <w:tcW w:w="1120" w:type="dxa"/>
            <w:tcBorders>
              <w:top w:val="nil"/>
              <w:left w:val="nil"/>
              <w:bottom w:val="nil"/>
              <w:right w:val="nil"/>
            </w:tcBorders>
            <w:shd w:val="clear" w:color="auto" w:fill="auto"/>
            <w:noWrap/>
            <w:vAlign w:val="center"/>
          </w:tcPr>
          <w:p>
            <w:pPr>
              <w:pStyle w:val="3250"/>
              <w:widowControl/>
              <w:jc w:val="left"/>
              <w:rPr>
                <w:rFonts w:ascii="Times New Roman" w:eastAsia="Times New Roman" w:cs="Times New Roman" w:hAnsi="Times New Roman"/>
                <w:kern w:val="0"/>
                <w:sz w:val="20"/>
                <w:szCs w:val="20"/>
              </w:rPr>
            </w:pPr>
          </w:p>
        </w:tc>
        <w:tc>
          <w:tcPr>
            <w:tcW w:w="1139" w:type="dxa"/>
            <w:tcBorders>
              <w:top w:val="nil"/>
              <w:left w:val="nil"/>
              <w:bottom w:val="nil"/>
              <w:right w:val="nil"/>
            </w:tcBorders>
            <w:shd w:val="clear" w:color="auto" w:fill="auto"/>
            <w:noWrap/>
            <w:vAlign w:val="center"/>
          </w:tcPr>
          <w:p>
            <w:pPr>
              <w:pStyle w:val="3249"/>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pStyle w:val="3248"/>
              <w:widowControl/>
              <w:jc w:val="left"/>
              <w:rPr>
                <w:rFonts w:ascii="Times New Roman" w:eastAsia="Times New Roman" w:cs="Times New Roman" w:hAnsi="Times New Roman"/>
                <w:kern w:val="0"/>
                <w:sz w:val="20"/>
                <w:szCs w:val="20"/>
              </w:rPr>
            </w:pPr>
          </w:p>
        </w:tc>
        <w:tc>
          <w:tcPr>
            <w:tcW w:w="1087" w:type="dxa"/>
            <w:tcBorders>
              <w:top w:val="nil"/>
              <w:left w:val="nil"/>
              <w:bottom w:val="nil"/>
              <w:right w:val="nil"/>
            </w:tcBorders>
            <w:shd w:val="clear" w:color="auto" w:fill="auto"/>
            <w:noWrap/>
            <w:vAlign w:val="center"/>
          </w:tcPr>
          <w:p>
            <w:pPr>
              <w:pStyle w:val="3247"/>
              <w:widowControl/>
              <w:jc w:val="left"/>
              <w:rPr>
                <w:rFonts w:ascii="Times New Roman" w:eastAsia="Times New Roman" w:cs="Times New Roman" w:hAnsi="Times New Roman"/>
                <w:kern w:val="0"/>
                <w:sz w:val="20"/>
                <w:szCs w:val="20"/>
              </w:rPr>
            </w:pPr>
          </w:p>
        </w:tc>
        <w:tc>
          <w:tcPr>
            <w:tcW w:w="2491" w:type="dxa"/>
            <w:gridSpan w:val="2"/>
            <w:tcBorders>
              <w:top w:val="nil"/>
              <w:left w:val="nil"/>
              <w:bottom w:val="nil"/>
              <w:right w:val="nil"/>
            </w:tcBorders>
            <w:shd w:val="clear" w:color="auto" w:fill="auto"/>
            <w:noWrap/>
            <w:vAlign w:val="center"/>
          </w:tcPr>
          <w:p>
            <w:pPr>
              <w:pStyle w:val="3246"/>
              <w:widowControl/>
              <w:rPr>
                <w:rFonts w:ascii="Times New Roman" w:eastAsia="黑体" w:cs="宋体" w:hAnsi="Times New Roman"/>
                <w:kern w:val="0"/>
                <w:sz w:val="20"/>
                <w:szCs w:val="20"/>
              </w:rPr>
            </w:pPr>
          </w:p>
        </w:tc>
      </w:tr>
      <w:tr>
        <w:trPr>
          <w:trHeight w:val="270"/>
        </w:trPr>
        <w:tc>
          <w:tcPr>
            <w:tcW w:w="1201" w:type="dxa"/>
            <w:tcBorders>
              <w:top w:val="nil"/>
              <w:left w:val="nil"/>
              <w:bottom w:val="single" w:sz="4" w:space="0" w:color="auto"/>
              <w:right w:val="nil"/>
            </w:tcBorders>
            <w:shd w:val="clear" w:color="auto" w:fill="auto"/>
            <w:noWrap/>
            <w:vAlign w:val="center"/>
          </w:tcPr>
          <w:p>
            <w:pPr>
              <w:pStyle w:val="3244"/>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360" w:type="dxa"/>
            <w:tcBorders>
              <w:top w:val="nil"/>
              <w:left w:val="nil"/>
              <w:bottom w:val="single" w:sz="4" w:space="0" w:color="auto"/>
              <w:right w:val="nil"/>
            </w:tcBorders>
            <w:shd w:val="clear" w:color="auto" w:fill="auto"/>
            <w:noWrap/>
            <w:vAlign w:val="center"/>
          </w:tcPr>
          <w:p>
            <w:pPr>
              <w:pStyle w:val="3243"/>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201" w:type="dxa"/>
            <w:tcBorders>
              <w:top w:val="nil"/>
              <w:left w:val="nil"/>
              <w:bottom w:val="single" w:sz="4" w:space="0" w:color="auto"/>
              <w:right w:val="nil"/>
            </w:tcBorders>
            <w:shd w:val="clear" w:color="auto" w:fill="auto"/>
            <w:noWrap/>
            <w:vAlign w:val="center"/>
          </w:tcPr>
          <w:p>
            <w:pPr>
              <w:pStyle w:val="3242"/>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880" w:type="dxa"/>
            <w:tcBorders>
              <w:top w:val="nil"/>
              <w:left w:val="nil"/>
              <w:bottom w:val="single" w:sz="4" w:space="0" w:color="auto"/>
              <w:right w:val="nil"/>
            </w:tcBorders>
            <w:shd w:val="clear" w:color="auto" w:fill="auto"/>
            <w:noWrap/>
            <w:vAlign w:val="center"/>
          </w:tcPr>
          <w:p>
            <w:pPr>
              <w:pStyle w:val="3241"/>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880" w:type="dxa"/>
            <w:tcBorders>
              <w:top w:val="nil"/>
              <w:left w:val="nil"/>
              <w:bottom w:val="single" w:sz="4" w:space="0" w:color="auto"/>
              <w:right w:val="nil"/>
            </w:tcBorders>
            <w:shd w:val="clear" w:color="auto" w:fill="auto"/>
            <w:noWrap/>
            <w:vAlign w:val="center"/>
          </w:tcPr>
          <w:p>
            <w:pPr>
              <w:pStyle w:val="3240"/>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16" w:type="dxa"/>
            <w:tcBorders>
              <w:top w:val="nil"/>
              <w:left w:val="nil"/>
              <w:bottom w:val="single" w:sz="4" w:space="0" w:color="auto"/>
              <w:right w:val="nil"/>
            </w:tcBorders>
            <w:shd w:val="clear" w:color="auto" w:fill="auto"/>
            <w:noWrap/>
            <w:vAlign w:val="center"/>
          </w:tcPr>
          <w:p>
            <w:pPr>
              <w:pStyle w:val="3239"/>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20" w:type="dxa"/>
            <w:tcBorders>
              <w:top w:val="nil"/>
              <w:left w:val="nil"/>
              <w:bottom w:val="single" w:sz="4" w:space="0" w:color="auto"/>
              <w:right w:val="nil"/>
            </w:tcBorders>
            <w:shd w:val="clear" w:color="auto" w:fill="auto"/>
            <w:noWrap/>
            <w:vAlign w:val="center"/>
          </w:tcPr>
          <w:p>
            <w:pPr>
              <w:pStyle w:val="3238"/>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39" w:type="dxa"/>
            <w:tcBorders>
              <w:top w:val="nil"/>
              <w:left w:val="nil"/>
              <w:bottom w:val="single" w:sz="4" w:space="0" w:color="auto"/>
              <w:right w:val="nil"/>
            </w:tcBorders>
            <w:shd w:val="clear" w:color="auto" w:fill="auto"/>
            <w:noWrap/>
            <w:vAlign w:val="center"/>
          </w:tcPr>
          <w:p>
            <w:pPr>
              <w:pStyle w:val="3237"/>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pStyle w:val="3236"/>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087" w:type="dxa"/>
            <w:tcBorders>
              <w:top w:val="nil"/>
              <w:left w:val="nil"/>
              <w:bottom w:val="single" w:sz="4" w:space="0" w:color="auto"/>
              <w:right w:val="nil"/>
            </w:tcBorders>
            <w:shd w:val="clear" w:color="auto" w:fill="auto"/>
            <w:noWrap/>
            <w:vAlign w:val="center"/>
          </w:tcPr>
          <w:p>
            <w:pPr>
              <w:pStyle w:val="3235"/>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201" w:type="dxa"/>
            <w:tcBorders>
              <w:top w:val="nil"/>
              <w:left w:val="nil"/>
              <w:bottom w:val="single" w:sz="4" w:space="0" w:color="auto"/>
              <w:right w:val="nil"/>
            </w:tcBorders>
            <w:shd w:val="clear" w:color="auto" w:fill="auto"/>
            <w:noWrap/>
            <w:vAlign w:val="center"/>
          </w:tcPr>
          <w:p>
            <w:pPr>
              <w:pStyle w:val="3234"/>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290" w:type="dxa"/>
            <w:tcBorders>
              <w:top w:val="nil"/>
              <w:left w:val="nil"/>
              <w:bottom w:val="single" w:sz="4" w:space="0" w:color="auto"/>
              <w:right w:val="nil"/>
            </w:tcBorders>
            <w:shd w:val="clear" w:color="auto" w:fill="auto"/>
            <w:noWrap/>
            <w:vAlign w:val="center"/>
          </w:tcPr>
          <w:p>
            <w:pPr>
              <w:pStyle w:val="3233"/>
              <w:widowControl/>
              <w:jc w:val="left"/>
              <w:rPr>
                <w:rFonts w:ascii="Times New Roman" w:eastAsia="宋体" w:cs="宋体" w:hAnsi="Times New Roman"/>
                <w:kern w:val="0"/>
                <w:sz w:val="18"/>
                <w:szCs w:val="18"/>
              </w:rPr>
            </w:pPr>
          </w:p>
        </w:tc>
      </w:tr>
      <w:tr>
        <w:trPr>
          <w:trHeight w:val="270"/>
        </w:trPr>
        <w:tc>
          <w:tcPr>
            <w:tcW w:w="1201" w:type="dxa"/>
            <w:vMerge w:val="restart"/>
            <w:tcBorders>
              <w:top w:val="nil"/>
              <w:left w:val="single" w:sz="4" w:space="0" w:color="auto"/>
              <w:bottom w:val="single" w:sz="4" w:space="0" w:color="auto"/>
              <w:right w:val="single" w:sz="4" w:space="0" w:color="auto"/>
            </w:tcBorders>
            <w:shd w:val="clear" w:color="auto" w:fill="auto"/>
            <w:vAlign w:val="center"/>
          </w:tcPr>
          <w:p>
            <w:pPr>
              <w:pStyle w:val="3232"/>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合计</w:t>
            </w:r>
          </w:p>
        </w:tc>
        <w:tc>
          <w:tcPr>
            <w:tcW w:w="1360" w:type="dxa"/>
            <w:vMerge w:val="restart"/>
            <w:tcBorders>
              <w:top w:val="nil"/>
              <w:left w:val="single" w:sz="4" w:space="0" w:color="auto"/>
              <w:bottom w:val="nil"/>
              <w:right w:val="single" w:sz="4" w:space="0" w:color="auto"/>
            </w:tcBorders>
            <w:shd w:val="clear" w:color="auto" w:fill="auto"/>
            <w:vAlign w:val="center"/>
          </w:tcPr>
          <w:p>
            <w:pPr>
              <w:pStyle w:val="3231"/>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上年结转</w:t>
            </w:r>
          </w:p>
        </w:tc>
        <w:tc>
          <w:tcPr>
            <w:tcW w:w="1201" w:type="dxa"/>
            <w:vMerge w:val="restart"/>
            <w:tcBorders>
              <w:top w:val="nil"/>
              <w:left w:val="single" w:sz="4" w:space="0" w:color="auto"/>
              <w:bottom w:val="single" w:sz="4" w:space="0" w:color="auto"/>
              <w:right w:val="single" w:sz="4" w:space="0" w:color="auto"/>
            </w:tcBorders>
            <w:shd w:val="clear" w:color="auto" w:fill="auto"/>
            <w:vAlign w:val="center"/>
          </w:tcPr>
          <w:p>
            <w:pPr>
              <w:pStyle w:val="3230"/>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一般公共预算拨款收入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pStyle w:val="3229"/>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政府性基金预算拨款收入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pStyle w:val="3228"/>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国有资本经营预算拨款收入</w:t>
            </w:r>
          </w:p>
        </w:tc>
        <w:tc>
          <w:tcPr>
            <w:tcW w:w="22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pPr>
              <w:pStyle w:val="3227"/>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事业收入</w:t>
            </w:r>
          </w:p>
        </w:tc>
        <w:tc>
          <w:tcPr>
            <w:tcW w:w="1139" w:type="dxa"/>
            <w:vMerge w:val="restart"/>
            <w:tcBorders>
              <w:top w:val="single" w:sz="4" w:space="0" w:color="auto"/>
              <w:left w:val="single" w:sz="4" w:space="0" w:color="auto"/>
              <w:bottom w:val="nil"/>
              <w:right w:val="nil"/>
            </w:tcBorders>
            <w:shd w:val="clear" w:color="auto" w:fill="auto"/>
            <w:vAlign w:val="center"/>
          </w:tcPr>
          <w:p>
            <w:pPr>
              <w:pStyle w:val="3226"/>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事业单位经营收入</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pStyle w:val="3225"/>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上级补助收入</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pStyle w:val="3224"/>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附属单位上缴收入</w:t>
            </w:r>
          </w:p>
        </w:tc>
        <w:tc>
          <w:tcPr>
            <w:tcW w:w="12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pStyle w:val="3223"/>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其他收入</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pStyle w:val="3222"/>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使用非财政拨款结余</w:t>
            </w:r>
          </w:p>
        </w:tc>
      </w:tr>
      <w:tr>
        <w:trPr>
          <w:trHeight w:val="480"/>
        </w:trPr>
        <w:tc>
          <w:tcPr>
            <w:tcW w:w="1216" w:type="dxa"/>
            <w:vMerge/>
            <w:tcBorders>
              <w:top w:val="nil"/>
              <w:left w:val="single" w:sz="4" w:space="0" w:color="auto"/>
              <w:bottom w:val="single" w:sz="4" w:space="0" w:color="auto"/>
              <w:right w:val="single" w:sz="4" w:space="0" w:color="auto"/>
            </w:tcBorders>
            <w:vAlign w:val="center"/>
          </w:tcPr>
          <w:p/>
        </w:tc>
        <w:tc>
          <w:tcPr>
            <w:tcW w:w="1360" w:type="dxa"/>
            <w:vMerge/>
            <w:tcBorders>
              <w:top w:val="nil"/>
              <w:left w:val="single" w:sz="4" w:space="0" w:color="auto"/>
              <w:bottom w:val="nil"/>
              <w:right w:val="single" w:sz="4" w:space="0" w:color="auto"/>
            </w:tcBorders>
            <w:vAlign w:val="center"/>
          </w:tcPr>
          <w:p/>
        </w:tc>
        <w:tc>
          <w:tcPr>
            <w:tcW w:w="1220"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1116" w:type="dxa"/>
            <w:tcBorders>
              <w:top w:val="single" w:sz="4" w:space="0" w:color="auto"/>
              <w:left w:val="nil"/>
              <w:bottom w:val="single" w:sz="4" w:space="0" w:color="auto"/>
              <w:right w:val="single" w:sz="4" w:space="0" w:color="auto"/>
            </w:tcBorders>
            <w:shd w:val="clear" w:color="auto" w:fill="auto"/>
            <w:vAlign w:val="center"/>
          </w:tcPr>
          <w:p>
            <w:pPr>
              <w:pStyle w:val="3221"/>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金额</w:t>
            </w:r>
          </w:p>
        </w:tc>
        <w:tc>
          <w:tcPr>
            <w:tcW w:w="1120" w:type="dxa"/>
            <w:tcBorders>
              <w:top w:val="single" w:sz="4" w:space="0" w:color="auto"/>
              <w:left w:val="nil"/>
              <w:bottom w:val="single" w:sz="4" w:space="0" w:color="auto"/>
              <w:right w:val="single" w:sz="4" w:space="0" w:color="auto"/>
            </w:tcBorders>
            <w:shd w:val="clear" w:color="auto" w:fill="auto"/>
            <w:vAlign w:val="center"/>
          </w:tcPr>
          <w:p>
            <w:pPr>
              <w:pStyle w:val="3220"/>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其中</w:t>
            </w:r>
            <w:r>
              <w:rPr>
                <w:rFonts w:ascii="Times New Roman" w:eastAsia="宋体" w:cs="宋体" w:hAnsi="Times New Roman" w:hint="eastAsia"/>
                <w:kern w:val="0"/>
                <w:sz w:val="20"/>
                <w:szCs w:val="20"/>
                <w:lang w:eastAsia="zh-CN"/>
              </w:rPr>
              <w:t>：</w:t>
            </w:r>
            <w:r>
              <w:rPr>
                <w:rFonts w:ascii="Times New Roman" w:eastAsia="宋体" w:cs="宋体" w:hAnsi="Times New Roman" w:hint="eastAsia"/>
                <w:kern w:val="0"/>
                <w:sz w:val="20"/>
                <w:szCs w:val="20"/>
              </w:rPr>
              <w:t>教育收费</w:t>
            </w:r>
          </w:p>
        </w:tc>
        <w:tc>
          <w:tcPr>
            <w:tcW w:w="1139" w:type="dxa"/>
            <w:vMerge/>
            <w:tcBorders>
              <w:top w:val="single" w:sz="4" w:space="0" w:color="auto"/>
              <w:left w:val="single" w:sz="4" w:space="0" w:color="auto"/>
              <w:bottom w:val="nil"/>
              <w:right w:val="nil"/>
            </w:tcBorders>
            <w:vAlign w:val="center"/>
          </w:tcPr>
          <w:p/>
        </w:tc>
        <w:tc>
          <w:tcPr>
            <w:tcW w:w="1134" w:type="dxa"/>
            <w:vMerge/>
            <w:tcBorders>
              <w:top w:val="single" w:sz="4" w:space="0" w:color="auto"/>
              <w:left w:val="single" w:sz="4" w:space="0" w:color="auto"/>
              <w:bottom w:val="single" w:sz="4" w:space="0" w:color="000000"/>
              <w:right w:val="single" w:sz="4" w:space="0" w:color="auto"/>
            </w:tcBorders>
            <w:vAlign w:val="center"/>
          </w:tcPr>
          <w:p/>
        </w:tc>
        <w:tc>
          <w:tcPr>
            <w:tcW w:w="1087" w:type="dxa"/>
            <w:vMerge/>
            <w:tcBorders>
              <w:top w:val="single" w:sz="4" w:space="0" w:color="auto"/>
              <w:left w:val="single" w:sz="4" w:space="0" w:color="auto"/>
              <w:bottom w:val="single" w:sz="4" w:space="0" w:color="auto"/>
              <w:right w:val="single" w:sz="4" w:space="0" w:color="auto"/>
            </w:tcBorders>
            <w:vAlign w:val="center"/>
          </w:tcPr>
          <w:p/>
        </w:tc>
        <w:tc>
          <w:tcPr>
            <w:tcW w:w="1166" w:type="dxa"/>
            <w:vMerge/>
            <w:tcBorders>
              <w:top w:val="single" w:sz="4" w:space="0" w:color="auto"/>
              <w:left w:val="single" w:sz="4" w:space="0" w:color="auto"/>
              <w:bottom w:val="single" w:sz="4" w:space="0" w:color="auto"/>
              <w:right w:val="single" w:sz="4" w:space="0" w:color="auto"/>
            </w:tcBorders>
            <w:vAlign w:val="center"/>
          </w:tcPr>
          <w:p/>
        </w:tc>
        <w:tc>
          <w:tcPr>
            <w:tcW w:w="1290" w:type="dxa"/>
            <w:vMerge/>
            <w:tcBorders>
              <w:top w:val="single" w:sz="4" w:space="0" w:color="auto"/>
              <w:left w:val="single" w:sz="4" w:space="0" w:color="auto"/>
              <w:bottom w:val="single" w:sz="4" w:space="0" w:color="auto"/>
              <w:right w:val="single" w:sz="4" w:space="0" w:color="auto"/>
            </w:tcBorders>
            <w:vAlign w:val="center"/>
          </w:tcPr>
          <w:p/>
        </w:tc>
      </w:tr>
      <w:tr>
        <w:trPr>
          <w:trHeight w:val="270"/>
        </w:trPr>
        <w:tc>
          <w:tcPr>
            <w:tcW w:w="1201" w:type="dxa"/>
            <w:tcBorders>
              <w:top w:val="nil"/>
              <w:left w:val="single" w:sz="4" w:space="0" w:color="auto"/>
              <w:bottom w:val="single" w:sz="4" w:space="0" w:color="auto"/>
              <w:right w:val="single" w:sz="4" w:space="0" w:color="auto"/>
            </w:tcBorders>
            <w:shd w:val="clear" w:color="auto" w:fill="auto"/>
            <w:vAlign w:val="center"/>
          </w:tcPr>
          <w:p>
            <w:pPr>
              <w:pStyle w:val="3219"/>
              <w:widowControl/>
              <w:jc w:val="right"/>
              <w:rPr>
                <w:rFonts w:ascii="Times New Roman" w:eastAsia="宋体" w:cs="宋体" w:hAnsi="Times New Roman"/>
                <w:kern w:val="0"/>
                <w:sz w:val="20"/>
                <w:szCs w:val="20"/>
              </w:rPr>
            </w:pPr>
            <w:r>
              <w:rPr>
                <w:rFonts w:ascii="Times New Roman" w:eastAsia="宋体" w:cs="宋体" w:hAnsi="Times New Roman"/>
                <w:kern w:val="0"/>
                <w:sz w:val="20"/>
                <w:szCs w:val="20"/>
              </w:rPr>
              <w:t>896.27</w:t>
            </w:r>
          </w:p>
        </w:tc>
        <w:tc>
          <w:tcPr>
            <w:tcW w:w="1360" w:type="dxa"/>
            <w:tcBorders>
              <w:top w:val="single" w:sz="4" w:space="0" w:color="auto"/>
              <w:left w:val="nil"/>
              <w:bottom w:val="single" w:sz="4" w:space="0" w:color="auto"/>
              <w:right w:val="single" w:sz="4" w:space="0" w:color="auto"/>
            </w:tcBorders>
            <w:shd w:val="clear" w:color="auto" w:fill="auto"/>
            <w:vAlign w:val="center"/>
          </w:tcPr>
          <w:p>
            <w:pPr>
              <w:pStyle w:val="3218"/>
              <w:widowControl/>
              <w:jc w:val="right"/>
              <w:rPr>
                <w:rFonts w:ascii="Times New Roman" w:eastAsia="宋体" w:cs="宋体" w:hAnsi="Times New Roman"/>
                <w:kern w:val="0"/>
                <w:sz w:val="20"/>
                <w:szCs w:val="20"/>
              </w:rPr>
            </w:pPr>
            <w:r>
              <w:rPr>
                <w:rFonts w:ascii="Times New Roman" w:eastAsia="宋体" w:cs="宋体" w:hAnsi="Times New Roman"/>
                <w:kern w:val="0"/>
                <w:sz w:val="20"/>
                <w:szCs w:val="20"/>
              </w:rPr>
              <w:t>76.91</w:t>
            </w:r>
          </w:p>
        </w:tc>
        <w:tc>
          <w:tcPr>
            <w:tcW w:w="1201" w:type="dxa"/>
            <w:tcBorders>
              <w:top w:val="nil"/>
              <w:left w:val="nil"/>
              <w:bottom w:val="single" w:sz="4" w:space="0" w:color="auto"/>
              <w:right w:val="single" w:sz="4" w:space="0" w:color="auto"/>
            </w:tcBorders>
            <w:shd w:val="clear" w:color="auto" w:fill="auto"/>
            <w:vAlign w:val="center"/>
          </w:tcPr>
          <w:p>
            <w:pPr>
              <w:pStyle w:val="3217"/>
              <w:widowControl/>
              <w:jc w:val="right"/>
              <w:rPr>
                <w:rFonts w:ascii="Times New Roman" w:eastAsia="宋体" w:cs="宋体" w:hAnsi="Times New Roman"/>
                <w:kern w:val="0"/>
                <w:sz w:val="20"/>
                <w:szCs w:val="20"/>
              </w:rPr>
            </w:pPr>
            <w:r>
              <w:rPr>
                <w:rFonts w:ascii="Times New Roman" w:eastAsia="宋体" w:cs="宋体" w:hAnsi="Times New Roman"/>
                <w:kern w:val="0"/>
                <w:sz w:val="20"/>
                <w:szCs w:val="20"/>
              </w:rPr>
              <w:t>669.16</w:t>
            </w:r>
          </w:p>
        </w:tc>
        <w:tc>
          <w:tcPr>
            <w:tcW w:w="880" w:type="dxa"/>
            <w:tcBorders>
              <w:top w:val="nil"/>
              <w:left w:val="nil"/>
              <w:bottom w:val="single" w:sz="4" w:space="0" w:color="auto"/>
              <w:right w:val="single" w:sz="4" w:space="0" w:color="auto"/>
            </w:tcBorders>
            <w:shd w:val="clear" w:color="auto" w:fill="auto"/>
            <w:vAlign w:val="center"/>
          </w:tcPr>
          <w:p>
            <w:pPr>
              <w:pStyle w:val="3216"/>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880" w:type="dxa"/>
            <w:tcBorders>
              <w:top w:val="nil"/>
              <w:left w:val="nil"/>
              <w:bottom w:val="single" w:sz="4" w:space="0" w:color="auto"/>
              <w:right w:val="single" w:sz="4" w:space="0" w:color="auto"/>
            </w:tcBorders>
            <w:shd w:val="clear" w:color="auto" w:fill="auto"/>
            <w:vAlign w:val="center"/>
          </w:tcPr>
          <w:p>
            <w:pPr>
              <w:pStyle w:val="3215"/>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1116" w:type="dxa"/>
            <w:tcBorders>
              <w:top w:val="nil"/>
              <w:left w:val="nil"/>
              <w:bottom w:val="single" w:sz="4" w:space="0" w:color="auto"/>
              <w:right w:val="single" w:sz="4" w:space="0" w:color="auto"/>
            </w:tcBorders>
            <w:shd w:val="clear" w:color="auto" w:fill="auto"/>
            <w:vAlign w:val="center"/>
          </w:tcPr>
          <w:p>
            <w:pPr>
              <w:pStyle w:val="3214"/>
              <w:widowControl/>
              <w:jc w:val="right"/>
              <w:rPr>
                <w:rFonts w:ascii="Times New Roman" w:eastAsia="宋体" w:cs="宋体" w:hAnsi="Times New Roman"/>
                <w:kern w:val="0"/>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tcPr>
          <w:p>
            <w:pPr>
              <w:pStyle w:val="3213"/>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1139" w:type="dxa"/>
            <w:tcBorders>
              <w:top w:val="single" w:sz="4" w:space="0" w:color="auto"/>
              <w:left w:val="nil"/>
              <w:bottom w:val="single" w:sz="4" w:space="0" w:color="auto"/>
              <w:right w:val="single" w:sz="4" w:space="0" w:color="auto"/>
            </w:tcBorders>
            <w:shd w:val="clear" w:color="auto" w:fill="auto"/>
            <w:vAlign w:val="center"/>
          </w:tcPr>
          <w:p>
            <w:pPr>
              <w:pStyle w:val="3212"/>
              <w:widowControl/>
              <w:jc w:val="right"/>
              <w:rPr>
                <w:rFonts w:ascii="Times New Roman" w:eastAsia="宋体" w:cs="宋体" w:hAnsi="Times New Roman"/>
                <w:kern w:val="0"/>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pPr>
              <w:pStyle w:val="3211"/>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1087" w:type="dxa"/>
            <w:tcBorders>
              <w:top w:val="nil"/>
              <w:left w:val="nil"/>
              <w:bottom w:val="single" w:sz="4" w:space="0" w:color="auto"/>
              <w:right w:val="single" w:sz="4" w:space="0" w:color="auto"/>
            </w:tcBorders>
            <w:shd w:val="clear" w:color="auto" w:fill="auto"/>
            <w:vAlign w:val="center"/>
          </w:tcPr>
          <w:p>
            <w:pPr>
              <w:pStyle w:val="3210"/>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1201" w:type="dxa"/>
            <w:tcBorders>
              <w:top w:val="nil"/>
              <w:left w:val="nil"/>
              <w:bottom w:val="single" w:sz="4" w:space="0" w:color="auto"/>
              <w:right w:val="single" w:sz="4" w:space="0" w:color="auto"/>
            </w:tcBorders>
            <w:shd w:val="clear" w:color="auto" w:fill="auto"/>
            <w:vAlign w:val="center"/>
          </w:tcPr>
          <w:p>
            <w:pPr>
              <w:pStyle w:val="3209"/>
              <w:widowControl/>
              <w:jc w:val="right"/>
              <w:rPr>
                <w:rFonts w:ascii="Times New Roman" w:eastAsia="宋体" w:cs="宋体" w:hAnsi="Times New Roman"/>
                <w:kern w:val="0"/>
                <w:sz w:val="20"/>
                <w:szCs w:val="20"/>
              </w:rPr>
            </w:pPr>
            <w:r>
              <w:rPr>
                <w:rFonts w:ascii="Times New Roman" w:eastAsia="宋体" w:cs="宋体" w:hAnsi="Times New Roman"/>
                <w:kern w:val="0"/>
                <w:sz w:val="20"/>
                <w:szCs w:val="20"/>
              </w:rPr>
              <w:t>150.20</w:t>
            </w:r>
          </w:p>
        </w:tc>
        <w:tc>
          <w:tcPr>
            <w:tcW w:w="1290" w:type="dxa"/>
            <w:tcBorders>
              <w:top w:val="nil"/>
              <w:left w:val="nil"/>
              <w:bottom w:val="single" w:sz="4" w:space="0" w:color="auto"/>
              <w:right w:val="single" w:sz="4" w:space="0" w:color="auto"/>
            </w:tcBorders>
            <w:shd w:val="clear" w:color="auto" w:fill="auto"/>
            <w:vAlign w:val="center"/>
          </w:tcPr>
          <w:p>
            <w:pPr>
              <w:pStyle w:val="3208"/>
              <w:widowControl/>
              <w:jc w:val="right"/>
              <w:rPr>
                <w:rFonts w:ascii="Times New Roman" w:eastAsia="宋体" w:cs="宋体" w:hAnsi="Times New Roman"/>
                <w:kern w:val="0"/>
                <w:sz w:val="20"/>
                <w:szCs w:val="20"/>
              </w:rPr>
            </w:pPr>
          </w:p>
        </w:tc>
      </w:tr>
    </w:tbl>
    <w:p>
      <w:pPr>
        <w:pStyle w:val="2288"/>
        <w:rPr>
          <w:rFonts w:ascii="Times New Roman" w:eastAsia="宋体" w:hAnsi="Times New Roman"/>
          <w:highlight w:val="auto"/>
        </w:rPr>
        <w:sectPr>
          <w:pgSz w:w="16840" w:h="11907"/>
          <w:pgMar w:top="397" w:right="720" w:bottom="397" w:left="720" w:header="0" w:footer="0" w:gutter="0"/>
          <w:pgNumType/>
          <w:docGrid w:linePitch="285" w:charSpace="0"/>
        </w:sectPr>
      </w:pPr>
    </w:p>
    <w:p>
      <w:pPr>
        <w:jc w:val="right"/>
        <w:rPr>
          <w:rFonts w:ascii="黑体" w:eastAsia="黑体" w:cs="黑体"/>
          <w:sz w:val="20"/>
          <w:szCs w:val="20"/>
          <w:lang w:bidi="ar-SA"/>
          <w:highlight w:val="auto"/>
        </w:rPr>
      </w:pPr>
    </w:p>
    <w:p>
      <w:pPr>
        <w:jc w:val="right"/>
        <w:rPr>
          <w:rFonts w:ascii="黑体" w:eastAsia="黑体" w:cs="黑体"/>
          <w:sz w:val="20"/>
          <w:szCs w:val="20"/>
          <w:lang w:bidi="ar-SA"/>
          <w:highlight w:val="auto"/>
        </w:rPr>
      </w:pPr>
    </w:p>
    <w:p>
      <w:pPr>
        <w:jc w:val="right"/>
        <w:rPr>
          <w:rFonts w:ascii="方正黑体_GBK" w:eastAsia="方正黑体_GBK" w:cs="方正黑体_GBK" w:hint="eastAsia"/>
          <w:sz w:val="20"/>
          <w:szCs w:val="20"/>
          <w:lang w:bidi="ar-SA"/>
          <w:highlight w:val="auto"/>
        </w:rPr>
      </w:pPr>
      <w:r>
        <w:rPr>
          <w:rFonts w:ascii="黑体" w:eastAsia="黑体" w:cs="黑体" w:hint="eastAsia"/>
          <w:sz w:val="20"/>
          <w:szCs w:val="20"/>
          <w:lang w:bidi="ar-SA"/>
          <w:highlight w:val="auto"/>
        </w:rPr>
        <w:t>部门公开表3</w:t>
      </w:r>
    </w:p>
    <w:p>
      <w:pPr>
        <w:jc w:val="center"/>
        <w:rPr>
          <w:rFonts w:cs="Microsoft JhengHei" w:hint="eastAsia"/>
          <w:sz w:val="36"/>
          <w:szCs w:val="36"/>
          <w:lang w:bidi="ar-SA"/>
          <w:highlight w:val="auto"/>
        </w:rPr>
      </w:pPr>
      <w:r>
        <w:rPr>
          <w:rFonts w:cs="Microsoft JhengHei" w:hint="eastAsia"/>
          <w:b/>
          <w:snapToGrid w:val="0"/>
          <w:color w:val="000000"/>
          <w:sz w:val="36"/>
          <w:szCs w:val="36"/>
          <w:lang w:bidi="ar-SA"/>
          <w:highlight w:val="auto"/>
        </w:rPr>
        <w:t>部门支出总表</w:t>
      </w:r>
    </w:p>
    <w:p>
      <w:pPr>
        <w:pStyle w:val="2307"/>
        <w:spacing w:before="49" w:line="180" w:lineRule="auto"/>
        <w:ind w:firstLine="9999"/>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2"/>
          <w:sz w:val="20"/>
          <w:szCs w:val="20"/>
          <w:lang w:bidi="ar-SA"/>
          <w:highlight w:val="auto"/>
        </w:rPr>
        <w:t>单位：万元</w:t>
      </w:r>
    </w:p>
    <w:p>
      <w:pPr>
        <w:pStyle w:val="2307"/>
        <w:spacing w:line="125" w:lineRule="auto"/>
        <w:rPr>
          <w:rFonts w:ascii="Times New Roman" w:eastAsia="宋体" w:hAnsi="Times New Roman"/>
          <w:sz w:val="2"/>
          <w:highlight w:val="auto"/>
        </w:rPr>
      </w:pPr>
    </w:p>
    <w:tbl>
      <w:tblPr>
        <w:jc w:val="center"/>
        <w:tblW w:w="10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21"/>
        <w:gridCol w:w="3091"/>
        <w:gridCol w:w="1271"/>
        <w:gridCol w:w="1334"/>
        <w:gridCol w:w="1184"/>
        <w:gridCol w:w="916"/>
        <w:gridCol w:w="960"/>
        <w:gridCol w:w="1016"/>
      </w:tblGrid>
      <w:tr>
        <w:trPr>
          <w:trHeight w:val="895"/>
        </w:trPr>
        <w:tc>
          <w:tcPr>
            <w:tcW w:w="1221" w:type="dxa"/>
            <w:tcBorders>
              <w:tl2br w:val="nil"/>
              <w:tr2bl w:val="nil"/>
            </w:tcBorders>
            <w:vAlign w:val="center"/>
          </w:tcPr>
          <w:p>
            <w:pPr>
              <w:pStyle w:val="2307"/>
              <w:spacing w:before="87" w:line="180" w:lineRule="auto"/>
              <w:ind w:firstLine="212"/>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科目代码</w:t>
            </w:r>
          </w:p>
        </w:tc>
        <w:tc>
          <w:tcPr>
            <w:tcW w:w="3091" w:type="dxa"/>
            <w:tcBorders>
              <w:tl2br w:val="nil"/>
              <w:tr2bl w:val="nil"/>
            </w:tcBorders>
            <w:vAlign w:val="center"/>
          </w:tcPr>
          <w:p>
            <w:pPr>
              <w:pStyle w:val="2307"/>
              <w:spacing w:before="87" w:line="180" w:lineRule="auto"/>
              <w:jc w:val="center"/>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科目名称</w:t>
            </w:r>
          </w:p>
        </w:tc>
        <w:tc>
          <w:tcPr>
            <w:tcW w:w="1271" w:type="dxa"/>
            <w:tcBorders>
              <w:tl2br w:val="nil"/>
              <w:tr2bl w:val="nil"/>
            </w:tcBorders>
            <w:vAlign w:val="center"/>
          </w:tcPr>
          <w:p>
            <w:pPr>
              <w:pStyle w:val="2307"/>
              <w:spacing w:before="87" w:line="180" w:lineRule="auto"/>
              <w:ind w:firstLine="337"/>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合计</w:t>
            </w:r>
          </w:p>
        </w:tc>
        <w:tc>
          <w:tcPr>
            <w:tcW w:w="1334" w:type="dxa"/>
            <w:tcBorders>
              <w:tl2br w:val="nil"/>
              <w:tr2bl w:val="nil"/>
            </w:tcBorders>
            <w:vAlign w:val="center"/>
          </w:tcPr>
          <w:p>
            <w:pPr>
              <w:pStyle w:val="2307"/>
              <w:spacing w:before="87" w:line="180" w:lineRule="auto"/>
              <w:ind w:firstLine="267"/>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基本支出</w:t>
            </w:r>
          </w:p>
        </w:tc>
        <w:tc>
          <w:tcPr>
            <w:tcW w:w="1184" w:type="dxa"/>
            <w:tcBorders>
              <w:tl2br w:val="nil"/>
              <w:tr2bl w:val="nil"/>
            </w:tcBorders>
            <w:vAlign w:val="center"/>
          </w:tcPr>
          <w:p>
            <w:pPr>
              <w:pStyle w:val="2307"/>
              <w:spacing w:before="87" w:line="180" w:lineRule="auto"/>
              <w:ind w:firstLine="195"/>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项目支出</w:t>
            </w:r>
          </w:p>
        </w:tc>
        <w:tc>
          <w:tcPr>
            <w:tcW w:w="916" w:type="dxa"/>
            <w:tcBorders>
              <w:tl2br w:val="nil"/>
              <w:tr2bl w:val="nil"/>
            </w:tcBorders>
            <w:vAlign w:val="center"/>
          </w:tcPr>
          <w:p>
            <w:pPr>
              <w:pStyle w:val="2307"/>
              <w:jc w:val="center"/>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上缴上级支出</w:t>
            </w:r>
          </w:p>
        </w:tc>
        <w:tc>
          <w:tcPr>
            <w:tcW w:w="960" w:type="dxa"/>
            <w:tcBorders>
              <w:tl2br w:val="nil"/>
              <w:tr2bl w:val="nil"/>
            </w:tcBorders>
            <w:vAlign w:val="center"/>
          </w:tcPr>
          <w:p>
            <w:pPr>
              <w:pStyle w:val="2307"/>
              <w:jc w:val="center"/>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事业单位经营支出</w:t>
            </w:r>
          </w:p>
        </w:tc>
        <w:tc>
          <w:tcPr>
            <w:tcW w:w="1016" w:type="dxa"/>
            <w:tcBorders>
              <w:tl2br w:val="nil"/>
              <w:tr2bl w:val="nil"/>
            </w:tcBorders>
            <w:vAlign w:val="center"/>
          </w:tcPr>
          <w:p>
            <w:pPr>
              <w:pStyle w:val="2307"/>
              <w:jc w:val="center"/>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对附属单位补助支出</w:t>
            </w: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201</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一般公共服务支出</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750.98</w:t>
            </w:r>
          </w:p>
        </w:tc>
        <w:tc>
          <w:tcPr>
            <w:tcW w:w="133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657.60</w:t>
            </w: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93.38</w:t>
            </w: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20109</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海关事务</w:t>
            </w:r>
          </w:p>
        </w:tc>
        <w:tc>
          <w:tcPr>
            <w:tcW w:w="1271" w:type="dxa"/>
            <w:tcBorders>
              <w:tl2br w:val="nil"/>
              <w:tr2bl w:val="nil"/>
            </w:tcBorders>
            <w:vAlign w:val="center"/>
          </w:tcPr>
          <w:p>
            <w:pPr>
              <w:pStyle w:val="3122"/>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750.98</w:t>
            </w:r>
          </w:p>
        </w:tc>
        <w:tc>
          <w:tcPr>
            <w:tcW w:w="1334" w:type="dxa"/>
            <w:tcBorders>
              <w:tl2br w:val="nil"/>
              <w:tr2bl w:val="nil"/>
            </w:tcBorders>
            <w:vAlign w:val="center"/>
          </w:tcPr>
          <w:p>
            <w:pPr>
              <w:pStyle w:val="3123"/>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657.60</w:t>
            </w:r>
          </w:p>
        </w:tc>
        <w:tc>
          <w:tcPr>
            <w:tcW w:w="1184" w:type="dxa"/>
            <w:tcBorders>
              <w:tl2br w:val="nil"/>
              <w:tr2bl w:val="nil"/>
            </w:tcBorders>
            <w:vAlign w:val="center"/>
          </w:tcPr>
          <w:p>
            <w:pPr>
              <w:pStyle w:val="3124"/>
              <w:jc w:val="center"/>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 xml:space="preserve">       93.38</w:t>
            </w: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2010901</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行政运行</w:t>
            </w:r>
          </w:p>
        </w:tc>
        <w:tc>
          <w:tcPr>
            <w:tcW w:w="1271" w:type="dxa"/>
            <w:tcBorders>
              <w:tl2br w:val="nil"/>
              <w:tr2bl w:val="nil"/>
            </w:tcBorders>
            <w:vAlign w:val="center"/>
          </w:tcPr>
          <w:p>
            <w:pPr>
              <w:pStyle w:val="31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657.60</w:t>
            </w: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657.60</w:t>
            </w: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2010902</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一般行政管理事务</w:t>
            </w:r>
          </w:p>
        </w:tc>
        <w:tc>
          <w:tcPr>
            <w:tcW w:w="1271" w:type="dxa"/>
            <w:tcBorders>
              <w:tl2br w:val="nil"/>
              <w:tr2bl w:val="nil"/>
            </w:tcBorders>
            <w:vAlign w:val="center"/>
          </w:tcPr>
          <w:p>
            <w:pPr>
              <w:pStyle w:val="3123"/>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2010903</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机关服务</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2010905</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缉私办案</w:t>
            </w:r>
          </w:p>
        </w:tc>
        <w:tc>
          <w:tcPr>
            <w:tcW w:w="1271" w:type="dxa"/>
            <w:tcBorders>
              <w:tl2br w:val="nil"/>
              <w:tr2bl w:val="nil"/>
            </w:tcBorders>
            <w:vAlign w:val="center"/>
          </w:tcPr>
          <w:p>
            <w:pPr>
              <w:pStyle w:val="3306"/>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1.50</w:t>
            </w: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1.50</w:t>
            </w: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2010907</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口岸管理</w:t>
            </w:r>
          </w:p>
        </w:tc>
        <w:tc>
          <w:tcPr>
            <w:tcW w:w="1271" w:type="dxa"/>
            <w:tcBorders>
              <w:tl2br w:val="nil"/>
              <w:tr2bl w:val="nil"/>
            </w:tcBorders>
            <w:vAlign w:val="center"/>
          </w:tcPr>
          <w:p>
            <w:pPr>
              <w:pStyle w:val="3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2010908</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信息化建设</w:t>
            </w:r>
          </w:p>
        </w:tc>
        <w:tc>
          <w:tcPr>
            <w:tcW w:w="1271" w:type="dxa"/>
            <w:tcBorders>
              <w:tl2br w:val="nil"/>
              <w:tr2bl w:val="nil"/>
            </w:tcBorders>
            <w:vAlign w:val="center"/>
          </w:tcPr>
          <w:p>
            <w:pPr>
              <w:pStyle w:val="3308"/>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2010909</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海关关务</w:t>
            </w:r>
          </w:p>
        </w:tc>
        <w:tc>
          <w:tcPr>
            <w:tcW w:w="1271" w:type="dxa"/>
            <w:tcBorders>
              <w:tl2br w:val="nil"/>
              <w:tr2bl w:val="nil"/>
            </w:tcBorders>
            <w:vAlign w:val="center"/>
          </w:tcPr>
          <w:p>
            <w:pPr>
              <w:pStyle w:val="3309"/>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83.73</w:t>
            </w: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83.73</w:t>
            </w: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2010910</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关税征管</w:t>
            </w:r>
          </w:p>
        </w:tc>
        <w:tc>
          <w:tcPr>
            <w:tcW w:w="1271" w:type="dxa"/>
            <w:tcBorders>
              <w:tl2br w:val="nil"/>
              <w:tr2bl w:val="nil"/>
            </w:tcBorders>
            <w:vAlign w:val="center"/>
          </w:tcPr>
          <w:p>
            <w:pPr>
              <w:pStyle w:val="3310"/>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2010911</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海关监管</w:t>
            </w:r>
          </w:p>
        </w:tc>
        <w:tc>
          <w:tcPr>
            <w:tcW w:w="1271" w:type="dxa"/>
            <w:tcBorders>
              <w:tl2br w:val="nil"/>
              <w:tr2bl w:val="nil"/>
            </w:tcBorders>
            <w:vAlign w:val="center"/>
          </w:tcPr>
          <w:p>
            <w:pPr>
              <w:pStyle w:val="3311"/>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2.15</w:t>
            </w: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2.15</w:t>
            </w: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2010912</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检验检疫</w:t>
            </w:r>
          </w:p>
        </w:tc>
        <w:tc>
          <w:tcPr>
            <w:tcW w:w="1271" w:type="dxa"/>
            <w:tcBorders>
              <w:tl2br w:val="nil"/>
              <w:tr2bl w:val="nil"/>
            </w:tcBorders>
            <w:vAlign w:val="center"/>
          </w:tcPr>
          <w:p>
            <w:pPr>
              <w:pStyle w:val="3312"/>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6</w:t>
            </w: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6</w:t>
            </w: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2010950</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事业运行</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2010999</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其他海关事务支出</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20111</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纪检监察事务</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2011105</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派驻派出机构</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202</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外交支出</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20204</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国际组织</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2020401</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国际组织会费</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2020402</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国际组织捐赠</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20299</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其他外交支出</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2029999</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其他外交支出</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204</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公共安全支出</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20410</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缉私警察</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2041001</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行政运行</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2041002</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一般行政管理事务</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2041006</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信息化建设</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2041007</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缉私业务</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2041099</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其他缉私警察支出</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205</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教育支出</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20502</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普通教育</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2050205</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高等教育</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208</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社会保障和就业支出</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62.07</w:t>
            </w:r>
          </w:p>
        </w:tc>
        <w:tc>
          <w:tcPr>
            <w:tcW w:w="1334" w:type="dxa"/>
            <w:tcBorders>
              <w:tl2br w:val="nil"/>
              <w:tr2bl w:val="nil"/>
            </w:tcBorders>
            <w:vAlign w:val="center"/>
          </w:tcPr>
          <w:p>
            <w:pPr>
              <w:pStyle w:val="3313"/>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62.07</w:t>
            </w: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20805</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行政事业单位养老支出</w:t>
            </w:r>
          </w:p>
        </w:tc>
        <w:tc>
          <w:tcPr>
            <w:tcW w:w="1271" w:type="dxa"/>
            <w:tcBorders>
              <w:tl2br w:val="nil"/>
              <w:tr2bl w:val="nil"/>
            </w:tcBorders>
            <w:vAlign w:val="center"/>
          </w:tcPr>
          <w:p>
            <w:pPr>
              <w:pStyle w:val="3127"/>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62.07</w:t>
            </w:r>
          </w:p>
        </w:tc>
        <w:tc>
          <w:tcPr>
            <w:tcW w:w="1334" w:type="dxa"/>
            <w:tcBorders>
              <w:tl2br w:val="nil"/>
              <w:tr2bl w:val="nil"/>
            </w:tcBorders>
            <w:vAlign w:val="center"/>
          </w:tcPr>
          <w:p>
            <w:pPr>
              <w:pStyle w:val="3314"/>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62.07</w:t>
            </w: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2080501</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行政单位离退休</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8.94</w:t>
            </w:r>
          </w:p>
        </w:tc>
        <w:tc>
          <w:tcPr>
            <w:tcW w:w="1334" w:type="dxa"/>
            <w:tcBorders>
              <w:tl2br w:val="nil"/>
              <w:tr2bl w:val="nil"/>
            </w:tcBorders>
            <w:vAlign w:val="center"/>
          </w:tcPr>
          <w:p>
            <w:pPr>
              <w:pStyle w:val="331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8.94</w:t>
            </w: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2080502</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事业单位离退休</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3316"/>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2080503</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离退休人员管理机构</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331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2080505</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16"/>
                <w:szCs w:val="16"/>
                <w:highlight w:val="auto"/>
              </w:rPr>
              <w:t>机关事业单位基本养老保险缴费支出</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35.42</w:t>
            </w:r>
          </w:p>
        </w:tc>
        <w:tc>
          <w:tcPr>
            <w:tcW w:w="1334" w:type="dxa"/>
            <w:tcBorders>
              <w:tl2br w:val="nil"/>
              <w:tr2bl w:val="nil"/>
            </w:tcBorders>
            <w:vAlign w:val="center"/>
          </w:tcPr>
          <w:p>
            <w:pPr>
              <w:pStyle w:val="3318"/>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35.42</w:t>
            </w: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2080506</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18"/>
                <w:szCs w:val="18"/>
                <w:highlight w:val="auto"/>
              </w:rPr>
              <w:t>机关事业单位职业年金缴费支出</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17.71</w:t>
            </w:r>
          </w:p>
        </w:tc>
        <w:tc>
          <w:tcPr>
            <w:tcW w:w="1334" w:type="dxa"/>
            <w:tcBorders>
              <w:tl2br w:val="nil"/>
              <w:tr2bl w:val="nil"/>
            </w:tcBorders>
            <w:vAlign w:val="center"/>
          </w:tcPr>
          <w:p>
            <w:pPr>
              <w:pStyle w:val="3319"/>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17.71</w:t>
            </w: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bl>
    <w:p>
      <w:pPr>
        <w:pStyle w:val="2307"/>
        <w:rPr>
          <w:rFonts w:ascii="Times New Roman" w:eastAsia="宋体" w:hAnsi="Times New Roman"/>
          <w:highlight w:val="auto"/>
        </w:rPr>
      </w:pPr>
    </w:p>
    <w:p>
      <w:pPr>
        <w:pStyle w:val="2307"/>
        <w:rPr>
          <w:rFonts w:ascii="Times New Roman" w:eastAsia="宋体" w:hAnsi="Times New Roman"/>
          <w:highlight w:val="auto"/>
        </w:rPr>
        <w:sectPr>
          <w:pgSz w:w="11907" w:h="16841"/>
          <w:pgMar w:top="1431" w:right="451" w:bottom="0" w:left="451" w:header="0" w:footer="0" w:gutter="0"/>
          <w:pgNumType/>
          <w:docGrid w:linePitch="285" w:charSpace="0"/>
        </w:sectPr>
      </w:pPr>
    </w:p>
    <w:p>
      <w:pPr>
        <w:pStyle w:val="2307"/>
        <w:spacing w:line="89" w:lineRule="auto"/>
        <w:rPr>
          <w:rFonts w:ascii="Times New Roman" w:eastAsia="宋体" w:hAnsi="Times New Roman"/>
          <w:sz w:val="2"/>
          <w:highlight w:val="auto"/>
        </w:rPr>
      </w:pPr>
    </w:p>
    <w:tbl>
      <w:tblPr>
        <w:jc w:val="center"/>
        <w:tblW w:w="11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21"/>
        <w:gridCol w:w="3091"/>
        <w:gridCol w:w="1271"/>
        <w:gridCol w:w="1334"/>
        <w:gridCol w:w="1184"/>
        <w:gridCol w:w="916"/>
        <w:gridCol w:w="970"/>
        <w:gridCol w:w="1038"/>
      </w:tblGrid>
      <w:tr>
        <w:trPr>
          <w:trHeight w:val="892"/>
        </w:trPr>
        <w:tc>
          <w:tcPr>
            <w:tcW w:w="1221" w:type="dxa"/>
            <w:tcBorders>
              <w:tl2br w:val="nil"/>
              <w:tr2bl w:val="nil"/>
            </w:tcBorders>
            <w:vAlign w:val="center"/>
          </w:tcPr>
          <w:p>
            <w:pPr>
              <w:pStyle w:val="2307"/>
              <w:spacing w:before="87" w:line="180" w:lineRule="auto"/>
              <w:ind w:firstLine="212"/>
              <w:rPr>
                <w:rFonts w:ascii="Times New Roman" w:eastAsia="宋体" w:cs="Microsoft JhengHei" w:hAnsi="Times New Roman" w:hint="eastAsia"/>
                <w:sz w:val="20"/>
                <w:szCs w:val="20"/>
                <w:lang w:bidi="ar-SA"/>
                <w:highlight w:val="auto"/>
              </w:rPr>
            </w:pPr>
            <w:r>
              <w:rPr>
                <w:rFonts w:ascii="Times New Roman" w:eastAsia="宋体" w:hAnsi="Times New Roman" w:hint="eastAsia"/>
                <w:sz w:val="20"/>
                <w:szCs w:val="20"/>
                <w:highlight w:val="auto"/>
              </w:rPr>
              <w:t>科目代码</w:t>
            </w:r>
          </w:p>
        </w:tc>
        <w:tc>
          <w:tcPr>
            <w:tcW w:w="3091" w:type="dxa"/>
            <w:tcBorders>
              <w:tl2br w:val="nil"/>
              <w:tr2bl w:val="nil"/>
            </w:tcBorders>
            <w:vAlign w:val="center"/>
          </w:tcPr>
          <w:p>
            <w:pPr>
              <w:pStyle w:val="2307"/>
              <w:spacing w:before="87" w:line="180" w:lineRule="auto"/>
              <w:jc w:val="center"/>
              <w:rPr>
                <w:rFonts w:ascii="Times New Roman" w:eastAsia="宋体" w:cs="Microsoft JhengHei" w:hAnsi="Times New Roman" w:hint="eastAsia"/>
                <w:sz w:val="20"/>
                <w:szCs w:val="20"/>
                <w:lang w:bidi="ar-SA"/>
                <w:highlight w:val="auto"/>
              </w:rPr>
            </w:pPr>
            <w:r>
              <w:rPr>
                <w:rFonts w:ascii="Times New Roman" w:eastAsia="宋体" w:hAnsi="Times New Roman" w:hint="eastAsia"/>
                <w:sz w:val="20"/>
                <w:szCs w:val="20"/>
                <w:highlight w:val="auto"/>
              </w:rPr>
              <w:t>科目名称</w:t>
            </w:r>
          </w:p>
        </w:tc>
        <w:tc>
          <w:tcPr>
            <w:tcW w:w="1271" w:type="dxa"/>
            <w:tcBorders>
              <w:tl2br w:val="nil"/>
              <w:tr2bl w:val="nil"/>
            </w:tcBorders>
            <w:vAlign w:val="center"/>
          </w:tcPr>
          <w:p>
            <w:pPr>
              <w:pStyle w:val="2307"/>
              <w:spacing w:before="87" w:line="180" w:lineRule="auto"/>
              <w:ind w:firstLine="337"/>
              <w:rPr>
                <w:rFonts w:ascii="Times New Roman" w:eastAsia="宋体" w:cs="Microsoft JhengHei" w:hAnsi="Times New Roman" w:hint="eastAsia"/>
                <w:sz w:val="20"/>
                <w:szCs w:val="20"/>
                <w:lang w:bidi="ar-SA"/>
                <w:highlight w:val="auto"/>
              </w:rPr>
            </w:pPr>
            <w:r>
              <w:rPr>
                <w:rFonts w:ascii="Times New Roman" w:eastAsia="宋体" w:hAnsi="Times New Roman" w:hint="eastAsia"/>
                <w:sz w:val="20"/>
                <w:szCs w:val="20"/>
                <w:highlight w:val="auto"/>
              </w:rPr>
              <w:t>合计</w:t>
            </w:r>
          </w:p>
        </w:tc>
        <w:tc>
          <w:tcPr>
            <w:tcW w:w="1334" w:type="dxa"/>
            <w:tcBorders>
              <w:tl2br w:val="nil"/>
              <w:tr2bl w:val="nil"/>
            </w:tcBorders>
            <w:vAlign w:val="center"/>
          </w:tcPr>
          <w:p>
            <w:pPr>
              <w:pStyle w:val="2307"/>
              <w:spacing w:before="87" w:line="180" w:lineRule="auto"/>
              <w:ind w:firstLine="267"/>
              <w:rPr>
                <w:rFonts w:ascii="Times New Roman" w:eastAsia="宋体" w:cs="Microsoft JhengHei" w:hAnsi="Times New Roman" w:hint="eastAsia"/>
                <w:sz w:val="20"/>
                <w:szCs w:val="20"/>
                <w:lang w:bidi="ar-SA"/>
                <w:highlight w:val="auto"/>
              </w:rPr>
            </w:pPr>
            <w:r>
              <w:rPr>
                <w:rFonts w:ascii="Times New Roman" w:eastAsia="宋体" w:hAnsi="Times New Roman" w:hint="eastAsia"/>
                <w:sz w:val="20"/>
                <w:szCs w:val="20"/>
                <w:highlight w:val="auto"/>
              </w:rPr>
              <w:t>基本支出</w:t>
            </w:r>
          </w:p>
        </w:tc>
        <w:tc>
          <w:tcPr>
            <w:tcW w:w="1184" w:type="dxa"/>
            <w:tcBorders>
              <w:tl2br w:val="nil"/>
              <w:tr2bl w:val="nil"/>
            </w:tcBorders>
            <w:vAlign w:val="center"/>
          </w:tcPr>
          <w:p>
            <w:pPr>
              <w:pStyle w:val="2307"/>
              <w:spacing w:before="87" w:line="180" w:lineRule="auto"/>
              <w:ind w:firstLine="195"/>
              <w:rPr>
                <w:rFonts w:ascii="Times New Roman" w:eastAsia="宋体" w:cs="Microsoft JhengHei" w:hAnsi="Times New Roman" w:hint="eastAsia"/>
                <w:sz w:val="20"/>
                <w:szCs w:val="20"/>
                <w:lang w:bidi="ar-SA"/>
                <w:highlight w:val="auto"/>
              </w:rPr>
            </w:pPr>
            <w:r>
              <w:rPr>
                <w:rFonts w:ascii="Times New Roman" w:eastAsia="宋体" w:hAnsi="Times New Roman" w:hint="eastAsia"/>
                <w:sz w:val="20"/>
                <w:szCs w:val="20"/>
                <w:highlight w:val="auto"/>
              </w:rPr>
              <w:t>项目支出</w:t>
            </w:r>
          </w:p>
        </w:tc>
        <w:tc>
          <w:tcPr>
            <w:tcW w:w="916" w:type="dxa"/>
            <w:tcBorders>
              <w:tl2br w:val="nil"/>
              <w:tr2bl w:val="nil"/>
            </w:tcBorders>
            <w:vAlign w:val="center"/>
          </w:tcPr>
          <w:p>
            <w:pPr>
              <w:pStyle w:val="2307"/>
              <w:jc w:val="center"/>
              <w:rPr>
                <w:rFonts w:ascii="Times New Roman" w:eastAsia="宋体" w:cs="Microsoft JhengHei" w:hAnsi="Times New Roman" w:hint="eastAsia"/>
                <w:sz w:val="20"/>
                <w:szCs w:val="20"/>
                <w:lang w:bidi="ar-SA"/>
                <w:highlight w:val="auto"/>
              </w:rPr>
            </w:pPr>
            <w:r>
              <w:rPr>
                <w:rFonts w:ascii="Times New Roman" w:eastAsia="宋体" w:hAnsi="Times New Roman" w:hint="eastAsia"/>
                <w:sz w:val="20"/>
                <w:szCs w:val="20"/>
                <w:highlight w:val="auto"/>
              </w:rPr>
              <w:t>上缴上级支出</w:t>
            </w:r>
          </w:p>
        </w:tc>
        <w:tc>
          <w:tcPr>
            <w:tcW w:w="970" w:type="dxa"/>
            <w:tcBorders>
              <w:tl2br w:val="nil"/>
              <w:tr2bl w:val="nil"/>
            </w:tcBorders>
            <w:vAlign w:val="center"/>
          </w:tcPr>
          <w:p>
            <w:pPr>
              <w:pStyle w:val="2307"/>
              <w:jc w:val="center"/>
              <w:rPr>
                <w:rFonts w:ascii="Times New Roman" w:eastAsia="宋体" w:cs="Microsoft JhengHei" w:hAnsi="Times New Roman" w:hint="eastAsia"/>
                <w:sz w:val="20"/>
                <w:szCs w:val="20"/>
                <w:lang w:bidi="ar-SA"/>
                <w:highlight w:val="auto"/>
              </w:rPr>
            </w:pPr>
            <w:r>
              <w:rPr>
                <w:rFonts w:ascii="Times New Roman" w:eastAsia="宋体" w:hAnsi="Times New Roman" w:hint="eastAsia"/>
                <w:sz w:val="20"/>
                <w:szCs w:val="20"/>
                <w:highlight w:val="auto"/>
              </w:rPr>
              <w:t>事业单位经营支出</w:t>
            </w:r>
          </w:p>
        </w:tc>
        <w:tc>
          <w:tcPr>
            <w:tcW w:w="1038" w:type="dxa"/>
            <w:tcBorders>
              <w:tl2br w:val="nil"/>
              <w:tr2bl w:val="nil"/>
            </w:tcBorders>
            <w:vAlign w:val="center"/>
          </w:tcPr>
          <w:p>
            <w:pPr>
              <w:pStyle w:val="2307"/>
              <w:jc w:val="center"/>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z w:val="20"/>
                <w:szCs w:val="20"/>
                <w:lang w:bidi="ar-SA"/>
                <w:highlight w:val="auto"/>
              </w:rPr>
              <w:t>对附属单位补助支出</w:t>
            </w: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18"/>
                <w:szCs w:val="18"/>
                <w:highlight w:val="auto"/>
              </w:rPr>
            </w:pPr>
            <w:r>
              <w:rPr>
                <w:rFonts w:ascii="Times New Roman" w:eastAsia="宋体" w:hAnsi="Times New Roman" w:hint="eastAsia"/>
                <w:b/>
                <w:sz w:val="18"/>
                <w:szCs w:val="18"/>
                <w:highlight w:val="auto"/>
              </w:rPr>
              <w:t>20899</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其他社会保障和就业支出</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7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38"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18"/>
                <w:szCs w:val="18"/>
                <w:highlight w:val="auto"/>
              </w:rPr>
            </w:pPr>
            <w:r>
              <w:rPr>
                <w:rFonts w:ascii="Times New Roman" w:eastAsia="宋体" w:hAnsi="Times New Roman" w:hint="eastAsia"/>
                <w:sz w:val="18"/>
                <w:szCs w:val="18"/>
                <w:highlight w:val="auto"/>
              </w:rPr>
              <w:t>2089999</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其他社会保障和就业支出</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7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38"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18"/>
                <w:szCs w:val="18"/>
                <w:highlight w:val="auto"/>
              </w:rPr>
            </w:pPr>
            <w:r>
              <w:rPr>
                <w:rFonts w:ascii="Times New Roman" w:eastAsia="宋体" w:hAnsi="Times New Roman" w:hint="eastAsia"/>
                <w:b/>
                <w:sz w:val="18"/>
                <w:szCs w:val="18"/>
                <w:highlight w:val="auto"/>
              </w:rPr>
              <w:t>210</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卫生健康支出</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18.70</w:t>
            </w:r>
          </w:p>
        </w:tc>
        <w:tc>
          <w:tcPr>
            <w:tcW w:w="1334" w:type="dxa"/>
            <w:tcBorders>
              <w:tl2br w:val="nil"/>
              <w:tr2bl w:val="nil"/>
            </w:tcBorders>
            <w:vAlign w:val="center"/>
          </w:tcPr>
          <w:p>
            <w:pPr>
              <w:pStyle w:val="3320"/>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18.70</w:t>
            </w: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7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38"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79"/>
        </w:trPr>
        <w:tc>
          <w:tcPr>
            <w:tcW w:w="1221" w:type="dxa"/>
            <w:tcBorders>
              <w:tl2br w:val="nil"/>
              <w:tr2bl w:val="nil"/>
            </w:tcBorders>
            <w:vAlign w:val="center"/>
          </w:tcPr>
          <w:p>
            <w:pPr>
              <w:pStyle w:val="2307"/>
              <w:ind w:leftChars="100" w:left="210"/>
              <w:rPr>
                <w:rFonts w:ascii="Times New Roman" w:eastAsia="宋体" w:hAnsi="Times New Roman" w:hint="eastAsia"/>
                <w:b/>
                <w:sz w:val="18"/>
                <w:szCs w:val="18"/>
                <w:highlight w:val="auto"/>
              </w:rPr>
            </w:pPr>
            <w:r>
              <w:rPr>
                <w:rFonts w:ascii="Times New Roman" w:eastAsia="宋体" w:hAnsi="Times New Roman" w:hint="eastAsia"/>
                <w:b/>
                <w:sz w:val="18"/>
                <w:szCs w:val="18"/>
                <w:highlight w:val="auto"/>
              </w:rPr>
              <w:t>21011</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行政事业单位医疗</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18.70</w:t>
            </w:r>
          </w:p>
        </w:tc>
        <w:tc>
          <w:tcPr>
            <w:tcW w:w="1334" w:type="dxa"/>
            <w:tcBorders>
              <w:tl2br w:val="nil"/>
              <w:tr2bl w:val="nil"/>
            </w:tcBorders>
            <w:vAlign w:val="center"/>
          </w:tcPr>
          <w:p>
            <w:pPr>
              <w:pStyle w:val="3321"/>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18.70</w:t>
            </w: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7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38"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18"/>
                <w:szCs w:val="18"/>
                <w:highlight w:val="auto"/>
              </w:rPr>
            </w:pPr>
            <w:r>
              <w:rPr>
                <w:rFonts w:ascii="Times New Roman" w:eastAsia="宋体" w:hAnsi="Times New Roman" w:hint="eastAsia"/>
                <w:sz w:val="18"/>
                <w:szCs w:val="18"/>
                <w:highlight w:val="auto"/>
              </w:rPr>
              <w:t>2101101</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行政单位医疗</w:t>
            </w:r>
          </w:p>
        </w:tc>
        <w:tc>
          <w:tcPr>
            <w:tcW w:w="1271" w:type="dxa"/>
            <w:tcBorders>
              <w:tl2br w:val="nil"/>
              <w:tr2bl w:val="nil"/>
            </w:tcBorders>
            <w:vAlign w:val="center"/>
          </w:tcPr>
          <w:p>
            <w:pPr>
              <w:jc w:val="right"/>
            </w:pPr>
            <w:r>
              <w:rPr>
                <w:rFonts w:ascii="Times New Roman" w:eastAsia="宋体" w:cs="Times New Roman" w:hAnsi="Times New Roman"/>
                <w:sz w:val="20"/>
                <w:szCs w:val="20"/>
                <w:lang w:bidi="ar-SA"/>
                <w:highlight w:val="auto"/>
              </w:rPr>
              <w:t>18.28</w:t>
            </w:r>
          </w:p>
        </w:tc>
        <w:tc>
          <w:tcPr>
            <w:tcW w:w="1334" w:type="dxa"/>
            <w:tcBorders>
              <w:tl2br w:val="nil"/>
              <w:tr2bl w:val="nil"/>
            </w:tcBorders>
            <w:vAlign w:val="center"/>
          </w:tcPr>
          <w:p>
            <w:pPr>
              <w:jc w:val="right"/>
            </w:pPr>
            <w:r>
              <w:rPr>
                <w:rFonts w:ascii="Times New Roman" w:eastAsia="宋体" w:cs="Times New Roman" w:hAnsi="Times New Roman"/>
                <w:sz w:val="20"/>
                <w:szCs w:val="20"/>
                <w:lang w:bidi="ar-SA"/>
                <w:highlight w:val="auto"/>
              </w:rPr>
              <w:t>18.28</w:t>
            </w: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7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38"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90"/>
        </w:trPr>
        <w:tc>
          <w:tcPr>
            <w:tcW w:w="1221" w:type="dxa"/>
            <w:tcBorders>
              <w:tl2br w:val="nil"/>
              <w:tr2bl w:val="nil"/>
            </w:tcBorders>
            <w:vAlign w:val="center"/>
          </w:tcPr>
          <w:p>
            <w:pPr>
              <w:pStyle w:val="2307"/>
              <w:ind w:leftChars="100" w:left="210"/>
              <w:rPr>
                <w:rFonts w:ascii="Times New Roman" w:eastAsia="宋体" w:hAnsi="Times New Roman" w:hint="eastAsia"/>
                <w:sz w:val="18"/>
                <w:szCs w:val="18"/>
                <w:highlight w:val="auto"/>
              </w:rPr>
            </w:pPr>
            <w:r>
              <w:rPr>
                <w:rFonts w:ascii="Times New Roman" w:eastAsia="宋体" w:hAnsi="Times New Roman" w:hint="eastAsia"/>
                <w:sz w:val="18"/>
                <w:szCs w:val="18"/>
                <w:highlight w:val="auto"/>
              </w:rPr>
              <w:t>2101102</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事业单位医疗</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3322"/>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7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38"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18"/>
                <w:szCs w:val="18"/>
                <w:highlight w:val="auto"/>
              </w:rPr>
            </w:pPr>
            <w:r>
              <w:rPr>
                <w:rFonts w:ascii="Times New Roman" w:eastAsia="宋体" w:hAnsi="Times New Roman" w:hint="eastAsia"/>
                <w:sz w:val="18"/>
                <w:szCs w:val="18"/>
                <w:highlight w:val="auto"/>
              </w:rPr>
              <w:t>2101103</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公务员医疗补助</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3323"/>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7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38"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79"/>
        </w:trPr>
        <w:tc>
          <w:tcPr>
            <w:tcW w:w="1221" w:type="dxa"/>
            <w:tcBorders>
              <w:tl2br w:val="nil"/>
              <w:tr2bl w:val="nil"/>
            </w:tcBorders>
            <w:vAlign w:val="center"/>
          </w:tcPr>
          <w:p>
            <w:pPr>
              <w:pStyle w:val="3133"/>
              <w:widowControl/>
              <w:ind w:firstLineChars="100" w:firstLine="180"/>
              <w:rPr>
                <w:rFonts w:ascii="Times New Roman" w:eastAsia="宋体" w:cs="宋体" w:hAnsi="Times New Roman"/>
                <w:color w:val="000000"/>
                <w:kern w:val="0"/>
                <w:sz w:val="18"/>
                <w:szCs w:val="18"/>
              </w:rPr>
            </w:pPr>
            <w:r>
              <w:rPr>
                <w:rFonts w:ascii="Times New Roman" w:eastAsia="宋体" w:cs="宋体" w:hAnsi="Times New Roman" w:hint="eastAsia"/>
                <w:color w:val="000000"/>
                <w:kern w:val="0"/>
                <w:sz w:val="18"/>
                <w:szCs w:val="18"/>
              </w:rPr>
              <w:t>2101199</w:t>
            </w:r>
          </w:p>
        </w:tc>
        <w:tc>
          <w:tcPr>
            <w:tcW w:w="3091" w:type="dxa"/>
            <w:tcBorders>
              <w:tl2br w:val="nil"/>
              <w:tr2bl w:val="nil"/>
            </w:tcBorders>
            <w:vAlign w:val="center"/>
          </w:tcPr>
          <w:p>
            <w:pPr>
              <w:pStyle w:val="3134"/>
              <w:widowControl/>
              <w:ind w:firstLineChars="100" w:firstLine="200"/>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其他行政事业单位医疗支出</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0.42</w:t>
            </w:r>
          </w:p>
        </w:tc>
        <w:tc>
          <w:tcPr>
            <w:tcW w:w="1334" w:type="dxa"/>
            <w:tcBorders>
              <w:tl2br w:val="nil"/>
              <w:tr2bl w:val="nil"/>
            </w:tcBorders>
            <w:vAlign w:val="center"/>
          </w:tcPr>
          <w:p>
            <w:pPr>
              <w:pStyle w:val="3324"/>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0.42</w:t>
            </w: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7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38"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18"/>
                <w:szCs w:val="18"/>
                <w:highlight w:val="auto"/>
              </w:rPr>
            </w:pPr>
            <w:r>
              <w:rPr>
                <w:rFonts w:ascii="Times New Roman" w:eastAsia="宋体" w:hAnsi="Times New Roman" w:hint="eastAsia"/>
                <w:b/>
                <w:sz w:val="18"/>
                <w:szCs w:val="18"/>
                <w:highlight w:val="auto"/>
              </w:rPr>
              <w:t>221</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住房保障支出</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64.52</w:t>
            </w:r>
          </w:p>
        </w:tc>
        <w:tc>
          <w:tcPr>
            <w:tcW w:w="1334" w:type="dxa"/>
            <w:tcBorders>
              <w:tl2br w:val="nil"/>
              <w:tr2bl w:val="nil"/>
            </w:tcBorders>
            <w:vAlign w:val="center"/>
          </w:tcPr>
          <w:p>
            <w:pPr>
              <w:pStyle w:val="3325"/>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64.52</w:t>
            </w: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7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38"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18"/>
                <w:szCs w:val="18"/>
                <w:highlight w:val="auto"/>
              </w:rPr>
            </w:pPr>
            <w:r>
              <w:rPr>
                <w:rFonts w:ascii="Times New Roman" w:eastAsia="宋体" w:hAnsi="Times New Roman" w:hint="eastAsia"/>
                <w:b/>
                <w:sz w:val="18"/>
                <w:szCs w:val="18"/>
                <w:highlight w:val="auto"/>
              </w:rPr>
              <w:t>22102</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住房改革支出</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64.52</w:t>
            </w:r>
          </w:p>
        </w:tc>
        <w:tc>
          <w:tcPr>
            <w:tcW w:w="1334" w:type="dxa"/>
            <w:tcBorders>
              <w:tl2br w:val="nil"/>
              <w:tr2bl w:val="nil"/>
            </w:tcBorders>
            <w:vAlign w:val="center"/>
          </w:tcPr>
          <w:p>
            <w:pPr>
              <w:pStyle w:val="3326"/>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64.52</w:t>
            </w: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7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38"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18"/>
                <w:szCs w:val="18"/>
                <w:highlight w:val="auto"/>
              </w:rPr>
            </w:pPr>
            <w:r>
              <w:rPr>
                <w:rFonts w:ascii="Times New Roman" w:eastAsia="宋体" w:hAnsi="Times New Roman" w:hint="eastAsia"/>
                <w:sz w:val="18"/>
                <w:szCs w:val="18"/>
                <w:highlight w:val="auto"/>
              </w:rPr>
              <w:t>2210201</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住房公积金</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38.80</w:t>
            </w:r>
          </w:p>
        </w:tc>
        <w:tc>
          <w:tcPr>
            <w:tcW w:w="1334" w:type="dxa"/>
            <w:tcBorders>
              <w:tl2br w:val="nil"/>
              <w:tr2bl w:val="nil"/>
            </w:tcBorders>
            <w:vAlign w:val="center"/>
          </w:tcPr>
          <w:p>
            <w:pPr>
              <w:pStyle w:val="3327"/>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38.80</w:t>
            </w: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7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38"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18"/>
                <w:szCs w:val="18"/>
                <w:highlight w:val="auto"/>
              </w:rPr>
            </w:pPr>
            <w:r>
              <w:rPr>
                <w:rFonts w:ascii="Times New Roman" w:eastAsia="宋体" w:hAnsi="Times New Roman" w:hint="eastAsia"/>
                <w:sz w:val="18"/>
                <w:szCs w:val="18"/>
                <w:highlight w:val="auto"/>
              </w:rPr>
              <w:t>2210202</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提租补贴</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3328"/>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7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38"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18"/>
                <w:szCs w:val="18"/>
                <w:highlight w:val="auto"/>
              </w:rPr>
            </w:pPr>
            <w:r>
              <w:rPr>
                <w:rFonts w:ascii="Times New Roman" w:eastAsia="宋体" w:hAnsi="Times New Roman" w:hint="eastAsia"/>
                <w:sz w:val="18"/>
                <w:szCs w:val="18"/>
                <w:highlight w:val="auto"/>
              </w:rPr>
              <w:t>2210203</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购房补贴</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25.72</w:t>
            </w:r>
          </w:p>
        </w:tc>
        <w:tc>
          <w:tcPr>
            <w:tcW w:w="1334" w:type="dxa"/>
            <w:tcBorders>
              <w:tl2br w:val="nil"/>
              <w:tr2bl w:val="nil"/>
            </w:tcBorders>
            <w:vAlign w:val="center"/>
          </w:tcPr>
          <w:p>
            <w:pPr>
              <w:pStyle w:val="3329"/>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25.72</w:t>
            </w: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7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38"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4312" w:type="dxa"/>
            <w:gridSpan w:val="2"/>
            <w:tcBorders>
              <w:tl2br w:val="nil"/>
              <w:tr2bl w:val="nil"/>
            </w:tcBorders>
          </w:tcPr>
          <w:p>
            <w:pPr>
              <w:pStyle w:val="2307"/>
              <w:spacing w:before="51" w:line="185" w:lineRule="auto"/>
              <w:ind w:firstLine="1858"/>
              <w:rPr>
                <w:rFonts w:ascii="Times New Roman" w:eastAsia="宋体" w:cs="宋体" w:hAnsi="Times New Roman" w:hint="eastAsia"/>
                <w:sz w:val="20"/>
                <w:szCs w:val="20"/>
                <w:lang w:bidi="ar-SA"/>
                <w:highlight w:val="auto"/>
              </w:rPr>
            </w:pPr>
            <w:r>
              <w:rPr>
                <w:rFonts w:ascii="Times New Roman" w:eastAsia="宋体" w:cs="宋体" w:hAnsi="Times New Roman" w:hint="eastAsia"/>
                <w:spacing w:val="-5"/>
                <w:sz w:val="20"/>
                <w:szCs w:val="20"/>
                <w:lang w:bidi="ar-SA"/>
                <w:highlight w:val="auto"/>
              </w:rPr>
              <w:t>合</w:t>
            </w:r>
            <w:r>
              <w:rPr>
                <w:rFonts w:ascii="Times New Roman" w:eastAsia="宋体" w:cs="宋体" w:hAnsi="Times New Roman" w:hint="eastAsia"/>
                <w:spacing w:val="5"/>
                <w:sz w:val="20"/>
                <w:szCs w:val="20"/>
                <w:lang w:bidi="ar-SA"/>
                <w:highlight w:val="auto"/>
              </w:rPr>
              <w:t xml:space="preserve">  </w:t>
            </w:r>
            <w:r>
              <w:rPr>
                <w:rFonts w:ascii="Times New Roman" w:eastAsia="宋体" w:cs="宋体" w:hAnsi="Times New Roman" w:hint="eastAsia"/>
                <w:spacing w:val="-5"/>
                <w:sz w:val="20"/>
                <w:szCs w:val="20"/>
                <w:lang w:bidi="ar-SA"/>
                <w:highlight w:val="auto"/>
              </w:rPr>
              <w:t>计</w:t>
            </w:r>
          </w:p>
        </w:tc>
        <w:tc>
          <w:tcPr>
            <w:tcW w:w="1271" w:type="dxa"/>
            <w:tcBorders>
              <w:tl2br w:val="nil"/>
              <w:tr2bl w:val="nil"/>
            </w:tcBorders>
            <w:vAlign w:val="center"/>
          </w:tcPr>
          <w:p>
            <w:pPr>
              <w:pStyle w:val="2307"/>
              <w:jc w:val="right"/>
              <w:rPr>
                <w:rFonts w:ascii="Times New Roman" w:eastAsia="宋体" w:hAnsi="Times New Roman"/>
                <w:b/>
                <w:sz w:val="20"/>
                <w:szCs w:val="20"/>
                <w:highlight w:val="auto"/>
              </w:rPr>
            </w:pPr>
            <w:r>
              <w:rPr>
                <w:rFonts w:ascii="Times New Roman" w:eastAsia="宋体" w:hAnsi="Times New Roman"/>
                <w:b/>
                <w:sz w:val="20"/>
                <w:szCs w:val="20"/>
                <w:highlight w:val="auto"/>
              </w:rPr>
              <w:t>896.27</w:t>
            </w:r>
          </w:p>
        </w:tc>
        <w:tc>
          <w:tcPr>
            <w:tcW w:w="1334" w:type="dxa"/>
            <w:tcBorders>
              <w:tl2br w:val="nil"/>
              <w:tr2bl w:val="nil"/>
            </w:tcBorders>
            <w:vAlign w:val="center"/>
          </w:tcPr>
          <w:p>
            <w:pPr>
              <w:pStyle w:val="2307"/>
              <w:jc w:val="right"/>
              <w:rPr>
                <w:rFonts w:ascii="Times New Roman" w:eastAsia="宋体" w:hAnsi="Times New Roman"/>
                <w:b/>
                <w:sz w:val="20"/>
                <w:szCs w:val="20"/>
                <w:highlight w:val="auto"/>
              </w:rPr>
            </w:pPr>
            <w:r>
              <w:rPr>
                <w:rFonts w:ascii="Times New Roman" w:eastAsia="宋体" w:hAnsi="Times New Roman"/>
                <w:b/>
                <w:sz w:val="20"/>
                <w:szCs w:val="20"/>
                <w:highlight w:val="auto"/>
              </w:rPr>
              <w:t>802.89</w:t>
            </w:r>
          </w:p>
        </w:tc>
        <w:tc>
          <w:tcPr>
            <w:tcW w:w="1184" w:type="dxa"/>
            <w:tcBorders>
              <w:tl2br w:val="nil"/>
              <w:tr2bl w:val="nil"/>
            </w:tcBorders>
            <w:vAlign w:val="center"/>
          </w:tcPr>
          <w:p>
            <w:pPr>
              <w:pStyle w:val="3330"/>
              <w:jc w:val="right"/>
              <w:rPr>
                <w:rFonts w:ascii="Times New Roman" w:eastAsia="宋体" w:hAnsi="Times New Roman"/>
                <w:b/>
                <w:sz w:val="20"/>
                <w:szCs w:val="20"/>
                <w:highlight w:val="auto"/>
              </w:rPr>
            </w:pPr>
            <w:r>
              <w:rPr>
                <w:rFonts w:ascii="Times New Roman" w:eastAsia="宋体" w:hAnsi="Times New Roman"/>
                <w:b/>
                <w:sz w:val="20"/>
                <w:szCs w:val="20"/>
                <w:highlight w:val="auto"/>
              </w:rPr>
              <w:t>93.38</w:t>
            </w:r>
          </w:p>
        </w:tc>
        <w:tc>
          <w:tcPr>
            <w:tcW w:w="916" w:type="dxa"/>
            <w:tcBorders>
              <w:tl2br w:val="nil"/>
              <w:tr2bl w:val="nil"/>
            </w:tcBorders>
            <w:vAlign w:val="center"/>
          </w:tcPr>
          <w:p>
            <w:pPr>
              <w:pStyle w:val="2307"/>
              <w:jc w:val="right"/>
              <w:rPr>
                <w:rFonts w:ascii="Times New Roman" w:eastAsia="宋体" w:hAnsi="Times New Roman"/>
                <w:b/>
                <w:sz w:val="20"/>
                <w:szCs w:val="20"/>
                <w:highlight w:val="auto"/>
              </w:rPr>
            </w:pPr>
          </w:p>
        </w:tc>
        <w:tc>
          <w:tcPr>
            <w:tcW w:w="970" w:type="dxa"/>
            <w:tcBorders>
              <w:tl2br w:val="nil"/>
              <w:tr2bl w:val="nil"/>
            </w:tcBorders>
            <w:vAlign w:val="center"/>
          </w:tcPr>
          <w:p>
            <w:pPr>
              <w:pStyle w:val="2307"/>
              <w:jc w:val="right"/>
              <w:rPr>
                <w:rFonts w:ascii="Times New Roman" w:eastAsia="宋体" w:hAnsi="Times New Roman"/>
                <w:b/>
                <w:sz w:val="20"/>
                <w:szCs w:val="20"/>
                <w:highlight w:val="auto"/>
              </w:rPr>
            </w:pPr>
          </w:p>
        </w:tc>
        <w:tc>
          <w:tcPr>
            <w:tcW w:w="1038" w:type="dxa"/>
            <w:tcBorders>
              <w:tl2br w:val="nil"/>
              <w:tr2bl w:val="nil"/>
            </w:tcBorders>
            <w:vAlign w:val="center"/>
          </w:tcPr>
          <w:p>
            <w:pPr>
              <w:pStyle w:val="2307"/>
              <w:jc w:val="right"/>
              <w:rPr>
                <w:rFonts w:ascii="Times New Roman" w:eastAsia="宋体" w:hAnsi="Times New Roman"/>
                <w:b/>
                <w:sz w:val="20"/>
                <w:szCs w:val="20"/>
                <w:highlight w:val="auto"/>
              </w:rPr>
            </w:pPr>
          </w:p>
        </w:tc>
      </w:tr>
    </w:tbl>
    <w:p>
      <w:pPr>
        <w:pStyle w:val="2307"/>
        <w:rPr>
          <w:rFonts w:ascii="Times New Roman" w:eastAsia="宋体" w:hAnsi="Times New Roman"/>
          <w:highlight w:val="auto"/>
        </w:rPr>
      </w:pPr>
    </w:p>
    <w:p>
      <w:pPr>
        <w:pStyle w:val="2307"/>
        <w:rPr>
          <w:rFonts w:ascii="Times New Roman" w:eastAsia="宋体" w:hAnsi="Times New Roman"/>
          <w:highlight w:val="auto"/>
        </w:rPr>
        <w:sectPr>
          <w:pgSz w:w="11907" w:h="16841"/>
          <w:pgMar w:top="1431" w:right="451" w:bottom="0" w:left="451" w:header="0" w:footer="0" w:gutter="0"/>
          <w:pgNumType/>
          <w:docGrid w:linePitch="285" w:charSpace="0"/>
        </w:sectPr>
      </w:pPr>
    </w:p>
    <w:p>
      <w:pPr>
        <w:jc w:val="right"/>
        <w:rPr>
          <w:rFonts w:ascii="黑体" w:eastAsia="黑体" w:cs="黑体"/>
          <w:snapToGrid w:val="0"/>
          <w:sz w:val="20"/>
          <w:szCs w:val="20"/>
          <w:lang w:bidi="ar-SA"/>
          <w:highlight w:val="auto"/>
        </w:rPr>
      </w:pPr>
    </w:p>
    <w:p>
      <w:pPr>
        <w:jc w:val="right"/>
        <w:rPr>
          <w:rFonts w:ascii="黑体" w:eastAsia="黑体" w:cs="黑体" w:hint="eastAsia"/>
          <w:snapToGrid w:val="0"/>
          <w:sz w:val="20"/>
          <w:szCs w:val="20"/>
          <w:lang w:bidi="ar-SA"/>
          <w:highlight w:val="auto"/>
        </w:rPr>
      </w:pPr>
      <w:r>
        <w:rPr>
          <w:rFonts w:ascii="黑体" w:eastAsia="黑体" w:cs="黑体" w:hint="eastAsia"/>
          <w:snapToGrid w:val="0"/>
          <w:sz w:val="20"/>
          <w:szCs w:val="20"/>
          <w:lang w:bidi="ar-SA"/>
          <w:highlight w:val="auto"/>
        </w:rPr>
        <w:t>部门公开表 4</w:t>
      </w:r>
    </w:p>
    <w:p>
      <w:pPr>
        <w:jc w:val="center"/>
        <w:rPr>
          <w:rFonts w:cs="Microsoft JhengHei" w:hint="eastAsia"/>
          <w:sz w:val="40"/>
          <w:szCs w:val="40"/>
          <w:lang w:bidi="ar-SA"/>
          <w:highlight w:val="auto"/>
        </w:rPr>
      </w:pPr>
      <w:r>
        <w:rPr>
          <w:rFonts w:cs="Microsoft JhengHei" w:hint="eastAsia"/>
          <w:b/>
          <w:snapToGrid w:val="0"/>
          <w:color w:val="000000"/>
          <w:sz w:val="36"/>
          <w:szCs w:val="36"/>
          <w:lang w:bidi="ar-SA"/>
          <w:highlight w:val="auto"/>
        </w:rPr>
        <w:t>财政拨款收支总表</w:t>
      </w:r>
    </w:p>
    <w:p>
      <w:pPr>
        <w:pStyle w:val="2308"/>
        <w:spacing w:before="49" w:line="180" w:lineRule="auto"/>
        <w:ind w:firstLine="12990"/>
        <w:jc w:val="right"/>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3"/>
          <w:sz w:val="20"/>
          <w:szCs w:val="20"/>
          <w:lang w:bidi="ar-SA"/>
          <w:highlight w:val="auto"/>
        </w:rPr>
        <w:t>单位：万元</w:t>
      </w:r>
    </w:p>
    <w:p>
      <w:pPr>
        <w:pStyle w:val="2308"/>
        <w:spacing w:line="48" w:lineRule="auto"/>
        <w:rPr>
          <w:rFonts w:ascii="Times New Roman" w:eastAsia="宋体" w:hAnsi="Times New Roman"/>
          <w:sz w:val="2"/>
          <w:highlight w:val="auto"/>
        </w:rPr>
      </w:pPr>
    </w:p>
    <w:tbl>
      <w:tblPr>
        <w:tblpPr w:leftFromText="180" w:rightFromText="180" w:vertAnchor="text" w:horzAnchor="page" w:tblpX="1316" w:tblpY="23"/>
        <w:tblOverlap w:val="never"/>
        <w:tblW w:w="14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4055"/>
        <w:gridCol w:w="3081"/>
        <w:gridCol w:w="4225"/>
        <w:gridCol w:w="2822"/>
      </w:tblGrid>
      <w:tr>
        <w:trPr>
          <w:trHeight w:val="507"/>
        </w:trPr>
        <w:tc>
          <w:tcPr>
            <w:tcW w:w="7136" w:type="dxa"/>
            <w:gridSpan w:val="2"/>
            <w:tcBorders>
              <w:tl2br w:val="nil"/>
              <w:tr2bl w:val="nil"/>
            </w:tcBorders>
            <w:vAlign w:val="center"/>
          </w:tcPr>
          <w:p>
            <w:pPr>
              <w:pStyle w:val="2308"/>
              <w:jc w:val="center"/>
              <w:rPr>
                <w:rFonts w:ascii="Times New Roman" w:eastAsia="宋体" w:hAnsi="Times New Roman"/>
                <w:sz w:val="24"/>
                <w:szCs w:val="24"/>
                <w:highlight w:val="auto"/>
              </w:rPr>
            </w:pPr>
            <w:r>
              <w:rPr>
                <w:rFonts w:ascii="Times New Roman" w:eastAsia="宋体" w:hAnsi="Times New Roman"/>
                <w:sz w:val="24"/>
                <w:szCs w:val="24"/>
                <w:highlight w:val="auto"/>
              </w:rPr>
              <w:t>收             入</w:t>
            </w:r>
          </w:p>
        </w:tc>
        <w:tc>
          <w:tcPr>
            <w:tcW w:w="7047" w:type="dxa"/>
            <w:gridSpan w:val="2"/>
            <w:tcBorders>
              <w:tl2br w:val="nil"/>
              <w:tr2bl w:val="nil"/>
            </w:tcBorders>
            <w:vAlign w:val="center"/>
          </w:tcPr>
          <w:p>
            <w:pPr>
              <w:pStyle w:val="2309"/>
              <w:jc w:val="center"/>
              <w:rPr>
                <w:rFonts w:ascii="Times New Roman" w:eastAsia="宋体" w:hAnsi="Times New Roman"/>
                <w:sz w:val="24"/>
                <w:szCs w:val="24"/>
                <w:highlight w:val="auto"/>
              </w:rPr>
            </w:pPr>
            <w:r>
              <w:rPr>
                <w:rFonts w:ascii="Times New Roman" w:eastAsia="宋体" w:hAnsi="Times New Roman"/>
                <w:sz w:val="24"/>
                <w:szCs w:val="24"/>
                <w:highlight w:val="auto"/>
              </w:rPr>
              <w:t>支        出</w:t>
            </w:r>
          </w:p>
        </w:tc>
      </w:tr>
      <w:tr>
        <w:trPr>
          <w:trHeight w:val="498"/>
        </w:trPr>
        <w:tc>
          <w:tcPr>
            <w:tcW w:w="4055" w:type="dxa"/>
            <w:tcBorders>
              <w:tl2br w:val="nil"/>
              <w:tr2bl w:val="nil"/>
            </w:tcBorders>
            <w:vAlign w:val="center"/>
          </w:tcPr>
          <w:p>
            <w:pPr>
              <w:pStyle w:val="2308"/>
              <w:spacing w:before="39" w:line="182" w:lineRule="auto"/>
              <w:ind w:firstLine="2103"/>
              <w:jc w:val="both"/>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3"/>
                <w:sz w:val="24"/>
                <w:szCs w:val="24"/>
                <w:lang w:bidi="ar-SA"/>
                <w:highlight w:val="auto"/>
              </w:rPr>
              <w:t>项目</w:t>
            </w:r>
          </w:p>
        </w:tc>
        <w:tc>
          <w:tcPr>
            <w:tcW w:w="3081" w:type="dxa"/>
            <w:tcBorders>
              <w:tl2br w:val="nil"/>
              <w:tr2bl w:val="nil"/>
            </w:tcBorders>
            <w:vAlign w:val="center"/>
          </w:tcPr>
          <w:p>
            <w:pPr>
              <w:pStyle w:val="2308"/>
              <w:spacing w:before="39" w:line="182" w:lineRule="auto"/>
              <w:ind w:firstLine="991"/>
              <w:jc w:val="both"/>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预算数</w:t>
            </w:r>
          </w:p>
        </w:tc>
        <w:tc>
          <w:tcPr>
            <w:tcW w:w="4225" w:type="dxa"/>
            <w:tcBorders>
              <w:tl2br w:val="nil"/>
              <w:tr2bl w:val="nil"/>
            </w:tcBorders>
            <w:vAlign w:val="center"/>
          </w:tcPr>
          <w:p>
            <w:pPr>
              <w:pStyle w:val="2308"/>
              <w:spacing w:before="39" w:line="182" w:lineRule="auto"/>
              <w:ind w:firstLine="1618"/>
              <w:jc w:val="both"/>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3"/>
                <w:sz w:val="24"/>
                <w:szCs w:val="24"/>
                <w:lang w:bidi="ar-SA"/>
                <w:highlight w:val="auto"/>
              </w:rPr>
              <w:t>项目</w:t>
            </w:r>
          </w:p>
        </w:tc>
        <w:tc>
          <w:tcPr>
            <w:tcW w:w="2822" w:type="dxa"/>
            <w:tcBorders>
              <w:tl2br w:val="nil"/>
              <w:tr2bl w:val="nil"/>
            </w:tcBorders>
            <w:vAlign w:val="center"/>
          </w:tcPr>
          <w:p>
            <w:pPr>
              <w:pStyle w:val="2308"/>
              <w:spacing w:before="39" w:line="182" w:lineRule="auto"/>
              <w:ind w:firstLine="436"/>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预算数</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一、本年收入</w:t>
            </w:r>
          </w:p>
        </w:tc>
        <w:tc>
          <w:tcPr>
            <w:tcW w:w="3081"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r>
              <w:rPr>
                <w:rFonts w:ascii="Times New Roman" w:eastAsia="宋体" w:cs="Times New Roman" w:hAnsi="Times New Roman"/>
                <w:sz w:val="24"/>
                <w:szCs w:val="24"/>
                <w:lang w:bidi="ar-SA"/>
                <w:highlight w:val="auto"/>
              </w:rPr>
              <w:t>669.16</w:t>
            </w:r>
          </w:p>
        </w:tc>
        <w:tc>
          <w:tcPr>
            <w:tcW w:w="422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一、本年支出</w:t>
            </w:r>
          </w:p>
        </w:tc>
        <w:tc>
          <w:tcPr>
            <w:tcW w:w="2822" w:type="dxa"/>
            <w:tcBorders>
              <w:tl2br w:val="nil"/>
              <w:tr2bl w:val="nil"/>
            </w:tcBorders>
            <w:vAlign w:val="center"/>
          </w:tcPr>
          <w:p>
            <w:pPr>
              <w:pStyle w:val="2311"/>
              <w:jc w:val="right"/>
              <w:rPr>
                <w:rFonts w:ascii="Times New Roman" w:eastAsia="宋体" w:cs="Times New Roman" w:hAnsi="Times New Roman"/>
                <w:sz w:val="24"/>
                <w:szCs w:val="24"/>
                <w:lang w:bidi="ar-SA"/>
                <w:highlight w:val="auto"/>
              </w:rPr>
            </w:pPr>
            <w:r>
              <w:rPr>
                <w:rFonts w:ascii="Times New Roman" w:eastAsia="宋体" w:cs="Times New Roman" w:hAnsi="Times New Roman"/>
                <w:sz w:val="24"/>
                <w:szCs w:val="24"/>
                <w:lang w:bidi="ar-SA"/>
                <w:highlight w:val="auto"/>
              </w:rPr>
              <w:t>670.72</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（一）一般公共预算财政拨款</w:t>
            </w:r>
          </w:p>
        </w:tc>
        <w:tc>
          <w:tcPr>
            <w:tcW w:w="3081"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r>
              <w:rPr>
                <w:rFonts w:ascii="Times New Roman" w:eastAsia="宋体" w:cs="Times New Roman" w:hAnsi="Times New Roman"/>
                <w:sz w:val="24"/>
                <w:szCs w:val="24"/>
                <w:lang w:bidi="ar-SA"/>
                <w:highlight w:val="auto"/>
              </w:rPr>
              <w:t>669.16</w:t>
            </w:r>
          </w:p>
        </w:tc>
        <w:tc>
          <w:tcPr>
            <w:tcW w:w="422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（一）一般公共服务支出</w:t>
            </w:r>
          </w:p>
        </w:tc>
        <w:tc>
          <w:tcPr>
            <w:tcW w:w="2822" w:type="dxa"/>
            <w:tcBorders>
              <w:tl2br w:val="nil"/>
              <w:tr2bl w:val="nil"/>
            </w:tcBorders>
            <w:vAlign w:val="center"/>
          </w:tcPr>
          <w:p>
            <w:pPr>
              <w:pStyle w:val="2312"/>
              <w:jc w:val="right"/>
              <w:rPr>
                <w:rFonts w:ascii="Times New Roman" w:eastAsia="宋体" w:cs="Times New Roman" w:hAnsi="Times New Roman"/>
                <w:sz w:val="24"/>
                <w:szCs w:val="24"/>
                <w:lang w:bidi="ar-SA"/>
                <w:highlight w:val="auto"/>
              </w:rPr>
            </w:pPr>
            <w:r>
              <w:rPr>
                <w:rFonts w:ascii="Times New Roman" w:eastAsia="宋体" w:cs="Times New Roman" w:hAnsi="Times New Roman"/>
                <w:sz w:val="24"/>
                <w:szCs w:val="24"/>
                <w:lang w:bidi="ar-SA"/>
                <w:highlight w:val="auto"/>
              </w:rPr>
              <w:t>525.43</w:t>
            </w:r>
          </w:p>
        </w:tc>
      </w:tr>
      <w:tr>
        <w:trPr>
          <w:trHeight w:val="499"/>
        </w:trPr>
        <w:tc>
          <w:tcPr>
            <w:tcW w:w="405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（二）政府性基金预算财政拨款</w:t>
            </w:r>
          </w:p>
        </w:tc>
        <w:tc>
          <w:tcPr>
            <w:tcW w:w="3081"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p>
        </w:tc>
        <w:tc>
          <w:tcPr>
            <w:tcW w:w="422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（二）外交支出</w:t>
            </w:r>
          </w:p>
        </w:tc>
        <w:tc>
          <w:tcPr>
            <w:tcW w:w="2822" w:type="dxa"/>
            <w:tcBorders>
              <w:tl2br w:val="nil"/>
              <w:tr2bl w:val="nil"/>
            </w:tcBorders>
            <w:vAlign w:val="center"/>
          </w:tcPr>
          <w:p>
            <w:pPr>
              <w:pStyle w:val="2313"/>
              <w:jc w:val="right"/>
              <w:rPr>
                <w:rFonts w:ascii="Times New Roman" w:eastAsia="宋体" w:cs="Times New Roman" w:hAnsi="Times New Roman"/>
                <w:sz w:val="24"/>
                <w:szCs w:val="24"/>
                <w:lang w:bidi="ar-SA"/>
                <w:highlight w:val="auto"/>
              </w:rPr>
            </w:pP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（三）国有资本经营预算拨款</w:t>
            </w:r>
          </w:p>
        </w:tc>
        <w:tc>
          <w:tcPr>
            <w:tcW w:w="3081"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p>
        </w:tc>
        <w:tc>
          <w:tcPr>
            <w:tcW w:w="422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（三）公共安全支出</w:t>
            </w:r>
          </w:p>
        </w:tc>
        <w:tc>
          <w:tcPr>
            <w:tcW w:w="2822" w:type="dxa"/>
            <w:tcBorders>
              <w:tl2br w:val="nil"/>
              <w:tr2bl w:val="nil"/>
            </w:tcBorders>
            <w:vAlign w:val="center"/>
          </w:tcPr>
          <w:p>
            <w:pPr>
              <w:pStyle w:val="2314"/>
              <w:jc w:val="right"/>
              <w:rPr>
                <w:rFonts w:ascii="Times New Roman" w:eastAsia="宋体" w:cs="Times New Roman" w:hAnsi="Times New Roman"/>
                <w:sz w:val="24"/>
                <w:szCs w:val="24"/>
                <w:lang w:bidi="ar-SA"/>
                <w:highlight w:val="auto"/>
              </w:rPr>
            </w:pPr>
          </w:p>
        </w:tc>
      </w:tr>
      <w:tr>
        <w:trPr>
          <w:trHeight w:val="498"/>
        </w:trPr>
        <w:tc>
          <w:tcPr>
            <w:tcW w:w="4055" w:type="dxa"/>
            <w:tcBorders>
              <w:tl2br w:val="nil"/>
              <w:tr2bl w:val="nil"/>
            </w:tcBorders>
            <w:vAlign w:val="center"/>
          </w:tcPr>
          <w:p>
            <w:pPr>
              <w:pStyle w:val="2308"/>
              <w:rPr>
                <w:rFonts w:ascii="Times New Roman" w:eastAsia="宋体" w:hAnsi="Times New Roman" w:hint="eastAsia"/>
                <w:sz w:val="24"/>
                <w:szCs w:val="24"/>
                <w:highlight w:val="auto"/>
              </w:rPr>
            </w:pPr>
          </w:p>
        </w:tc>
        <w:tc>
          <w:tcPr>
            <w:tcW w:w="3081"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p>
        </w:tc>
        <w:tc>
          <w:tcPr>
            <w:tcW w:w="422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（四）教育支出</w:t>
            </w:r>
          </w:p>
        </w:tc>
        <w:tc>
          <w:tcPr>
            <w:tcW w:w="2822" w:type="dxa"/>
            <w:tcBorders>
              <w:tl2br w:val="nil"/>
              <w:tr2bl w:val="nil"/>
            </w:tcBorders>
            <w:vAlign w:val="center"/>
          </w:tcPr>
          <w:p>
            <w:pPr>
              <w:pStyle w:val="2315"/>
              <w:jc w:val="right"/>
              <w:rPr>
                <w:rFonts w:ascii="Times New Roman" w:eastAsia="宋体" w:cs="Times New Roman" w:hAnsi="Times New Roman"/>
                <w:sz w:val="24"/>
                <w:szCs w:val="24"/>
                <w:lang w:bidi="ar-SA"/>
                <w:highlight w:val="auto"/>
              </w:rPr>
            </w:pP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二、上年结转</w:t>
            </w:r>
          </w:p>
        </w:tc>
        <w:tc>
          <w:tcPr>
            <w:tcW w:w="3081"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r>
              <w:rPr>
                <w:rFonts w:ascii="Times New Roman" w:eastAsia="宋体" w:cs="Times New Roman" w:hAnsi="Times New Roman"/>
                <w:sz w:val="24"/>
                <w:szCs w:val="24"/>
                <w:lang w:bidi="ar-SA"/>
                <w:highlight w:val="auto"/>
              </w:rPr>
              <w:t>1.56</w:t>
            </w:r>
          </w:p>
        </w:tc>
        <w:tc>
          <w:tcPr>
            <w:tcW w:w="422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（五）社会保障和就业支出</w:t>
            </w:r>
          </w:p>
        </w:tc>
        <w:tc>
          <w:tcPr>
            <w:tcW w:w="2822" w:type="dxa"/>
            <w:tcBorders>
              <w:tl2br w:val="nil"/>
              <w:tr2bl w:val="nil"/>
            </w:tcBorders>
            <w:vAlign w:val="center"/>
          </w:tcPr>
          <w:p>
            <w:pPr>
              <w:pStyle w:val="2316"/>
              <w:jc w:val="right"/>
              <w:rPr>
                <w:rFonts w:ascii="Times New Roman" w:eastAsia="宋体" w:cs="Times New Roman" w:hAnsi="Times New Roman"/>
                <w:sz w:val="24"/>
                <w:szCs w:val="24"/>
                <w:lang w:bidi="ar-SA"/>
                <w:highlight w:val="auto"/>
              </w:rPr>
            </w:pPr>
            <w:r>
              <w:rPr>
                <w:rFonts w:ascii="Times New Roman" w:eastAsia="宋体" w:cs="Times New Roman" w:hAnsi="Times New Roman"/>
                <w:sz w:val="24"/>
                <w:szCs w:val="24"/>
                <w:lang w:bidi="ar-SA"/>
                <w:highlight w:val="auto"/>
              </w:rPr>
              <w:t>62.07</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（一）一般公共预算财政拨款</w:t>
            </w:r>
          </w:p>
        </w:tc>
        <w:tc>
          <w:tcPr>
            <w:tcW w:w="3081"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r>
              <w:rPr>
                <w:rFonts w:ascii="Times New Roman" w:eastAsia="宋体" w:cs="Times New Roman" w:hAnsi="Times New Roman"/>
                <w:sz w:val="24"/>
                <w:szCs w:val="24"/>
                <w:lang w:bidi="ar-SA"/>
                <w:highlight w:val="auto"/>
              </w:rPr>
              <w:t>1.56</w:t>
            </w:r>
          </w:p>
        </w:tc>
        <w:tc>
          <w:tcPr>
            <w:tcW w:w="422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（六）卫生健康支出</w:t>
            </w:r>
          </w:p>
        </w:tc>
        <w:tc>
          <w:tcPr>
            <w:tcW w:w="2822" w:type="dxa"/>
            <w:tcBorders>
              <w:tl2br w:val="nil"/>
              <w:tr2bl w:val="nil"/>
            </w:tcBorders>
            <w:vAlign w:val="center"/>
          </w:tcPr>
          <w:p>
            <w:pPr>
              <w:pStyle w:val="2317"/>
              <w:jc w:val="right"/>
              <w:rPr>
                <w:rFonts w:ascii="Times New Roman" w:eastAsia="宋体" w:cs="Times New Roman" w:hAnsi="Times New Roman"/>
                <w:sz w:val="24"/>
                <w:szCs w:val="24"/>
                <w:lang w:bidi="ar-SA"/>
                <w:highlight w:val="auto"/>
              </w:rPr>
            </w:pPr>
            <w:r>
              <w:rPr>
                <w:rFonts w:ascii="Times New Roman" w:eastAsia="宋体" w:cs="Times New Roman" w:hAnsi="Times New Roman"/>
                <w:sz w:val="24"/>
                <w:szCs w:val="24"/>
                <w:lang w:bidi="ar-SA"/>
                <w:highlight w:val="auto"/>
              </w:rPr>
              <w:t>18.70</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（二）政府性基金预算财政拨款</w:t>
            </w:r>
          </w:p>
        </w:tc>
        <w:tc>
          <w:tcPr>
            <w:tcW w:w="3081"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p>
        </w:tc>
        <w:tc>
          <w:tcPr>
            <w:tcW w:w="422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（七）住房保障支出</w:t>
            </w:r>
          </w:p>
        </w:tc>
        <w:tc>
          <w:tcPr>
            <w:tcW w:w="2822" w:type="dxa"/>
            <w:tcBorders>
              <w:tl2br w:val="nil"/>
              <w:tr2bl w:val="nil"/>
            </w:tcBorders>
            <w:vAlign w:val="center"/>
          </w:tcPr>
          <w:p>
            <w:pPr>
              <w:pStyle w:val="2318"/>
              <w:jc w:val="right"/>
              <w:rPr>
                <w:rFonts w:ascii="Times New Roman" w:eastAsia="宋体" w:cs="Times New Roman" w:hAnsi="Times New Roman"/>
                <w:sz w:val="24"/>
                <w:szCs w:val="24"/>
                <w:lang w:bidi="ar-SA"/>
                <w:highlight w:val="auto"/>
              </w:rPr>
            </w:pPr>
            <w:r>
              <w:rPr>
                <w:rFonts w:ascii="Times New Roman" w:eastAsia="宋体" w:cs="Times New Roman" w:hAnsi="Times New Roman"/>
                <w:sz w:val="24"/>
                <w:szCs w:val="24"/>
                <w:lang w:bidi="ar-SA"/>
                <w:highlight w:val="auto"/>
              </w:rPr>
              <w:t>64.52</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（三）国有资本经营预算拨款</w:t>
            </w:r>
          </w:p>
        </w:tc>
        <w:tc>
          <w:tcPr>
            <w:tcW w:w="3081"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p>
        </w:tc>
        <w:tc>
          <w:tcPr>
            <w:tcW w:w="4225" w:type="dxa"/>
            <w:tcBorders>
              <w:tl2br w:val="nil"/>
              <w:tr2bl w:val="nil"/>
            </w:tcBorders>
          </w:tcPr>
          <w:p>
            <w:pPr>
              <w:pStyle w:val="2308"/>
              <w:rPr>
                <w:rFonts w:ascii="Times New Roman" w:eastAsia="宋体" w:hAnsi="Times New Roman"/>
                <w:sz w:val="24"/>
                <w:szCs w:val="24"/>
                <w:highlight w:val="auto"/>
              </w:rPr>
            </w:pPr>
          </w:p>
        </w:tc>
        <w:tc>
          <w:tcPr>
            <w:tcW w:w="2822"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p>
        </w:tc>
      </w:tr>
      <w:tr>
        <w:trPr>
          <w:trHeight w:val="500"/>
        </w:trPr>
        <w:tc>
          <w:tcPr>
            <w:tcW w:w="4055" w:type="dxa"/>
            <w:tcBorders>
              <w:tl2br w:val="nil"/>
              <w:tr2bl w:val="nil"/>
            </w:tcBorders>
          </w:tcPr>
          <w:p>
            <w:pPr>
              <w:pStyle w:val="2308"/>
              <w:rPr>
                <w:rFonts w:ascii="Times New Roman" w:eastAsia="宋体" w:hAnsi="Times New Roman"/>
                <w:sz w:val="24"/>
                <w:szCs w:val="24"/>
                <w:highlight w:val="auto"/>
              </w:rPr>
            </w:pPr>
          </w:p>
        </w:tc>
        <w:tc>
          <w:tcPr>
            <w:tcW w:w="3081"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p>
        </w:tc>
        <w:tc>
          <w:tcPr>
            <w:tcW w:w="4225" w:type="dxa"/>
            <w:tcBorders>
              <w:tl2br w:val="nil"/>
              <w:tr2bl w:val="nil"/>
            </w:tcBorders>
          </w:tcPr>
          <w:p>
            <w:pPr>
              <w:pStyle w:val="2308"/>
              <w:rPr>
                <w:rFonts w:ascii="Times New Roman" w:eastAsia="宋体" w:hAnsi="Times New Roman"/>
                <w:sz w:val="24"/>
                <w:szCs w:val="24"/>
                <w:highlight w:val="auto"/>
              </w:rPr>
            </w:pPr>
          </w:p>
        </w:tc>
        <w:tc>
          <w:tcPr>
            <w:tcW w:w="2822"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p>
        </w:tc>
      </w:tr>
      <w:tr>
        <w:trPr>
          <w:trHeight w:val="498"/>
        </w:trPr>
        <w:tc>
          <w:tcPr>
            <w:tcW w:w="4055" w:type="dxa"/>
            <w:tcBorders>
              <w:tl2br w:val="nil"/>
              <w:tr2bl w:val="nil"/>
            </w:tcBorders>
          </w:tcPr>
          <w:p>
            <w:pPr>
              <w:pStyle w:val="2308"/>
              <w:rPr>
                <w:rFonts w:ascii="Times New Roman" w:eastAsia="宋体" w:hAnsi="Times New Roman"/>
                <w:sz w:val="24"/>
                <w:szCs w:val="24"/>
                <w:highlight w:val="auto"/>
              </w:rPr>
            </w:pPr>
          </w:p>
        </w:tc>
        <w:tc>
          <w:tcPr>
            <w:tcW w:w="3081"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p>
        </w:tc>
        <w:tc>
          <w:tcPr>
            <w:tcW w:w="4225" w:type="dxa"/>
            <w:tcBorders>
              <w:tl2br w:val="nil"/>
              <w:tr2bl w:val="nil"/>
            </w:tcBorders>
          </w:tcPr>
          <w:p>
            <w:pPr>
              <w:pStyle w:val="2308"/>
              <w:rPr>
                <w:rFonts w:ascii="Times New Roman" w:eastAsia="宋体" w:hAnsi="Times New Roman"/>
                <w:sz w:val="24"/>
                <w:szCs w:val="24"/>
                <w:highlight w:val="auto"/>
              </w:rPr>
            </w:pPr>
          </w:p>
        </w:tc>
        <w:tc>
          <w:tcPr>
            <w:tcW w:w="2822"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p>
        </w:tc>
      </w:tr>
      <w:tr>
        <w:trPr>
          <w:trHeight w:val="498"/>
        </w:trPr>
        <w:tc>
          <w:tcPr>
            <w:tcW w:w="4055" w:type="dxa"/>
            <w:tcBorders>
              <w:tl2br w:val="nil"/>
              <w:tr2bl w:val="nil"/>
            </w:tcBorders>
          </w:tcPr>
          <w:p>
            <w:pPr>
              <w:pStyle w:val="2308"/>
              <w:rPr>
                <w:rFonts w:ascii="Times New Roman" w:eastAsia="宋体" w:hAnsi="Times New Roman"/>
                <w:sz w:val="24"/>
                <w:szCs w:val="24"/>
                <w:highlight w:val="auto"/>
              </w:rPr>
            </w:pPr>
          </w:p>
        </w:tc>
        <w:tc>
          <w:tcPr>
            <w:tcW w:w="3081"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p>
        </w:tc>
        <w:tc>
          <w:tcPr>
            <w:tcW w:w="4225" w:type="dxa"/>
            <w:tcBorders>
              <w:tl2br w:val="nil"/>
              <w:tr2bl w:val="nil"/>
            </w:tcBorders>
          </w:tcPr>
          <w:p>
            <w:pPr>
              <w:pStyle w:val="2308"/>
              <w:rPr>
                <w:rFonts w:ascii="Times New Roman" w:eastAsia="宋体" w:hAnsi="Times New Roman"/>
                <w:sz w:val="24"/>
                <w:szCs w:val="24"/>
                <w:highlight w:val="auto"/>
              </w:rPr>
            </w:pPr>
          </w:p>
        </w:tc>
        <w:tc>
          <w:tcPr>
            <w:tcW w:w="2822"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p>
        </w:tc>
      </w:tr>
      <w:tr>
        <w:trPr>
          <w:trHeight w:val="506"/>
        </w:trPr>
        <w:tc>
          <w:tcPr>
            <w:tcW w:w="4055" w:type="dxa"/>
            <w:tcBorders>
              <w:tl2br w:val="nil"/>
              <w:tr2bl w:val="nil"/>
            </w:tcBorders>
          </w:tcPr>
          <w:p>
            <w:pPr>
              <w:pStyle w:val="2308"/>
              <w:spacing w:before="111" w:line="185" w:lineRule="auto"/>
              <w:ind w:firstLine="992"/>
              <w:rPr>
                <w:rFonts w:ascii="Times New Roman" w:eastAsia="宋体" w:cs="宋体" w:hAnsi="Times New Roman" w:hint="eastAsia"/>
                <w:sz w:val="24"/>
                <w:szCs w:val="24"/>
                <w:lang w:bidi="ar-SA"/>
                <w:highlight w:val="auto"/>
              </w:rPr>
            </w:pPr>
            <w:r>
              <w:rPr>
                <w:rFonts w:ascii="Times New Roman" w:eastAsia="宋体" w:cs="宋体" w:hAnsi="Times New Roman" w:hint="eastAsia"/>
                <w:spacing w:val="-11"/>
                <w:sz w:val="24"/>
                <w:szCs w:val="24"/>
                <w:lang w:bidi="ar-SA"/>
                <w:highlight w:val="auto"/>
              </w:rPr>
              <w:t>收</w:t>
            </w:r>
            <w:r>
              <w:rPr>
                <w:rFonts w:ascii="Times New Roman" w:eastAsia="宋体" w:cs="宋体" w:hAnsi="Times New Roman" w:hint="eastAsia"/>
                <w:spacing w:val="3"/>
                <w:sz w:val="24"/>
                <w:szCs w:val="24"/>
                <w:lang w:bidi="ar-SA"/>
                <w:highlight w:val="auto"/>
              </w:rPr>
              <w:t xml:space="preserve">    </w:t>
            </w:r>
            <w:r>
              <w:rPr>
                <w:rFonts w:ascii="Times New Roman" w:eastAsia="宋体" w:cs="宋体" w:hAnsi="Times New Roman" w:hint="eastAsia"/>
                <w:spacing w:val="-11"/>
                <w:sz w:val="24"/>
                <w:szCs w:val="24"/>
                <w:lang w:bidi="ar-SA"/>
                <w:highlight w:val="auto"/>
              </w:rPr>
              <w:t>入</w:t>
            </w:r>
            <w:r>
              <w:rPr>
                <w:rFonts w:ascii="Times New Roman" w:eastAsia="宋体" w:cs="宋体" w:hAnsi="Times New Roman" w:hint="eastAsia"/>
                <w:spacing w:val="3"/>
                <w:sz w:val="24"/>
                <w:szCs w:val="24"/>
                <w:lang w:bidi="ar-SA"/>
                <w:highlight w:val="auto"/>
              </w:rPr>
              <w:t xml:space="preserve">    </w:t>
            </w:r>
            <w:r>
              <w:rPr>
                <w:rFonts w:ascii="Times New Roman" w:eastAsia="宋体" w:cs="宋体" w:hAnsi="Times New Roman" w:hint="eastAsia"/>
                <w:spacing w:val="-11"/>
                <w:sz w:val="24"/>
                <w:szCs w:val="24"/>
                <w:lang w:bidi="ar-SA"/>
                <w:highlight w:val="auto"/>
              </w:rPr>
              <w:t>总</w:t>
            </w:r>
            <w:r>
              <w:rPr>
                <w:rFonts w:ascii="Times New Roman" w:eastAsia="宋体" w:cs="宋体" w:hAnsi="Times New Roman" w:hint="eastAsia"/>
                <w:spacing w:val="3"/>
                <w:sz w:val="24"/>
                <w:szCs w:val="24"/>
                <w:lang w:bidi="ar-SA"/>
                <w:highlight w:val="auto"/>
              </w:rPr>
              <w:t xml:space="preserve">    </w:t>
            </w:r>
            <w:r>
              <w:rPr>
                <w:rFonts w:ascii="Times New Roman" w:eastAsia="宋体" w:cs="宋体" w:hAnsi="Times New Roman" w:hint="eastAsia"/>
                <w:spacing w:val="-11"/>
                <w:sz w:val="24"/>
                <w:szCs w:val="24"/>
                <w:lang w:bidi="ar-SA"/>
                <w:highlight w:val="auto"/>
              </w:rPr>
              <w:t>计</w:t>
            </w:r>
          </w:p>
        </w:tc>
        <w:tc>
          <w:tcPr>
            <w:tcW w:w="3081" w:type="dxa"/>
            <w:tcBorders>
              <w:tl2br w:val="nil"/>
              <w:tr2bl w:val="nil"/>
            </w:tcBorders>
            <w:vAlign w:val="center"/>
          </w:tcPr>
          <w:p>
            <w:pPr>
              <w:pStyle w:val="2308"/>
              <w:spacing w:before="153" w:line="190" w:lineRule="auto"/>
              <w:ind w:firstLine="1243"/>
              <w:jc w:val="right"/>
              <w:rPr>
                <w:rFonts w:ascii="Times New Roman" w:eastAsia="宋体" w:cs="Times New Roman" w:hAnsi="Times New Roman"/>
                <w:sz w:val="24"/>
                <w:szCs w:val="24"/>
                <w:lang w:bidi="ar-SA"/>
                <w:highlight w:val="auto"/>
              </w:rPr>
            </w:pPr>
            <w:r>
              <w:rPr>
                <w:rFonts w:ascii="Times New Roman" w:eastAsia="宋体" w:cs="Times New Roman" w:hAnsi="Times New Roman"/>
                <w:sz w:val="24"/>
                <w:szCs w:val="24"/>
                <w:lang w:bidi="ar-SA"/>
                <w:highlight w:val="auto"/>
              </w:rPr>
              <w:t>670.72</w:t>
            </w:r>
          </w:p>
        </w:tc>
        <w:tc>
          <w:tcPr>
            <w:tcW w:w="4225" w:type="dxa"/>
            <w:tcBorders>
              <w:tl2br w:val="nil"/>
              <w:tr2bl w:val="nil"/>
            </w:tcBorders>
          </w:tcPr>
          <w:p>
            <w:pPr>
              <w:pStyle w:val="2308"/>
              <w:spacing w:before="111" w:line="185" w:lineRule="auto"/>
              <w:ind w:firstLine="499"/>
              <w:rPr>
                <w:rFonts w:ascii="Times New Roman" w:eastAsia="宋体" w:cs="宋体" w:hAnsi="Times New Roman" w:hint="eastAsia"/>
                <w:sz w:val="24"/>
                <w:szCs w:val="24"/>
                <w:lang w:bidi="ar-SA"/>
                <w:highlight w:val="auto"/>
              </w:rPr>
            </w:pPr>
            <w:r>
              <w:rPr>
                <w:rFonts w:ascii="Times New Roman" w:eastAsia="宋体" w:cs="宋体" w:hAnsi="Times New Roman" w:hint="eastAsia"/>
                <w:spacing w:val="-15"/>
                <w:sz w:val="24"/>
                <w:szCs w:val="24"/>
                <w:lang w:bidi="ar-SA"/>
                <w:highlight w:val="auto"/>
              </w:rPr>
              <w:t>支</w:t>
            </w:r>
            <w:r>
              <w:rPr>
                <w:rFonts w:ascii="Times New Roman" w:eastAsia="宋体" w:cs="宋体" w:hAnsi="Times New Roman" w:hint="eastAsia"/>
                <w:spacing w:val="9"/>
                <w:sz w:val="24"/>
                <w:szCs w:val="24"/>
                <w:lang w:bidi="ar-SA"/>
                <w:highlight w:val="auto"/>
              </w:rPr>
              <w:t xml:space="preserve">    </w:t>
            </w:r>
            <w:r>
              <w:rPr>
                <w:rFonts w:ascii="Times New Roman" w:eastAsia="宋体" w:cs="宋体" w:hAnsi="Times New Roman" w:hint="eastAsia"/>
                <w:spacing w:val="-15"/>
                <w:sz w:val="24"/>
                <w:szCs w:val="24"/>
                <w:lang w:bidi="ar-SA"/>
                <w:highlight w:val="auto"/>
              </w:rPr>
              <w:t>出</w:t>
            </w:r>
            <w:r>
              <w:rPr>
                <w:rFonts w:ascii="Times New Roman" w:eastAsia="宋体" w:cs="宋体" w:hAnsi="Times New Roman" w:hint="eastAsia"/>
                <w:spacing w:val="3"/>
                <w:sz w:val="24"/>
                <w:szCs w:val="24"/>
                <w:lang w:bidi="ar-SA"/>
                <w:highlight w:val="auto"/>
              </w:rPr>
              <w:t xml:space="preserve">    </w:t>
            </w:r>
            <w:r>
              <w:rPr>
                <w:rFonts w:ascii="Times New Roman" w:eastAsia="宋体" w:cs="宋体" w:hAnsi="Times New Roman" w:hint="eastAsia"/>
                <w:spacing w:val="-15"/>
                <w:sz w:val="24"/>
                <w:szCs w:val="24"/>
                <w:lang w:bidi="ar-SA"/>
                <w:highlight w:val="auto"/>
              </w:rPr>
              <w:t>总</w:t>
            </w:r>
            <w:r>
              <w:rPr>
                <w:rFonts w:ascii="Times New Roman" w:eastAsia="宋体" w:cs="宋体" w:hAnsi="Times New Roman" w:hint="eastAsia"/>
                <w:spacing w:val="3"/>
                <w:sz w:val="24"/>
                <w:szCs w:val="24"/>
                <w:lang w:bidi="ar-SA"/>
                <w:highlight w:val="auto"/>
              </w:rPr>
              <w:t xml:space="preserve">    </w:t>
            </w:r>
            <w:r>
              <w:rPr>
                <w:rFonts w:ascii="Times New Roman" w:eastAsia="宋体" w:cs="宋体" w:hAnsi="Times New Roman" w:hint="eastAsia"/>
                <w:spacing w:val="-15"/>
                <w:sz w:val="24"/>
                <w:szCs w:val="24"/>
                <w:lang w:bidi="ar-SA"/>
                <w:highlight w:val="auto"/>
              </w:rPr>
              <w:t>计</w:t>
            </w:r>
          </w:p>
        </w:tc>
        <w:tc>
          <w:tcPr>
            <w:tcW w:w="2822" w:type="dxa"/>
            <w:tcBorders>
              <w:tl2br w:val="nil"/>
              <w:tr2bl w:val="nil"/>
            </w:tcBorders>
            <w:vAlign w:val="center"/>
          </w:tcPr>
          <w:p>
            <w:pPr>
              <w:pStyle w:val="2308"/>
              <w:spacing w:before="153" w:line="190" w:lineRule="auto"/>
              <w:ind w:firstLine="687"/>
              <w:jc w:val="right"/>
              <w:rPr>
                <w:rFonts w:ascii="Times New Roman" w:eastAsia="宋体" w:cs="Times New Roman" w:hAnsi="Times New Roman"/>
                <w:sz w:val="24"/>
                <w:szCs w:val="24"/>
                <w:lang w:bidi="ar-SA"/>
                <w:highlight w:val="auto"/>
              </w:rPr>
            </w:pPr>
            <w:r>
              <w:rPr>
                <w:rFonts w:ascii="Times New Roman" w:eastAsia="宋体" w:cs="Times New Roman" w:hAnsi="Times New Roman"/>
                <w:sz w:val="24"/>
                <w:szCs w:val="24"/>
                <w:lang w:bidi="ar-SA"/>
                <w:highlight w:val="auto"/>
              </w:rPr>
              <w:t>620.72</w:t>
            </w:r>
          </w:p>
        </w:tc>
      </w:tr>
    </w:tbl>
    <w:p>
      <w:pPr>
        <w:pStyle w:val="2308"/>
        <w:rPr>
          <w:rFonts w:ascii="Times New Roman" w:eastAsia="宋体" w:hAnsi="Times New Roman"/>
          <w:highlight w:val="auto"/>
        </w:rPr>
      </w:pPr>
    </w:p>
    <w:p>
      <w:pPr>
        <w:pStyle w:val="2308"/>
        <w:rPr>
          <w:rFonts w:ascii="Times New Roman" w:eastAsia="宋体" w:hAnsi="Times New Roman"/>
          <w:highlight w:val="auto"/>
        </w:rPr>
        <w:sectPr>
          <w:pgSz w:w="16841" w:h="11907"/>
          <w:pgMar w:top="548" w:right="1322" w:bottom="0" w:left="1324" w:header="0" w:footer="0" w:gutter="0"/>
          <w:pgNumType/>
          <w:docGrid w:linePitch="285" w:charSpace="0"/>
        </w:sectPr>
      </w:pPr>
    </w:p>
    <w:p>
      <w:pPr>
        <w:jc w:val="right"/>
        <w:rPr>
          <w:rFonts w:ascii="黑体" w:eastAsia="黑体" w:cs="黑体"/>
          <w:snapToGrid w:val="0"/>
          <w:sz w:val="20"/>
          <w:szCs w:val="20"/>
          <w:lang w:bidi="ar-SA"/>
          <w:highlight w:val="auto"/>
        </w:rPr>
      </w:pPr>
    </w:p>
    <w:p>
      <w:pPr>
        <w:jc w:val="right"/>
        <w:rPr>
          <w:rFonts w:ascii="黑体" w:eastAsia="黑体" w:cs="黑体" w:hint="eastAsia"/>
          <w:sz w:val="20"/>
          <w:szCs w:val="20"/>
          <w:lang w:bidi="ar-SA"/>
          <w:highlight w:val="auto"/>
        </w:rPr>
      </w:pPr>
      <w:r>
        <w:rPr>
          <w:rFonts w:ascii="黑体" w:eastAsia="黑体" w:cs="黑体" w:hint="eastAsia"/>
          <w:snapToGrid w:val="0"/>
          <w:sz w:val="20"/>
          <w:szCs w:val="20"/>
          <w:lang w:bidi="ar-SA"/>
          <w:highlight w:val="auto"/>
        </w:rPr>
        <w:t>部门公开表 5</w:t>
      </w:r>
    </w:p>
    <w:p>
      <w:pPr>
        <w:jc w:val="center"/>
        <w:rPr>
          <w:rFonts w:cs="Microsoft JhengHei" w:hint="eastAsia"/>
          <w:b/>
          <w:snapToGrid w:val="0"/>
          <w:color w:val="000000"/>
          <w:sz w:val="36"/>
          <w:szCs w:val="36"/>
          <w:lang w:bidi="ar-SA"/>
          <w:highlight w:val="auto"/>
        </w:rPr>
      </w:pPr>
      <w:r>
        <w:rPr>
          <w:rFonts w:cs="Microsoft JhengHei" w:hint="eastAsia"/>
          <w:b/>
          <w:snapToGrid w:val="0"/>
          <w:color w:val="000000"/>
          <w:sz w:val="36"/>
          <w:szCs w:val="36"/>
          <w:lang w:bidi="ar-SA"/>
          <w:highlight w:val="auto"/>
        </w:rPr>
        <w:t>一般公共预算支出表</w:t>
      </w:r>
    </w:p>
    <w:p>
      <w:pPr>
        <w:pStyle w:val="2319"/>
        <w:spacing w:before="39" w:line="180" w:lineRule="auto"/>
        <w:ind w:firstLineChars="6801" w:firstLine="13194"/>
        <w:jc w:val="right"/>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3"/>
          <w:sz w:val="20"/>
          <w:szCs w:val="20"/>
          <w:lang w:bidi="ar-SA"/>
          <w:highlight w:val="auto"/>
        </w:rPr>
        <w:t xml:space="preserve">     单位：万元</w:t>
      </w:r>
    </w:p>
    <w:p>
      <w:pPr>
        <w:pStyle w:val="2319"/>
        <w:spacing w:line="19" w:lineRule="auto"/>
        <w:rPr>
          <w:rFonts w:ascii="Times New Roman" w:eastAsia="宋体" w:hAnsi="Times New Roman"/>
          <w:sz w:val="2"/>
          <w:highlight w:val="auto"/>
        </w:rPr>
      </w:pPr>
    </w:p>
    <w:tbl>
      <w:tblPr>
        <w:jc w:val="left"/>
        <w:tblInd w:w="45" w:type="dxa"/>
        <w:tblW w:w="14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00"/>
        <w:gridCol w:w="2430"/>
        <w:gridCol w:w="1200"/>
        <w:gridCol w:w="1120"/>
        <w:gridCol w:w="1190"/>
        <w:gridCol w:w="1200"/>
        <w:gridCol w:w="1150"/>
        <w:gridCol w:w="1220"/>
        <w:gridCol w:w="1160"/>
        <w:gridCol w:w="25"/>
        <w:gridCol w:w="1185"/>
        <w:gridCol w:w="1120"/>
        <w:gridCol w:w="960"/>
      </w:tblGrid>
      <w:tr>
        <w:trPr>
          <w:trHeight w:val="716"/>
        </w:trPr>
        <w:tc>
          <w:tcPr>
            <w:tcW w:w="3430" w:type="dxa"/>
            <w:gridSpan w:val="2"/>
            <w:tcBorders>
              <w:tl2br w:val="nil"/>
              <w:tr2bl w:val="nil"/>
            </w:tcBorders>
            <w:vAlign w:val="center"/>
          </w:tcPr>
          <w:p>
            <w:pPr>
              <w:pStyle w:val="2319"/>
              <w:spacing w:before="263"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功能分类科目</w:t>
            </w:r>
          </w:p>
        </w:tc>
        <w:tc>
          <w:tcPr>
            <w:tcW w:w="2320" w:type="dxa"/>
            <w:gridSpan w:val="2"/>
            <w:tcBorders>
              <w:tl2br w:val="nil"/>
              <w:tr2bl w:val="nil"/>
            </w:tcBorders>
            <w:vAlign w:val="center"/>
          </w:tcPr>
          <w:p>
            <w:pPr>
              <w:pStyle w:val="2319"/>
              <w:spacing w:before="263"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4"/>
                <w:sz w:val="16"/>
                <w:szCs w:val="16"/>
                <w:lang w:bidi="ar-SA"/>
                <w:highlight w:val="auto"/>
              </w:rPr>
              <w:t>202</w:t>
            </w:r>
            <w:r>
              <w:rPr>
                <w:rFonts w:ascii="Times New Roman" w:eastAsia="宋体" w:cs="Microsoft JhengHei" w:hAnsi="Times New Roman"/>
                <w:spacing w:val="-4"/>
                <w:sz w:val="16"/>
                <w:szCs w:val="16"/>
                <w:lang w:bidi="ar-SA"/>
                <w:highlight w:val="auto"/>
              </w:rPr>
              <w:t>3</w:t>
            </w:r>
            <w:r>
              <w:rPr>
                <w:rFonts w:ascii="Times New Roman" w:eastAsia="宋体" w:cs="Microsoft JhengHei" w:hAnsi="Times New Roman" w:hint="eastAsia"/>
                <w:spacing w:val="-4"/>
                <w:sz w:val="16"/>
                <w:szCs w:val="16"/>
                <w:lang w:bidi="ar-SA"/>
                <w:highlight w:val="auto"/>
              </w:rPr>
              <w:t>年执行数</w:t>
            </w:r>
          </w:p>
        </w:tc>
        <w:tc>
          <w:tcPr>
            <w:tcW w:w="4760" w:type="dxa"/>
            <w:gridSpan w:val="4"/>
            <w:tcBorders>
              <w:tl2br w:val="nil"/>
              <w:tr2bl w:val="nil"/>
            </w:tcBorders>
            <w:vAlign w:val="center"/>
          </w:tcPr>
          <w:p>
            <w:pPr>
              <w:pStyle w:val="2319"/>
              <w:spacing w:before="263"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4"/>
                <w:sz w:val="16"/>
                <w:szCs w:val="16"/>
                <w:lang w:bidi="ar-SA"/>
                <w:highlight w:val="auto"/>
              </w:rPr>
              <w:t>202</w:t>
            </w:r>
            <w:r>
              <w:rPr>
                <w:rFonts w:ascii="Times New Roman" w:eastAsia="宋体" w:cs="Microsoft JhengHei" w:hAnsi="Times New Roman"/>
                <w:spacing w:val="-4"/>
                <w:sz w:val="16"/>
                <w:szCs w:val="16"/>
                <w:lang w:bidi="ar-SA"/>
                <w:highlight w:val="auto"/>
              </w:rPr>
              <w:t>4</w:t>
            </w:r>
            <w:r>
              <w:rPr>
                <w:rFonts w:ascii="Times New Roman" w:eastAsia="宋体" w:cs="Microsoft JhengHei" w:hAnsi="Times New Roman" w:hint="eastAsia"/>
                <w:spacing w:val="-4"/>
                <w:sz w:val="16"/>
                <w:szCs w:val="16"/>
                <w:lang w:bidi="ar-SA"/>
                <w:highlight w:val="auto"/>
              </w:rPr>
              <w:t>年预算数</w:t>
            </w:r>
          </w:p>
        </w:tc>
        <w:tc>
          <w:tcPr>
            <w:tcW w:w="2370" w:type="dxa"/>
            <w:gridSpan w:val="3"/>
            <w:tcBorders>
              <w:tl2br w:val="nil"/>
              <w:tr2bl w:val="nil"/>
            </w:tcBorders>
            <w:vAlign w:val="center"/>
          </w:tcPr>
          <w:p>
            <w:pPr>
              <w:widowControl/>
              <w:jc w:val="center"/>
              <w:textAlignment w:val="center"/>
              <w:rPr>
                <w:color w:val="000000"/>
                <w:kern w:val="0"/>
                <w:sz w:val="16"/>
                <w:szCs w:val="16"/>
                <w:lang w:bidi="ar-SA"/>
                <w:highlight w:val="auto"/>
              </w:rPr>
            </w:pPr>
            <w:r>
              <w:rPr>
                <w:color w:val="000000"/>
                <w:kern w:val="0"/>
                <w:sz w:val="16"/>
                <w:szCs w:val="16"/>
                <w:lang w:bidi="ar-SA"/>
                <w:highlight w:val="auto"/>
              </w:rPr>
              <w:t>2024年预算数比</w:t>
            </w:r>
          </w:p>
          <w:p>
            <w:pPr>
              <w:widowControl/>
              <w:jc w:val="center"/>
              <w:textAlignment w:val="center"/>
              <w:rPr>
                <w:sz w:val="16"/>
                <w:szCs w:val="16"/>
                <w:highlight w:val="auto"/>
              </w:rPr>
            </w:pPr>
            <w:r>
              <w:rPr>
                <w:color w:val="000000"/>
                <w:kern w:val="0"/>
                <w:sz w:val="16"/>
                <w:szCs w:val="16"/>
                <w:lang w:bidi="ar-SA"/>
                <w:highlight w:val="auto"/>
              </w:rPr>
              <w:t>2023年执行数</w:t>
            </w:r>
          </w:p>
        </w:tc>
        <w:tc>
          <w:tcPr>
            <w:tcW w:w="2080" w:type="dxa"/>
            <w:gridSpan w:val="2"/>
            <w:tcBorders>
              <w:tl2br w:val="nil"/>
              <w:tr2bl w:val="nil"/>
            </w:tcBorders>
            <w:vAlign w:val="center"/>
          </w:tcPr>
          <w:p>
            <w:pPr>
              <w:pStyle w:val="2319"/>
              <w:spacing w:before="30" w:line="180" w:lineRule="auto"/>
              <w:ind w:firstLine="135"/>
              <w:jc w:val="center"/>
              <w:rPr>
                <w:rFonts w:ascii="Times New Roman" w:eastAsia="宋体" w:cs="Microsoft JhengHei" w:hAnsi="Times New Roman" w:hint="eastAsia"/>
                <w:spacing w:val="-4"/>
                <w:sz w:val="16"/>
                <w:szCs w:val="16"/>
                <w:lang w:bidi="ar-SA"/>
                <w:highlight w:val="auto"/>
              </w:rPr>
            </w:pPr>
            <w:r>
              <w:rPr>
                <w:rFonts w:ascii="Times New Roman" w:eastAsia="宋体" w:cs="Microsoft JhengHei" w:hAnsi="Times New Roman" w:hint="eastAsia"/>
                <w:spacing w:val="-4"/>
                <w:sz w:val="16"/>
                <w:szCs w:val="16"/>
                <w:lang w:bidi="ar-SA"/>
                <w:highlight w:val="auto"/>
              </w:rPr>
              <w:t>202</w:t>
            </w:r>
            <w:r>
              <w:rPr>
                <w:rFonts w:ascii="Times New Roman" w:eastAsia="宋体" w:cs="Microsoft JhengHei" w:hAnsi="Times New Roman"/>
                <w:spacing w:val="-4"/>
                <w:sz w:val="16"/>
                <w:szCs w:val="16"/>
                <w:lang w:bidi="ar-SA"/>
                <w:highlight w:val="auto"/>
              </w:rPr>
              <w:t>4</w:t>
            </w:r>
            <w:r>
              <w:rPr>
                <w:rFonts w:ascii="Times New Roman" w:eastAsia="宋体" w:cs="Microsoft JhengHei" w:hAnsi="Times New Roman" w:hint="eastAsia"/>
                <w:spacing w:val="-4"/>
                <w:sz w:val="16"/>
                <w:szCs w:val="16"/>
                <w:lang w:bidi="ar-SA"/>
                <w:highlight w:val="auto"/>
              </w:rPr>
              <w:t>年预算数比</w:t>
            </w:r>
          </w:p>
          <w:p>
            <w:pPr>
              <w:pStyle w:val="2319"/>
              <w:spacing w:before="30" w:line="180" w:lineRule="auto"/>
              <w:ind w:firstLine="135"/>
              <w:jc w:val="center"/>
              <w:rPr>
                <w:rFonts w:ascii="Times New Roman" w:eastAsia="宋体" w:cs="Microsoft JhengHei" w:hAnsi="Times New Roman" w:hint="eastAsia"/>
                <w:spacing w:val="-4"/>
                <w:sz w:val="16"/>
                <w:szCs w:val="16"/>
                <w:lang w:bidi="ar-SA"/>
                <w:highlight w:val="auto"/>
              </w:rPr>
            </w:pPr>
            <w:r>
              <w:rPr>
                <w:rFonts w:ascii="Times New Roman" w:eastAsia="宋体" w:cs="Microsoft JhengHei" w:hAnsi="Times New Roman" w:hint="eastAsia"/>
                <w:spacing w:val="-4"/>
                <w:sz w:val="16"/>
                <w:szCs w:val="16"/>
                <w:lang w:bidi="ar-SA"/>
                <w:highlight w:val="auto"/>
              </w:rPr>
              <w:t>202</w:t>
            </w:r>
            <w:r>
              <w:rPr>
                <w:rFonts w:ascii="Times New Roman" w:eastAsia="宋体" w:cs="Microsoft JhengHei" w:hAnsi="Times New Roman"/>
                <w:spacing w:val="-4"/>
                <w:sz w:val="16"/>
                <w:szCs w:val="16"/>
                <w:lang w:bidi="ar-SA"/>
                <w:highlight w:val="auto"/>
              </w:rPr>
              <w:t>3</w:t>
            </w:r>
            <w:r>
              <w:rPr>
                <w:rFonts w:ascii="Times New Roman" w:eastAsia="宋体" w:cs="Microsoft JhengHei" w:hAnsi="Times New Roman" w:hint="eastAsia"/>
                <w:spacing w:val="-4"/>
                <w:sz w:val="16"/>
                <w:szCs w:val="16"/>
                <w:lang w:bidi="ar-SA"/>
                <w:highlight w:val="auto"/>
              </w:rPr>
              <w:t>年执行数</w:t>
            </w:r>
          </w:p>
          <w:p>
            <w:pPr>
              <w:pStyle w:val="2319"/>
              <w:spacing w:before="30" w:line="180" w:lineRule="auto"/>
              <w:ind w:firstLine="135"/>
              <w:jc w:val="center"/>
              <w:rPr>
                <w:rFonts w:ascii="Times New Roman" w:eastAsia="宋体" w:cs="Microsoft JhengHei" w:hAnsi="Times New Roman" w:hint="eastAsia"/>
                <w:spacing w:val="-4"/>
                <w:sz w:val="16"/>
                <w:szCs w:val="16"/>
                <w:lang w:bidi="ar-SA"/>
                <w:highlight w:val="auto"/>
              </w:rPr>
            </w:pPr>
            <w:r>
              <w:rPr>
                <w:rFonts w:ascii="Times New Roman" w:eastAsia="宋体" w:cs="Microsoft JhengHei" w:hAnsi="Times New Roman" w:hint="eastAsia"/>
                <w:spacing w:val="-4"/>
                <w:sz w:val="16"/>
                <w:szCs w:val="16"/>
                <w:lang w:bidi="ar-SA"/>
                <w:highlight w:val="auto"/>
              </w:rPr>
              <w:t>（扣除中央基建投资）</w:t>
            </w:r>
          </w:p>
        </w:tc>
      </w:tr>
      <w:tr>
        <w:trPr>
          <w:trHeight w:val="290"/>
        </w:trPr>
        <w:tc>
          <w:tcPr>
            <w:tcW w:w="1000" w:type="dxa"/>
            <w:vMerge w:val="restart"/>
            <w:tcBorders>
              <w:bottom w:val="nil"/>
              <w:tl2br w:val="nil"/>
              <w:tr2bl w:val="nil"/>
            </w:tcBorders>
            <w:vAlign w:val="center"/>
          </w:tcPr>
          <w:p>
            <w:pPr>
              <w:pStyle w:val="2319"/>
              <w:spacing w:before="197"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科目编码</w:t>
            </w:r>
          </w:p>
        </w:tc>
        <w:tc>
          <w:tcPr>
            <w:tcW w:w="2430" w:type="dxa"/>
            <w:vMerge w:val="restart"/>
            <w:tcBorders>
              <w:bottom w:val="nil"/>
              <w:tl2br w:val="nil"/>
              <w:tr2bl w:val="nil"/>
            </w:tcBorders>
            <w:vAlign w:val="center"/>
          </w:tcPr>
          <w:p>
            <w:pPr>
              <w:pStyle w:val="2319"/>
              <w:spacing w:before="197"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科目名称</w:t>
            </w:r>
          </w:p>
        </w:tc>
        <w:tc>
          <w:tcPr>
            <w:tcW w:w="1200" w:type="dxa"/>
            <w:vMerge w:val="restart"/>
            <w:tcBorders>
              <w:bottom w:val="nil"/>
              <w:tl2br w:val="nil"/>
              <w:tr2bl w:val="nil"/>
            </w:tcBorders>
            <w:vAlign w:val="center"/>
          </w:tcPr>
          <w:p>
            <w:pPr>
              <w:pStyle w:val="2319"/>
              <w:spacing w:before="197"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2"/>
                <w:sz w:val="16"/>
                <w:szCs w:val="16"/>
                <w:lang w:bidi="ar-SA"/>
                <w:highlight w:val="auto"/>
              </w:rPr>
              <w:t>执行数</w:t>
            </w:r>
          </w:p>
        </w:tc>
        <w:tc>
          <w:tcPr>
            <w:tcW w:w="1120" w:type="dxa"/>
            <w:vMerge w:val="restart"/>
            <w:tcBorders>
              <w:bottom w:val="nil"/>
              <w:tl2br w:val="nil"/>
              <w:tr2bl w:val="nil"/>
            </w:tcBorders>
            <w:vAlign w:val="center"/>
          </w:tcPr>
          <w:p>
            <w:pPr>
              <w:pStyle w:val="2319"/>
              <w:spacing w:before="79" w:line="202" w:lineRule="auto"/>
              <w:ind w:left="113" w:right="105" w:firstLine="3"/>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2"/>
                <w:sz w:val="16"/>
                <w:szCs w:val="16"/>
                <w:lang w:bidi="ar-SA"/>
                <w:highlight w:val="auto"/>
              </w:rPr>
              <w:t>扣除中央基建投资后执行数</w:t>
            </w:r>
          </w:p>
        </w:tc>
        <w:tc>
          <w:tcPr>
            <w:tcW w:w="3540" w:type="dxa"/>
            <w:gridSpan w:val="3"/>
            <w:tcBorders>
              <w:tl2br w:val="nil"/>
              <w:tr2bl w:val="nil"/>
            </w:tcBorders>
            <w:vAlign w:val="center"/>
          </w:tcPr>
          <w:p>
            <w:pPr>
              <w:pStyle w:val="2319"/>
              <w:spacing w:before="45"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2"/>
                <w:sz w:val="16"/>
                <w:szCs w:val="16"/>
                <w:lang w:bidi="ar-SA"/>
                <w:highlight w:val="auto"/>
              </w:rPr>
              <w:t>年初预算数</w:t>
            </w:r>
          </w:p>
        </w:tc>
        <w:tc>
          <w:tcPr>
            <w:tcW w:w="1220" w:type="dxa"/>
            <w:vMerge w:val="restart"/>
            <w:tcBorders>
              <w:bottom w:val="nil"/>
              <w:tl2br w:val="nil"/>
              <w:tr2bl w:val="nil"/>
            </w:tcBorders>
            <w:vAlign w:val="center"/>
          </w:tcPr>
          <w:p>
            <w:pPr>
              <w:pStyle w:val="2319"/>
              <w:spacing w:before="79" w:line="202" w:lineRule="auto"/>
              <w:ind w:left="152" w:right="140" w:firstLine="3"/>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2"/>
                <w:sz w:val="16"/>
                <w:szCs w:val="16"/>
                <w:lang w:bidi="ar-SA"/>
                <w:highlight w:val="auto"/>
              </w:rPr>
              <w:t>扣除中央基建投资后预算数</w:t>
            </w:r>
          </w:p>
        </w:tc>
        <w:tc>
          <w:tcPr>
            <w:tcW w:w="1185" w:type="dxa"/>
            <w:gridSpan w:val="2"/>
            <w:vMerge w:val="restart"/>
            <w:tcBorders>
              <w:bottom w:val="nil"/>
              <w:tl2br w:val="nil"/>
              <w:tr2bl w:val="nil"/>
            </w:tcBorders>
            <w:vAlign w:val="center"/>
          </w:tcPr>
          <w:p>
            <w:pPr>
              <w:widowControl/>
              <w:jc w:val="center"/>
              <w:textAlignment w:val="center"/>
              <w:rPr>
                <w:sz w:val="16"/>
                <w:szCs w:val="16"/>
                <w:highlight w:val="auto"/>
              </w:rPr>
            </w:pPr>
            <w:r>
              <w:rPr>
                <w:color w:val="000000"/>
                <w:kern w:val="0"/>
                <w:sz w:val="16"/>
                <w:szCs w:val="16"/>
                <w:lang w:bidi="ar-SA"/>
                <w:highlight w:val="auto"/>
              </w:rPr>
              <w:t>增减额</w:t>
            </w:r>
          </w:p>
        </w:tc>
        <w:tc>
          <w:tcPr>
            <w:tcW w:w="1185" w:type="dxa"/>
            <w:vMerge w:val="restart"/>
            <w:tcBorders>
              <w:tl2br w:val="nil"/>
              <w:tr2bl w:val="nil"/>
            </w:tcBorders>
            <w:vAlign w:val="center"/>
          </w:tcPr>
          <w:p>
            <w:pPr>
              <w:widowControl/>
              <w:jc w:val="center"/>
              <w:textAlignment w:val="center"/>
              <w:rPr>
                <w:sz w:val="16"/>
                <w:szCs w:val="16"/>
                <w:highlight w:val="auto"/>
              </w:rPr>
            </w:pPr>
            <w:r>
              <w:rPr>
                <w:color w:val="000000"/>
                <w:kern w:val="0"/>
                <w:sz w:val="16"/>
                <w:szCs w:val="16"/>
                <w:lang w:bidi="ar-SA"/>
                <w:highlight w:val="auto"/>
              </w:rPr>
              <w:t>增减(%)</w:t>
            </w:r>
          </w:p>
        </w:tc>
        <w:tc>
          <w:tcPr>
            <w:tcW w:w="1120" w:type="dxa"/>
            <w:vMerge w:val="restart"/>
            <w:tcBorders>
              <w:tl2br w:val="nil"/>
              <w:tr2bl w:val="nil"/>
            </w:tcBorders>
            <w:vAlign w:val="center"/>
          </w:tcPr>
          <w:p>
            <w:pPr>
              <w:pStyle w:val="2319"/>
              <w:spacing w:before="197"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增减额</w:t>
            </w:r>
          </w:p>
        </w:tc>
        <w:tc>
          <w:tcPr>
            <w:tcW w:w="960" w:type="dxa"/>
            <w:vMerge w:val="restart"/>
            <w:tcBorders>
              <w:tl2br w:val="nil"/>
              <w:tr2bl w:val="nil"/>
            </w:tcBorders>
            <w:vAlign w:val="center"/>
          </w:tcPr>
          <w:p>
            <w:pPr>
              <w:pStyle w:val="3097"/>
              <w:spacing w:before="197"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z w:val="16"/>
                <w:szCs w:val="16"/>
                <w:lang w:bidi="ar-SA"/>
                <w:highlight w:val="auto"/>
              </w:rPr>
              <w:t>增减(%)</w:t>
            </w:r>
          </w:p>
        </w:tc>
      </w:tr>
      <w:tr>
        <w:trPr>
          <w:trHeight w:val="290"/>
        </w:trPr>
        <w:tc>
          <w:tcPr>
            <w:tcW w:w="1000" w:type="dxa"/>
            <w:vMerge/>
            <w:tcBorders>
              <w:top w:val="nil"/>
              <w:tl2br w:val="nil"/>
              <w:tr2bl w:val="nil"/>
            </w:tcBorders>
          </w:tcPr>
          <w:p/>
        </w:tc>
        <w:tc>
          <w:tcPr>
            <w:tcW w:w="2430" w:type="dxa"/>
            <w:vMerge/>
            <w:tcBorders>
              <w:top w:val="nil"/>
              <w:tl2br w:val="nil"/>
              <w:tr2bl w:val="nil"/>
            </w:tcBorders>
          </w:tcPr>
          <w:p/>
        </w:tc>
        <w:tc>
          <w:tcPr>
            <w:tcW w:w="1200" w:type="dxa"/>
            <w:vMerge/>
            <w:tcBorders>
              <w:top w:val="nil"/>
              <w:tl2br w:val="nil"/>
              <w:tr2bl w:val="nil"/>
            </w:tcBorders>
          </w:tcPr>
          <w:p/>
        </w:tc>
        <w:tc>
          <w:tcPr>
            <w:tcW w:w="1120" w:type="dxa"/>
            <w:vMerge/>
            <w:tcBorders>
              <w:top w:val="nil"/>
              <w:tl2br w:val="nil"/>
              <w:tr2bl w:val="nil"/>
            </w:tcBorders>
          </w:tcPr>
          <w:p/>
        </w:tc>
        <w:tc>
          <w:tcPr>
            <w:tcW w:w="1190" w:type="dxa"/>
            <w:tcBorders>
              <w:tl2br w:val="nil"/>
              <w:tr2bl w:val="nil"/>
            </w:tcBorders>
            <w:vAlign w:val="center"/>
          </w:tcPr>
          <w:p>
            <w:pPr>
              <w:pStyle w:val="2319"/>
              <w:spacing w:before="45"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小计</w:t>
            </w:r>
          </w:p>
        </w:tc>
        <w:tc>
          <w:tcPr>
            <w:tcW w:w="1200" w:type="dxa"/>
            <w:tcBorders>
              <w:tl2br w:val="nil"/>
              <w:tr2bl w:val="nil"/>
            </w:tcBorders>
            <w:vAlign w:val="center"/>
          </w:tcPr>
          <w:p>
            <w:pPr>
              <w:pStyle w:val="2319"/>
              <w:spacing w:before="45"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基本支出</w:t>
            </w:r>
          </w:p>
        </w:tc>
        <w:tc>
          <w:tcPr>
            <w:tcW w:w="1150" w:type="dxa"/>
            <w:tcBorders>
              <w:tl2br w:val="nil"/>
              <w:tr2bl w:val="nil"/>
            </w:tcBorders>
            <w:vAlign w:val="center"/>
          </w:tcPr>
          <w:p>
            <w:pPr>
              <w:pStyle w:val="2319"/>
              <w:spacing w:before="45"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项目支出</w:t>
            </w:r>
          </w:p>
        </w:tc>
        <w:tc>
          <w:tcPr>
            <w:tcW w:w="1220" w:type="dxa"/>
            <w:vMerge/>
            <w:tcBorders>
              <w:top w:val="nil"/>
              <w:tl2br w:val="nil"/>
              <w:tr2bl w:val="nil"/>
            </w:tcBorders>
          </w:tcPr>
          <w:p/>
        </w:tc>
        <w:tc>
          <w:tcPr>
            <w:tcW w:w="1185" w:type="dxa"/>
            <w:gridSpan w:val="2"/>
            <w:vMerge/>
            <w:tcBorders>
              <w:top w:val="nil"/>
              <w:tl2br w:val="nil"/>
              <w:tr2bl w:val="nil"/>
            </w:tcBorders>
          </w:tcPr>
          <w:p/>
        </w:tc>
        <w:tc>
          <w:tcPr>
            <w:tcW w:w="1185" w:type="dxa"/>
            <w:vMerge/>
            <w:tcBorders>
              <w:tl2br w:val="nil"/>
              <w:tr2bl w:val="nil"/>
            </w:tcBorders>
          </w:tcPr>
          <w:p/>
        </w:tc>
        <w:tc>
          <w:tcPr>
            <w:tcW w:w="1120" w:type="dxa"/>
            <w:vMerge/>
            <w:tcBorders>
              <w:tl2br w:val="nil"/>
              <w:tr2bl w:val="nil"/>
            </w:tcBorders>
          </w:tcPr>
          <w:p/>
        </w:tc>
        <w:tc>
          <w:tcPr>
            <w:tcW w:w="960" w:type="dxa"/>
            <w:vMerge/>
            <w:tcBorders>
              <w:tl2br w:val="nil"/>
              <w:tr2bl w:val="nil"/>
            </w:tcBorders>
          </w:tcP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201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一般公共服务支出</w:t>
            </w:r>
          </w:p>
        </w:tc>
        <w:tc>
          <w:tcPr>
            <w:tcW w:w="1200" w:type="dxa"/>
            <w:tcBorders>
              <w:tl2br w:val="nil"/>
              <w:tr2bl w:val="nil"/>
            </w:tcBorders>
            <w:shd w:val="clear" w:color="auto" w:fill="FFFFFF"/>
            <w:vAlign w:val="center"/>
          </w:tcPr>
          <w:p>
            <w:pPr>
              <w:pStyle w:val="3392"/>
              <w:jc w:val="right"/>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491.25</w:t>
            </w: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9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525.43</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432.05</w:t>
            </w:r>
          </w:p>
        </w:tc>
        <w:tc>
          <w:tcPr>
            <w:tcW w:w="115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93.38</w:t>
            </w: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60" w:type="dxa"/>
            <w:tcBorders>
              <w:tl2br w:val="nil"/>
              <w:tr2bl w:val="nil"/>
            </w:tcBorders>
            <w:vAlign w:val="center"/>
          </w:tcPr>
          <w:p>
            <w:pPr>
              <w:widowControl/>
              <w:jc w:val="right"/>
              <w:textAlignment w:val="center"/>
              <w:rPr>
                <w:b/>
                <w:bCs/>
                <w:color w:val="000000"/>
                <w:sz w:val="16"/>
                <w:szCs w:val="16"/>
                <w:highlight w:val="auto"/>
              </w:rPr>
            </w:pPr>
            <w:r>
              <w:rPr>
                <w:b/>
                <w:bCs/>
                <w:color w:val="000000"/>
                <w:sz w:val="16"/>
                <w:szCs w:val="16"/>
                <w:highlight w:val="auto"/>
              </w:rPr>
              <w:t>34.18</w:t>
            </w:r>
          </w:p>
        </w:tc>
        <w:tc>
          <w:tcPr>
            <w:tcW w:w="1210" w:type="dxa"/>
            <w:gridSpan w:val="2"/>
            <w:tcBorders>
              <w:tl2br w:val="nil"/>
              <w:tr2bl w:val="nil"/>
            </w:tcBorders>
            <w:vAlign w:val="center"/>
          </w:tcPr>
          <w:p>
            <w:pPr>
              <w:widowControl/>
              <w:jc w:val="right"/>
              <w:textAlignment w:val="center"/>
              <w:rPr>
                <w:b/>
                <w:bCs/>
                <w:color w:val="000000"/>
                <w:sz w:val="16"/>
                <w:szCs w:val="16"/>
                <w:highlight w:val="auto"/>
              </w:rPr>
            </w:pPr>
            <w:r>
              <w:rPr>
                <w:b/>
                <w:bCs/>
                <w:color w:val="000000"/>
                <w:sz w:val="16"/>
                <w:szCs w:val="16"/>
                <w:highlight w:val="auto"/>
              </w:rPr>
              <w:t>6.96%</w:t>
            </w:r>
          </w:p>
        </w:tc>
        <w:tc>
          <w:tcPr>
            <w:tcW w:w="1120"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20109</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海关事务</w:t>
            </w:r>
          </w:p>
        </w:tc>
        <w:tc>
          <w:tcPr>
            <w:tcW w:w="1200" w:type="dxa"/>
            <w:tcBorders>
              <w:tl2br w:val="nil"/>
              <w:tr2bl w:val="nil"/>
            </w:tcBorders>
            <w:shd w:val="clear" w:color="auto" w:fill="FFFFFF"/>
            <w:vAlign w:val="center"/>
          </w:tcPr>
          <w:p>
            <w:pPr>
              <w:pStyle w:val="3393"/>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491.25</w:t>
            </w: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525.43</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432.05</w:t>
            </w:r>
          </w:p>
        </w:tc>
        <w:tc>
          <w:tcPr>
            <w:tcW w:w="115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93.38</w:t>
            </w: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r>
              <w:rPr>
                <w:color w:val="000000"/>
                <w:sz w:val="16"/>
                <w:szCs w:val="16"/>
                <w:highlight w:val="auto"/>
              </w:rPr>
              <w:t>34.18</w:t>
            </w:r>
          </w:p>
        </w:tc>
        <w:tc>
          <w:tcPr>
            <w:tcW w:w="1210" w:type="dxa"/>
            <w:gridSpan w:val="2"/>
            <w:tcBorders>
              <w:tl2br w:val="nil"/>
              <w:tr2bl w:val="nil"/>
            </w:tcBorders>
            <w:vAlign w:val="center"/>
          </w:tcPr>
          <w:p>
            <w:pPr>
              <w:widowControl/>
              <w:jc w:val="right"/>
              <w:textAlignment w:val="center"/>
              <w:rPr>
                <w:color w:val="000000"/>
                <w:sz w:val="16"/>
                <w:szCs w:val="16"/>
                <w:highlight w:val="auto"/>
              </w:rPr>
            </w:pPr>
            <w:r>
              <w:rPr>
                <w:color w:val="000000"/>
                <w:sz w:val="16"/>
                <w:szCs w:val="16"/>
                <w:highlight w:val="auto"/>
              </w:rPr>
              <w:t>6.96%</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2010901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行政运行</w:t>
            </w:r>
          </w:p>
        </w:tc>
        <w:tc>
          <w:tcPr>
            <w:tcW w:w="1200" w:type="dxa"/>
            <w:tcBorders>
              <w:tl2br w:val="nil"/>
              <w:tr2bl w:val="nil"/>
            </w:tcBorders>
            <w:shd w:val="clear" w:color="auto" w:fill="FFFFFF"/>
            <w:vAlign w:val="center"/>
          </w:tcPr>
          <w:p>
            <w:pPr>
              <w:pStyle w:val="3394"/>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407.29</w:t>
            </w: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432.05</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432.05</w:t>
            </w:r>
          </w:p>
        </w:tc>
        <w:tc>
          <w:tcPr>
            <w:tcW w:w="115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r>
              <w:rPr>
                <w:color w:val="000000"/>
                <w:sz w:val="16"/>
                <w:szCs w:val="16"/>
                <w:highlight w:val="auto"/>
              </w:rPr>
              <w:t>24.76</w:t>
            </w:r>
          </w:p>
        </w:tc>
        <w:tc>
          <w:tcPr>
            <w:tcW w:w="1210" w:type="dxa"/>
            <w:gridSpan w:val="2"/>
            <w:tcBorders>
              <w:tl2br w:val="nil"/>
              <w:tr2bl w:val="nil"/>
            </w:tcBorders>
            <w:vAlign w:val="center"/>
          </w:tcPr>
          <w:p>
            <w:pPr>
              <w:widowControl/>
              <w:jc w:val="right"/>
              <w:textAlignment w:val="center"/>
              <w:rPr>
                <w:color w:val="000000"/>
                <w:sz w:val="16"/>
                <w:szCs w:val="16"/>
                <w:highlight w:val="auto"/>
              </w:rPr>
            </w:pPr>
            <w:r>
              <w:rPr>
                <w:color w:val="000000"/>
                <w:sz w:val="16"/>
                <w:szCs w:val="16"/>
                <w:highlight w:val="auto"/>
              </w:rPr>
              <w:t>6.08%</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2010902</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一般行政管理事务</w:t>
            </w:r>
          </w:p>
        </w:tc>
        <w:tc>
          <w:tcPr>
            <w:tcW w:w="1200" w:type="dxa"/>
            <w:tcBorders>
              <w:tl2br w:val="nil"/>
              <w:tr2bl w:val="nil"/>
            </w:tcBorders>
            <w:shd w:val="clear" w:color="auto" w:fill="FFFFFF"/>
            <w:vAlign w:val="center"/>
          </w:tcPr>
          <w:p>
            <w:pPr>
              <w:pStyle w:val="3395"/>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3145"/>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3146"/>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3147"/>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jc w:val="center"/>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2010903</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机关服务</w:t>
            </w:r>
          </w:p>
        </w:tc>
        <w:tc>
          <w:tcPr>
            <w:tcW w:w="1200" w:type="dxa"/>
            <w:tcBorders>
              <w:tl2br w:val="nil"/>
              <w:tr2bl w:val="nil"/>
            </w:tcBorders>
            <w:shd w:val="clear" w:color="auto" w:fill="FFFFFF"/>
            <w:vAlign w:val="center"/>
          </w:tcPr>
          <w:p>
            <w:pPr>
              <w:pStyle w:val="3396"/>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3148"/>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3149"/>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3150"/>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2010905</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缉私办案</w:t>
            </w:r>
          </w:p>
        </w:tc>
        <w:tc>
          <w:tcPr>
            <w:tcW w:w="1200" w:type="dxa"/>
            <w:tcBorders>
              <w:tl2br w:val="nil"/>
              <w:tr2bl w:val="nil"/>
            </w:tcBorders>
            <w:shd w:val="clear" w:color="auto" w:fill="FFFFFF"/>
            <w:vAlign w:val="center"/>
          </w:tcPr>
          <w:p>
            <w:pPr>
              <w:pStyle w:val="3151"/>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1</w:t>
            </w: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3331"/>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1.50</w:t>
            </w:r>
          </w:p>
        </w:tc>
        <w:tc>
          <w:tcPr>
            <w:tcW w:w="1200" w:type="dxa"/>
            <w:tcBorders>
              <w:tl2br w:val="nil"/>
              <w:tr2bl w:val="nil"/>
            </w:tcBorders>
            <w:shd w:val="clear" w:color="auto" w:fill="FFFFFF"/>
            <w:vAlign w:val="center"/>
          </w:tcPr>
          <w:p>
            <w:pPr>
              <w:pStyle w:val="3152"/>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3331"/>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1.50</w:t>
            </w: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r>
              <w:rPr>
                <w:color w:val="000000"/>
                <w:sz w:val="16"/>
                <w:szCs w:val="16"/>
                <w:highlight w:val="auto"/>
              </w:rPr>
              <w:t>0.5</w:t>
            </w:r>
          </w:p>
        </w:tc>
        <w:tc>
          <w:tcPr>
            <w:tcW w:w="1210" w:type="dxa"/>
            <w:gridSpan w:val="2"/>
            <w:tcBorders>
              <w:tl2br w:val="nil"/>
              <w:tr2bl w:val="nil"/>
            </w:tcBorders>
            <w:vAlign w:val="center"/>
          </w:tcPr>
          <w:p>
            <w:pPr>
              <w:widowControl/>
              <w:jc w:val="right"/>
              <w:textAlignment w:val="center"/>
              <w:rPr>
                <w:color w:val="000000"/>
                <w:sz w:val="16"/>
                <w:szCs w:val="16"/>
                <w:highlight w:val="auto"/>
              </w:rPr>
            </w:pPr>
            <w:r>
              <w:rPr>
                <w:color w:val="000000"/>
                <w:sz w:val="16"/>
                <w:szCs w:val="16"/>
                <w:highlight w:val="auto"/>
              </w:rPr>
              <w:t>50%</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2010907</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口岸管理</w:t>
            </w:r>
          </w:p>
        </w:tc>
        <w:tc>
          <w:tcPr>
            <w:tcW w:w="1200" w:type="dxa"/>
            <w:tcBorders>
              <w:tl2br w:val="nil"/>
              <w:tr2bl w:val="nil"/>
            </w:tcBorders>
            <w:shd w:val="clear" w:color="auto" w:fill="FFFFFF"/>
            <w:vAlign w:val="center"/>
          </w:tcPr>
          <w:p>
            <w:pPr>
              <w:pStyle w:val="3397"/>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3332"/>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3332"/>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2010908</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信息化建设</w:t>
            </w:r>
          </w:p>
        </w:tc>
        <w:tc>
          <w:tcPr>
            <w:tcW w:w="1200" w:type="dxa"/>
            <w:tcBorders>
              <w:tl2br w:val="nil"/>
              <w:tr2bl w:val="nil"/>
            </w:tcBorders>
            <w:shd w:val="clear" w:color="auto" w:fill="FFFFFF"/>
            <w:vAlign w:val="center"/>
          </w:tcPr>
          <w:p>
            <w:pPr>
              <w:pStyle w:val="3398"/>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3333"/>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3333"/>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2010909</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海关关务</w:t>
            </w:r>
          </w:p>
        </w:tc>
        <w:tc>
          <w:tcPr>
            <w:tcW w:w="1200" w:type="dxa"/>
            <w:tcBorders>
              <w:tl2br w:val="nil"/>
              <w:tr2bl w:val="nil"/>
            </w:tcBorders>
            <w:shd w:val="clear" w:color="auto" w:fill="FFFFFF"/>
            <w:vAlign w:val="center"/>
          </w:tcPr>
          <w:p>
            <w:pPr>
              <w:pStyle w:val="3399"/>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67.96</w:t>
            </w: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3334"/>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83.73</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3334"/>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83.73</w:t>
            </w: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r>
              <w:rPr>
                <w:color w:val="000000"/>
                <w:sz w:val="16"/>
                <w:szCs w:val="16"/>
                <w:highlight w:val="auto"/>
              </w:rPr>
              <w:t>15.77</w:t>
            </w:r>
          </w:p>
        </w:tc>
        <w:tc>
          <w:tcPr>
            <w:tcW w:w="1210" w:type="dxa"/>
            <w:gridSpan w:val="2"/>
            <w:tcBorders>
              <w:tl2br w:val="nil"/>
              <w:tr2bl w:val="nil"/>
            </w:tcBorders>
            <w:vAlign w:val="center"/>
          </w:tcPr>
          <w:p>
            <w:pPr>
              <w:widowControl/>
              <w:jc w:val="right"/>
              <w:textAlignment w:val="center"/>
              <w:rPr>
                <w:color w:val="000000"/>
                <w:sz w:val="16"/>
                <w:szCs w:val="16"/>
                <w:highlight w:val="auto"/>
              </w:rPr>
            </w:pPr>
            <w:r>
              <w:rPr>
                <w:color w:val="000000"/>
                <w:sz w:val="16"/>
                <w:szCs w:val="16"/>
                <w:highlight w:val="auto"/>
              </w:rPr>
              <w:t>23.20%</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2010910</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关税征管</w:t>
            </w:r>
          </w:p>
        </w:tc>
        <w:tc>
          <w:tcPr>
            <w:tcW w:w="1200" w:type="dxa"/>
            <w:tcBorders>
              <w:tl2br w:val="nil"/>
              <w:tr2bl w:val="nil"/>
            </w:tcBorders>
            <w:shd w:val="clear" w:color="auto" w:fill="FFFFFF"/>
            <w:vAlign w:val="center"/>
          </w:tcPr>
          <w:p>
            <w:pPr>
              <w:pStyle w:val="3400"/>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3335"/>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3335"/>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2010911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海关监管</w:t>
            </w:r>
          </w:p>
        </w:tc>
        <w:tc>
          <w:tcPr>
            <w:tcW w:w="1200" w:type="dxa"/>
            <w:tcBorders>
              <w:tl2br w:val="nil"/>
              <w:tr2bl w:val="nil"/>
            </w:tcBorders>
            <w:shd w:val="clear" w:color="auto" w:fill="FFFFFF"/>
            <w:vAlign w:val="center"/>
          </w:tcPr>
          <w:p>
            <w:pPr>
              <w:pStyle w:val="3401"/>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4</w:t>
            </w: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3336"/>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2.15</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3336"/>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2.15</w:t>
            </w: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r>
              <w:rPr>
                <w:color w:val="000000"/>
                <w:sz w:val="16"/>
                <w:szCs w:val="16"/>
                <w:highlight w:val="auto"/>
              </w:rPr>
              <w:t>-1.85</w:t>
            </w:r>
          </w:p>
        </w:tc>
        <w:tc>
          <w:tcPr>
            <w:tcW w:w="1210" w:type="dxa"/>
            <w:gridSpan w:val="2"/>
            <w:tcBorders>
              <w:tl2br w:val="nil"/>
              <w:tr2bl w:val="nil"/>
            </w:tcBorders>
            <w:vAlign w:val="center"/>
          </w:tcPr>
          <w:p>
            <w:pPr>
              <w:widowControl/>
              <w:jc w:val="right"/>
              <w:textAlignment w:val="center"/>
              <w:rPr>
                <w:color w:val="000000"/>
                <w:sz w:val="16"/>
                <w:szCs w:val="16"/>
                <w:highlight w:val="auto"/>
              </w:rPr>
            </w:pPr>
            <w:r>
              <w:rPr>
                <w:color w:val="000000"/>
                <w:sz w:val="16"/>
                <w:szCs w:val="16"/>
                <w:highlight w:val="auto"/>
              </w:rPr>
              <w:t>-46.25%</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2010912</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检验检疫</w:t>
            </w:r>
          </w:p>
        </w:tc>
        <w:tc>
          <w:tcPr>
            <w:tcW w:w="1200" w:type="dxa"/>
            <w:tcBorders>
              <w:tl2br w:val="nil"/>
              <w:tr2bl w:val="nil"/>
            </w:tcBorders>
            <w:shd w:val="clear" w:color="auto" w:fill="FFFFFF"/>
            <w:vAlign w:val="center"/>
          </w:tcPr>
          <w:p>
            <w:pPr>
              <w:pStyle w:val="3402"/>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11</w:t>
            </w: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3337"/>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6</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3337"/>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6</w:t>
            </w: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r>
              <w:rPr>
                <w:color w:val="000000"/>
                <w:sz w:val="16"/>
                <w:szCs w:val="16"/>
                <w:highlight w:val="auto"/>
              </w:rPr>
              <w:t>-5</w:t>
            </w:r>
          </w:p>
        </w:tc>
        <w:tc>
          <w:tcPr>
            <w:tcW w:w="1210" w:type="dxa"/>
            <w:gridSpan w:val="2"/>
            <w:tcBorders>
              <w:tl2br w:val="nil"/>
              <w:tr2bl w:val="nil"/>
            </w:tcBorders>
            <w:vAlign w:val="center"/>
          </w:tcPr>
          <w:p>
            <w:pPr>
              <w:widowControl/>
              <w:jc w:val="right"/>
              <w:textAlignment w:val="center"/>
              <w:rPr>
                <w:color w:val="000000"/>
                <w:sz w:val="16"/>
                <w:szCs w:val="16"/>
                <w:highlight w:val="auto"/>
              </w:rPr>
            </w:pPr>
            <w:r>
              <w:rPr>
                <w:color w:val="000000"/>
                <w:sz w:val="16"/>
                <w:szCs w:val="16"/>
                <w:highlight w:val="auto"/>
              </w:rPr>
              <w:t>-45.45%</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2010950</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事业运行</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color w:val="FFC000"/>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2010999</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其他海关事务支出</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hint="eastAsia"/>
                <w:sz w:val="16"/>
                <w:szCs w:val="16"/>
                <w:lang w:bidi="ar-SA"/>
                <w:highlight w:val="auto"/>
              </w:rPr>
              <w:t>20111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hint="eastAsia"/>
                <w:sz w:val="16"/>
                <w:szCs w:val="16"/>
                <w:lang w:bidi="ar-SA"/>
                <w:highlight w:val="auto"/>
              </w:rPr>
              <w:t>纪检监察事务</w:t>
            </w:r>
          </w:p>
        </w:tc>
        <w:tc>
          <w:tcPr>
            <w:tcW w:w="120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210" w:type="dxa"/>
            <w:gridSpan w:val="2"/>
            <w:tcBorders>
              <w:tl2br w:val="nil"/>
              <w:tr2bl w:val="nil"/>
            </w:tcBorders>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120" w:type="dxa"/>
            <w:tcBorders>
              <w:tl2br w:val="nil"/>
              <w:tr2bl w:val="nil"/>
            </w:tcBorders>
            <w:vAlign w:val="center"/>
          </w:tcPr>
          <w:p>
            <w:pPr>
              <w:pStyle w:val="2319"/>
              <w:ind w:leftChars="100" w:left="210"/>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ind w:leftChars="100" w:left="210"/>
              <w:jc w:val="right"/>
              <w:rPr>
                <w:rFonts w:ascii="Times New Roman" w:eastAsia="宋体" w:cs="Times New Roman" w:hAnsi="Times New Roman"/>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hint="eastAsia"/>
                <w:sz w:val="16"/>
                <w:szCs w:val="16"/>
                <w:lang w:bidi="ar-SA"/>
                <w:highlight w:val="auto"/>
              </w:rPr>
              <w:t>2011105</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hint="eastAsia"/>
                <w:sz w:val="16"/>
                <w:szCs w:val="16"/>
                <w:lang w:bidi="ar-SA"/>
                <w:highlight w:val="auto"/>
              </w:rPr>
              <w:t>派驻派出机构</w:t>
            </w:r>
          </w:p>
        </w:tc>
        <w:tc>
          <w:tcPr>
            <w:tcW w:w="120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210" w:type="dxa"/>
            <w:gridSpan w:val="2"/>
            <w:tcBorders>
              <w:tl2br w:val="nil"/>
              <w:tr2bl w:val="nil"/>
            </w:tcBorders>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120" w:type="dxa"/>
            <w:tcBorders>
              <w:tl2br w:val="nil"/>
              <w:tr2bl w:val="nil"/>
            </w:tcBorders>
            <w:vAlign w:val="center"/>
          </w:tcPr>
          <w:p>
            <w:pPr>
              <w:pStyle w:val="2319"/>
              <w:ind w:leftChars="100" w:left="210"/>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ind w:leftChars="100" w:left="210"/>
              <w:jc w:val="right"/>
              <w:rPr>
                <w:rFonts w:ascii="Times New Roman" w:eastAsia="宋体" w:cs="Times New Roman" w:hAnsi="Times New Roman"/>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202</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外交支出</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9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5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60" w:type="dxa"/>
            <w:tcBorders>
              <w:tl2br w:val="nil"/>
              <w:tr2bl w:val="nil"/>
            </w:tcBorders>
            <w:vAlign w:val="center"/>
          </w:tcPr>
          <w:p>
            <w:pPr>
              <w:widowControl/>
              <w:jc w:val="right"/>
              <w:textAlignment w:val="center"/>
              <w:rPr>
                <w:b/>
                <w:bCs/>
                <w:color w:val="000000"/>
                <w:sz w:val="16"/>
                <w:szCs w:val="16"/>
                <w:highlight w:val="auto"/>
              </w:rPr>
            </w:pPr>
          </w:p>
        </w:tc>
        <w:tc>
          <w:tcPr>
            <w:tcW w:w="1210" w:type="dxa"/>
            <w:gridSpan w:val="2"/>
            <w:tcBorders>
              <w:tl2br w:val="nil"/>
              <w:tr2bl w:val="nil"/>
            </w:tcBorders>
            <w:vAlign w:val="center"/>
          </w:tcPr>
          <w:p>
            <w:pPr>
              <w:widowControl/>
              <w:jc w:val="right"/>
              <w:textAlignment w:val="center"/>
              <w:rPr>
                <w:b/>
                <w:bCs/>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20203</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对外援助</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20204</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国际组织</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20205</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对外合作与交流</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hint="eastAsia"/>
                <w:sz w:val="16"/>
                <w:szCs w:val="16"/>
                <w:lang w:bidi="ar-SA"/>
                <w:highlight w:val="auto"/>
              </w:rPr>
              <w:t>20299</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hint="eastAsia"/>
                <w:sz w:val="16"/>
                <w:szCs w:val="16"/>
                <w:lang w:bidi="ar-SA"/>
                <w:highlight w:val="auto"/>
              </w:rPr>
              <w:t>其他外交支出</w:t>
            </w:r>
          </w:p>
        </w:tc>
        <w:tc>
          <w:tcPr>
            <w:tcW w:w="1200" w:type="dxa"/>
            <w:tcBorders>
              <w:tl2br w:val="nil"/>
              <w:tr2bl w:val="nil"/>
            </w:tcBorders>
            <w:shd w:val="clear" w:color="auto" w:fill="FFFFFF"/>
            <w:vAlign w:val="center"/>
          </w:tcPr>
          <w:p>
            <w:pPr>
              <w:pStyle w:val="2319"/>
              <w:ind w:leftChars="100" w:left="210"/>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ind w:leftChars="100" w:left="210"/>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2319"/>
              <w:ind w:leftChars="100" w:left="210"/>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kern w:val="0"/>
                <w:sz w:val="16"/>
                <w:szCs w:val="16"/>
                <w:lang w:bidi="ar-SA"/>
                <w:highlight w:val="auto"/>
              </w:rPr>
            </w:pPr>
          </w:p>
        </w:tc>
        <w:tc>
          <w:tcPr>
            <w:tcW w:w="1210" w:type="dxa"/>
            <w:gridSpan w:val="2"/>
            <w:tcBorders>
              <w:tl2br w:val="nil"/>
              <w:tr2bl w:val="nil"/>
            </w:tcBorders>
            <w:vAlign w:val="center"/>
          </w:tcPr>
          <w:p>
            <w:pPr>
              <w:widowControl/>
              <w:jc w:val="right"/>
              <w:textAlignment w:val="center"/>
              <w:rPr>
                <w:color w:val="000000"/>
                <w:kern w:val="0"/>
                <w:sz w:val="16"/>
                <w:szCs w:val="16"/>
                <w:lang w:bidi="ar-SA"/>
                <w:highlight w:val="auto"/>
              </w:rPr>
            </w:pPr>
          </w:p>
        </w:tc>
        <w:tc>
          <w:tcPr>
            <w:tcW w:w="1120" w:type="dxa"/>
            <w:tcBorders>
              <w:tl2br w:val="nil"/>
              <w:tr2bl w:val="nil"/>
            </w:tcBorders>
            <w:vAlign w:val="center"/>
          </w:tcPr>
          <w:p>
            <w:pPr>
              <w:widowControl/>
              <w:jc w:val="right"/>
              <w:textAlignment w:val="center"/>
              <w:rPr>
                <w:color w:val="000000"/>
                <w:kern w:val="0"/>
                <w:sz w:val="16"/>
                <w:szCs w:val="16"/>
                <w:lang w:bidi="ar-SA"/>
                <w:highlight w:val="auto"/>
              </w:rPr>
            </w:pPr>
          </w:p>
        </w:tc>
        <w:tc>
          <w:tcPr>
            <w:tcW w:w="960" w:type="dxa"/>
            <w:tcBorders>
              <w:tl2br w:val="nil"/>
              <w:tr2bl w:val="nil"/>
            </w:tcBorders>
            <w:vAlign w:val="center"/>
          </w:tcPr>
          <w:p>
            <w:pPr>
              <w:widowControl/>
              <w:jc w:val="right"/>
              <w:textAlignment w:val="center"/>
              <w:rPr>
                <w:color w:val="000000"/>
                <w:kern w:val="0"/>
                <w:sz w:val="16"/>
                <w:szCs w:val="16"/>
                <w:lang w:bidi="ar-SA"/>
                <w:highlight w:val="auto"/>
              </w:rPr>
            </w:pP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204</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公共安全支出</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90" w:type="dxa"/>
            <w:tcBorders>
              <w:tl2br w:val="nil"/>
              <w:tr2bl w:val="nil"/>
            </w:tcBorders>
            <w:shd w:val="clear" w:color="auto" w:fill="FFFFFF"/>
            <w:vAlign w:val="center"/>
          </w:tcPr>
          <w:p>
            <w:pPr>
              <w:widowControl/>
              <w:jc w:val="right"/>
              <w:textAlignment w:val="center"/>
              <w:rPr>
                <w:b/>
                <w:bCs/>
                <w:sz w:val="16"/>
                <w:szCs w:val="16"/>
                <w:highlight w:val="auto"/>
              </w:rPr>
            </w:pPr>
          </w:p>
        </w:tc>
        <w:tc>
          <w:tcPr>
            <w:tcW w:w="1200" w:type="dxa"/>
            <w:tcBorders>
              <w:tl2br w:val="nil"/>
              <w:tr2bl w:val="nil"/>
            </w:tcBorders>
            <w:shd w:val="clear" w:color="auto" w:fill="FFFFFF"/>
            <w:vAlign w:val="center"/>
          </w:tcPr>
          <w:p>
            <w:pPr>
              <w:widowControl/>
              <w:jc w:val="right"/>
              <w:textAlignment w:val="center"/>
              <w:rPr>
                <w:b/>
                <w:bCs/>
                <w:sz w:val="16"/>
                <w:szCs w:val="16"/>
                <w:highlight w:val="auto"/>
              </w:rPr>
            </w:pPr>
          </w:p>
        </w:tc>
        <w:tc>
          <w:tcPr>
            <w:tcW w:w="1150" w:type="dxa"/>
            <w:tcBorders>
              <w:tl2br w:val="nil"/>
              <w:tr2bl w:val="nil"/>
            </w:tcBorders>
            <w:shd w:val="clear" w:color="auto" w:fill="FFFFFF"/>
            <w:vAlign w:val="center"/>
          </w:tcPr>
          <w:p>
            <w:pPr>
              <w:widowControl/>
              <w:jc w:val="right"/>
              <w:textAlignment w:val="center"/>
              <w:rPr>
                <w:b/>
                <w:bCs/>
                <w:sz w:val="16"/>
                <w:szCs w:val="16"/>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60" w:type="dxa"/>
            <w:tcBorders>
              <w:tl2br w:val="nil"/>
              <w:tr2bl w:val="nil"/>
            </w:tcBorders>
            <w:vAlign w:val="center"/>
          </w:tcPr>
          <w:p>
            <w:pPr>
              <w:widowControl/>
              <w:jc w:val="right"/>
              <w:textAlignment w:val="center"/>
              <w:rPr>
                <w:b/>
                <w:bCs/>
                <w:color w:val="000000"/>
                <w:sz w:val="16"/>
                <w:szCs w:val="16"/>
                <w:highlight w:val="auto"/>
              </w:rPr>
            </w:pPr>
          </w:p>
        </w:tc>
        <w:tc>
          <w:tcPr>
            <w:tcW w:w="1210" w:type="dxa"/>
            <w:gridSpan w:val="2"/>
            <w:tcBorders>
              <w:tl2br w:val="nil"/>
              <w:tr2bl w:val="nil"/>
            </w:tcBorders>
            <w:vAlign w:val="center"/>
          </w:tcPr>
          <w:p>
            <w:pPr>
              <w:widowControl/>
              <w:jc w:val="right"/>
              <w:textAlignment w:val="center"/>
              <w:rPr>
                <w:b/>
                <w:bCs/>
                <w:color w:val="000000"/>
                <w:sz w:val="16"/>
                <w:szCs w:val="16"/>
                <w:highlight w:val="auto"/>
              </w:rPr>
            </w:pPr>
          </w:p>
        </w:tc>
        <w:tc>
          <w:tcPr>
            <w:tcW w:w="1120" w:type="dxa"/>
            <w:tcBorders>
              <w:tl2br w:val="nil"/>
              <w:tr2bl w:val="nil"/>
            </w:tcBorders>
            <w:vAlign w:val="center"/>
          </w:tcPr>
          <w:p>
            <w:pPr>
              <w:widowControl/>
              <w:jc w:val="right"/>
              <w:textAlignment w:val="center"/>
              <w:rPr>
                <w:b/>
                <w:bCs/>
                <w:color w:val="000000"/>
                <w:sz w:val="16"/>
                <w:szCs w:val="16"/>
                <w:highlight w:val="auto"/>
              </w:rPr>
            </w:pPr>
          </w:p>
        </w:tc>
        <w:tc>
          <w:tcPr>
            <w:tcW w:w="960"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20410</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缉私警察</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widowControl/>
              <w:jc w:val="right"/>
              <w:textAlignment w:val="center"/>
              <w:rPr>
                <w:sz w:val="16"/>
                <w:szCs w:val="16"/>
                <w:highlight w:val="auto"/>
              </w:rPr>
            </w:pPr>
          </w:p>
        </w:tc>
        <w:tc>
          <w:tcPr>
            <w:tcW w:w="1200" w:type="dxa"/>
            <w:tcBorders>
              <w:tl2br w:val="nil"/>
              <w:tr2bl w:val="nil"/>
            </w:tcBorders>
            <w:shd w:val="clear" w:color="auto" w:fill="FFFFFF"/>
            <w:vAlign w:val="center"/>
          </w:tcPr>
          <w:p>
            <w:pPr>
              <w:widowControl/>
              <w:jc w:val="right"/>
              <w:textAlignment w:val="center"/>
              <w:rPr>
                <w:sz w:val="16"/>
                <w:szCs w:val="16"/>
                <w:highlight w:val="auto"/>
              </w:rPr>
            </w:pPr>
          </w:p>
        </w:tc>
        <w:tc>
          <w:tcPr>
            <w:tcW w:w="1150" w:type="dxa"/>
            <w:tcBorders>
              <w:tl2br w:val="nil"/>
              <w:tr2bl w:val="nil"/>
            </w:tcBorders>
            <w:shd w:val="clear" w:color="auto" w:fill="FFFFFF"/>
            <w:vAlign w:val="center"/>
          </w:tcPr>
          <w:p>
            <w:pPr>
              <w:widowControl/>
              <w:jc w:val="right"/>
              <w:textAlignment w:val="center"/>
              <w:rPr>
                <w:sz w:val="16"/>
                <w:szCs w:val="16"/>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widowControl/>
              <w:jc w:val="right"/>
              <w:textAlignment w:val="center"/>
              <w:rPr>
                <w:color w:val="000000"/>
                <w:sz w:val="16"/>
                <w:szCs w:val="16"/>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205</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教育支出</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90" w:type="dxa"/>
            <w:tcBorders>
              <w:tl2br w:val="nil"/>
              <w:tr2bl w:val="nil"/>
            </w:tcBorders>
            <w:shd w:val="clear" w:color="auto" w:fill="FFFFFF"/>
            <w:vAlign w:val="center"/>
          </w:tcPr>
          <w:p>
            <w:pPr>
              <w:widowControl/>
              <w:jc w:val="right"/>
              <w:textAlignment w:val="center"/>
              <w:rPr>
                <w:b/>
                <w:bCs/>
                <w:sz w:val="16"/>
                <w:szCs w:val="16"/>
                <w:highlight w:val="auto"/>
              </w:rPr>
            </w:pPr>
          </w:p>
        </w:tc>
        <w:tc>
          <w:tcPr>
            <w:tcW w:w="1200" w:type="dxa"/>
            <w:tcBorders>
              <w:tl2br w:val="nil"/>
              <w:tr2bl w:val="nil"/>
            </w:tcBorders>
            <w:shd w:val="clear" w:color="auto" w:fill="FFFFFF"/>
            <w:vAlign w:val="center"/>
          </w:tcPr>
          <w:p>
            <w:pPr>
              <w:widowControl/>
              <w:jc w:val="right"/>
              <w:textAlignment w:val="center"/>
              <w:rPr>
                <w:b/>
                <w:bCs/>
                <w:sz w:val="16"/>
                <w:szCs w:val="16"/>
                <w:highlight w:val="auto"/>
              </w:rPr>
            </w:pPr>
          </w:p>
        </w:tc>
        <w:tc>
          <w:tcPr>
            <w:tcW w:w="1150" w:type="dxa"/>
            <w:tcBorders>
              <w:tl2br w:val="nil"/>
              <w:tr2bl w:val="nil"/>
            </w:tcBorders>
            <w:shd w:val="clear" w:color="auto" w:fill="FFFFFF"/>
            <w:vAlign w:val="center"/>
          </w:tcPr>
          <w:p>
            <w:pPr>
              <w:widowControl/>
              <w:jc w:val="right"/>
              <w:textAlignment w:val="center"/>
              <w:rPr>
                <w:b/>
                <w:bCs/>
                <w:sz w:val="16"/>
                <w:szCs w:val="16"/>
                <w:highlight w:val="auto"/>
              </w:rPr>
            </w:pPr>
          </w:p>
        </w:tc>
        <w:tc>
          <w:tcPr>
            <w:tcW w:w="1220" w:type="dxa"/>
            <w:tcBorders>
              <w:tl2br w:val="nil"/>
              <w:tr2bl w:val="nil"/>
            </w:tcBorders>
            <w:shd w:val="clear" w:color="auto" w:fill="FFFFFF"/>
            <w:vAlign w:val="center"/>
          </w:tcPr>
          <w:p>
            <w:pPr>
              <w:widowControl/>
              <w:jc w:val="right"/>
              <w:textAlignment w:val="center"/>
              <w:rPr>
                <w:b/>
                <w:bCs/>
                <w:color w:val="000000"/>
                <w:sz w:val="16"/>
                <w:szCs w:val="16"/>
                <w:highlight w:val="auto"/>
              </w:rPr>
            </w:pPr>
          </w:p>
        </w:tc>
        <w:tc>
          <w:tcPr>
            <w:tcW w:w="1160" w:type="dxa"/>
            <w:tcBorders>
              <w:tl2br w:val="nil"/>
              <w:tr2bl w:val="nil"/>
            </w:tcBorders>
            <w:vAlign w:val="center"/>
          </w:tcPr>
          <w:p>
            <w:pPr>
              <w:widowControl/>
              <w:jc w:val="right"/>
              <w:textAlignment w:val="center"/>
              <w:rPr>
                <w:b/>
                <w:bCs/>
                <w:color w:val="000000"/>
                <w:sz w:val="16"/>
                <w:szCs w:val="16"/>
                <w:highlight w:val="auto"/>
              </w:rPr>
            </w:pPr>
          </w:p>
        </w:tc>
        <w:tc>
          <w:tcPr>
            <w:tcW w:w="1210" w:type="dxa"/>
            <w:gridSpan w:val="2"/>
            <w:tcBorders>
              <w:tl2br w:val="nil"/>
              <w:tr2bl w:val="nil"/>
            </w:tcBorders>
            <w:vAlign w:val="center"/>
          </w:tcPr>
          <w:p>
            <w:pPr>
              <w:widowControl/>
              <w:jc w:val="right"/>
              <w:textAlignment w:val="center"/>
              <w:rPr>
                <w:b/>
                <w:bCs/>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20502</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普通教育</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widowControl/>
              <w:jc w:val="right"/>
              <w:textAlignment w:val="center"/>
              <w:rPr>
                <w:sz w:val="16"/>
                <w:szCs w:val="16"/>
                <w:highlight w:val="auto"/>
              </w:rPr>
            </w:pPr>
          </w:p>
        </w:tc>
        <w:tc>
          <w:tcPr>
            <w:tcW w:w="1200" w:type="dxa"/>
            <w:tcBorders>
              <w:tl2br w:val="nil"/>
              <w:tr2bl w:val="nil"/>
            </w:tcBorders>
            <w:shd w:val="clear" w:color="auto" w:fill="FFFFFF"/>
            <w:vAlign w:val="center"/>
          </w:tcPr>
          <w:p>
            <w:pPr>
              <w:widowControl/>
              <w:jc w:val="right"/>
              <w:textAlignment w:val="center"/>
              <w:rPr>
                <w:sz w:val="16"/>
                <w:szCs w:val="16"/>
                <w:highlight w:val="auto"/>
              </w:rPr>
            </w:pPr>
          </w:p>
        </w:tc>
        <w:tc>
          <w:tcPr>
            <w:tcW w:w="1150" w:type="dxa"/>
            <w:tcBorders>
              <w:tl2br w:val="nil"/>
              <w:tr2bl w:val="nil"/>
            </w:tcBorders>
            <w:shd w:val="clear" w:color="auto" w:fill="FFFFFF"/>
            <w:vAlign w:val="center"/>
          </w:tcPr>
          <w:p>
            <w:pPr>
              <w:widowControl/>
              <w:jc w:val="right"/>
              <w:textAlignment w:val="center"/>
              <w:rPr>
                <w:sz w:val="16"/>
                <w:szCs w:val="16"/>
                <w:highlight w:val="auto"/>
              </w:rPr>
            </w:pPr>
          </w:p>
        </w:tc>
        <w:tc>
          <w:tcPr>
            <w:tcW w:w="1220" w:type="dxa"/>
            <w:tcBorders>
              <w:tl2br w:val="nil"/>
              <w:tr2bl w:val="nil"/>
            </w:tcBorders>
            <w:shd w:val="clear" w:color="auto" w:fill="FFFFFF"/>
            <w:vAlign w:val="center"/>
          </w:tcPr>
          <w:p>
            <w:pPr>
              <w:widowControl/>
              <w:jc w:val="right"/>
              <w:textAlignment w:val="center"/>
              <w:rPr>
                <w:color w:val="000000"/>
                <w:sz w:val="16"/>
                <w:szCs w:val="16"/>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2050205</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高等教育</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widowControl/>
              <w:jc w:val="right"/>
              <w:textAlignment w:val="center"/>
              <w:rPr>
                <w:sz w:val="16"/>
                <w:szCs w:val="16"/>
                <w:highlight w:val="auto"/>
              </w:rPr>
            </w:pPr>
          </w:p>
        </w:tc>
        <w:tc>
          <w:tcPr>
            <w:tcW w:w="1200" w:type="dxa"/>
            <w:tcBorders>
              <w:tl2br w:val="nil"/>
              <w:tr2bl w:val="nil"/>
            </w:tcBorders>
            <w:shd w:val="clear" w:color="auto" w:fill="FFFFFF"/>
            <w:vAlign w:val="center"/>
          </w:tcPr>
          <w:p>
            <w:pPr>
              <w:widowControl/>
              <w:jc w:val="right"/>
              <w:textAlignment w:val="center"/>
              <w:rPr>
                <w:sz w:val="16"/>
                <w:szCs w:val="16"/>
                <w:highlight w:val="auto"/>
              </w:rPr>
            </w:pPr>
          </w:p>
        </w:tc>
        <w:tc>
          <w:tcPr>
            <w:tcW w:w="1150" w:type="dxa"/>
            <w:tcBorders>
              <w:tl2br w:val="nil"/>
              <w:tr2bl w:val="nil"/>
            </w:tcBorders>
            <w:shd w:val="clear" w:color="auto" w:fill="FFFFFF"/>
            <w:vAlign w:val="center"/>
          </w:tcPr>
          <w:p>
            <w:pPr>
              <w:widowControl/>
              <w:jc w:val="right"/>
              <w:textAlignment w:val="center"/>
              <w:rPr>
                <w:sz w:val="16"/>
                <w:szCs w:val="16"/>
                <w:highlight w:val="auto"/>
              </w:rPr>
            </w:pPr>
          </w:p>
        </w:tc>
        <w:tc>
          <w:tcPr>
            <w:tcW w:w="1220" w:type="dxa"/>
            <w:tcBorders>
              <w:tl2br w:val="nil"/>
              <w:tr2bl w:val="nil"/>
            </w:tcBorders>
            <w:shd w:val="clear" w:color="auto" w:fill="FFFFFF"/>
            <w:vAlign w:val="center"/>
          </w:tcPr>
          <w:p>
            <w:pPr>
              <w:widowControl/>
              <w:jc w:val="right"/>
              <w:textAlignment w:val="center"/>
              <w:rPr>
                <w:color w:val="000000"/>
                <w:sz w:val="16"/>
                <w:szCs w:val="16"/>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bl>
    <w:p>
      <w:pPr>
        <w:pStyle w:val="2319"/>
        <w:rPr>
          <w:rFonts w:ascii="Times New Roman" w:eastAsia="宋体" w:hAnsi="Times New Roman"/>
          <w:highlight w:val="auto"/>
        </w:rPr>
      </w:pPr>
    </w:p>
    <w:p>
      <w:pPr>
        <w:pStyle w:val="2319"/>
        <w:rPr>
          <w:rFonts w:ascii="Times New Roman" w:eastAsia="宋体" w:hAnsi="Times New Roman"/>
          <w:highlight w:val="auto"/>
        </w:rPr>
        <w:sectPr>
          <w:pgSz w:w="16841" w:h="11907"/>
          <w:pgMar w:top="796" w:right="881" w:bottom="0" w:left="883" w:header="0" w:footer="0" w:gutter="0"/>
          <w:pgNumType/>
          <w:docGrid w:linePitch="285" w:charSpace="0"/>
        </w:sectPr>
      </w:pPr>
    </w:p>
    <w:tbl>
      <w:tblPr>
        <w:jc w:val="center"/>
        <w:tblW w:w="14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983"/>
        <w:gridCol w:w="2440"/>
        <w:gridCol w:w="1200"/>
        <w:gridCol w:w="1130"/>
        <w:gridCol w:w="1180"/>
        <w:gridCol w:w="1210"/>
        <w:gridCol w:w="1170"/>
        <w:gridCol w:w="1180"/>
        <w:gridCol w:w="1200"/>
        <w:gridCol w:w="1190"/>
        <w:gridCol w:w="1120"/>
        <w:gridCol w:w="979"/>
      </w:tblGrid>
      <w:tr>
        <w:trPr>
          <w:trHeight w:val="719"/>
        </w:trPr>
        <w:tc>
          <w:tcPr>
            <w:tcW w:w="3423" w:type="dxa"/>
            <w:gridSpan w:val="2"/>
            <w:tcBorders>
              <w:tl2br w:val="nil"/>
              <w:tr2bl w:val="nil"/>
            </w:tcBorders>
          </w:tcPr>
          <w:p>
            <w:pPr>
              <w:pStyle w:val="2320"/>
              <w:spacing w:before="263"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spacing w:val="-1"/>
                <w:sz w:val="16"/>
                <w:szCs w:val="16"/>
                <w:lang w:bidi="ar-SA"/>
                <w:highlight w:val="auto"/>
              </w:rPr>
              <w:t>4</w:t>
            </w:r>
            <w:r>
              <w:rPr>
                <w:rFonts w:ascii="Times New Roman" w:eastAsia="宋体" w:cs="Microsoft JhengHei" w:hAnsi="Times New Roman" w:hint="eastAsia"/>
                <w:spacing w:val="-1"/>
                <w:sz w:val="16"/>
                <w:szCs w:val="16"/>
                <w:lang w:bidi="ar-SA"/>
                <w:highlight w:val="auto"/>
              </w:rPr>
              <w:t>分类科目</w:t>
            </w:r>
          </w:p>
        </w:tc>
        <w:tc>
          <w:tcPr>
            <w:tcW w:w="2330" w:type="dxa"/>
            <w:gridSpan w:val="2"/>
            <w:tcBorders>
              <w:tl2br w:val="nil"/>
              <w:tr2bl w:val="nil"/>
            </w:tcBorders>
          </w:tcPr>
          <w:p>
            <w:pPr>
              <w:pStyle w:val="2321"/>
              <w:spacing w:before="263" w:line="180" w:lineRule="auto"/>
              <w:ind w:firstLine="634"/>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4"/>
                <w:sz w:val="16"/>
                <w:szCs w:val="16"/>
                <w:lang w:bidi="ar-SA"/>
                <w:highlight w:val="auto"/>
              </w:rPr>
              <w:t>202</w:t>
            </w:r>
            <w:r>
              <w:rPr>
                <w:rFonts w:ascii="Times New Roman" w:eastAsia="宋体" w:cs="Microsoft JhengHei" w:hAnsi="Times New Roman"/>
                <w:spacing w:val="-4"/>
                <w:sz w:val="16"/>
                <w:szCs w:val="16"/>
                <w:lang w:bidi="ar-SA"/>
                <w:highlight w:val="auto"/>
              </w:rPr>
              <w:t>3</w:t>
            </w:r>
            <w:r>
              <w:rPr>
                <w:rFonts w:ascii="Times New Roman" w:eastAsia="宋体" w:cs="Microsoft JhengHei" w:hAnsi="Times New Roman" w:hint="eastAsia"/>
                <w:spacing w:val="-4"/>
                <w:sz w:val="16"/>
                <w:szCs w:val="16"/>
                <w:lang w:bidi="ar-SA"/>
                <w:highlight w:val="auto"/>
              </w:rPr>
              <w:t>年执行数</w:t>
            </w:r>
          </w:p>
        </w:tc>
        <w:tc>
          <w:tcPr>
            <w:tcW w:w="4740" w:type="dxa"/>
            <w:gridSpan w:val="4"/>
            <w:tcBorders>
              <w:tl2br w:val="nil"/>
              <w:tr2bl w:val="nil"/>
            </w:tcBorders>
          </w:tcPr>
          <w:p>
            <w:pPr>
              <w:pStyle w:val="2322"/>
              <w:spacing w:before="263" w:line="180" w:lineRule="auto"/>
              <w:ind w:firstLine="1785"/>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4"/>
                <w:sz w:val="16"/>
                <w:szCs w:val="16"/>
                <w:lang w:bidi="ar-SA"/>
                <w:highlight w:val="auto"/>
              </w:rPr>
              <w:t>202</w:t>
            </w:r>
            <w:r>
              <w:rPr>
                <w:rFonts w:ascii="Times New Roman" w:eastAsia="宋体" w:cs="Microsoft JhengHei" w:hAnsi="Times New Roman"/>
                <w:spacing w:val="-4"/>
                <w:sz w:val="16"/>
                <w:szCs w:val="16"/>
                <w:lang w:bidi="ar-SA"/>
                <w:highlight w:val="auto"/>
              </w:rPr>
              <w:t>4</w:t>
            </w:r>
            <w:r>
              <w:rPr>
                <w:rFonts w:ascii="Times New Roman" w:eastAsia="宋体" w:cs="Microsoft JhengHei" w:hAnsi="Times New Roman" w:hint="eastAsia"/>
                <w:spacing w:val="-4"/>
                <w:sz w:val="16"/>
                <w:szCs w:val="16"/>
                <w:lang w:bidi="ar-SA"/>
                <w:highlight w:val="auto"/>
              </w:rPr>
              <w:t>年预算数</w:t>
            </w:r>
          </w:p>
        </w:tc>
        <w:tc>
          <w:tcPr>
            <w:tcW w:w="2390" w:type="dxa"/>
            <w:gridSpan w:val="2"/>
            <w:tcBorders>
              <w:tl2br w:val="nil"/>
              <w:tr2bl w:val="nil"/>
            </w:tcBorders>
            <w:vAlign w:val="center"/>
          </w:tcPr>
          <w:p>
            <w:pPr>
              <w:pStyle w:val="2324"/>
              <w:spacing w:before="26" w:line="180" w:lineRule="auto"/>
              <w:ind w:left="874" w:right="143" w:hanging="720"/>
              <w:jc w:val="center"/>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2024年预算数比</w:t>
            </w:r>
          </w:p>
          <w:p>
            <w:pPr>
              <w:pStyle w:val="2324"/>
              <w:spacing w:before="26" w:line="180" w:lineRule="auto"/>
              <w:ind w:left="874" w:right="143" w:hanging="720"/>
              <w:jc w:val="center"/>
              <w:rPr>
                <w:rFonts w:ascii="Times New Roman" w:eastAsia="宋体" w:cs="Microsoft JhengHei" w:hAnsi="Times New Roman" w:hint="eastAsia"/>
                <w:sz w:val="16"/>
                <w:szCs w:val="16"/>
                <w:lang w:bidi="ar-SA"/>
                <w:highlight w:val="auto"/>
              </w:rPr>
            </w:pPr>
            <w:r>
              <w:rPr>
                <w:rFonts w:ascii="Times New Roman" w:eastAsia="宋体" w:cs="Times New Roman" w:hAnsi="Times New Roman"/>
                <w:sz w:val="16"/>
                <w:szCs w:val="16"/>
                <w:lang w:bidi="ar-SA"/>
                <w:highlight w:val="auto"/>
              </w:rPr>
              <w:t>2023年执行数</w:t>
            </w:r>
          </w:p>
        </w:tc>
        <w:tc>
          <w:tcPr>
            <w:tcW w:w="2099" w:type="dxa"/>
            <w:gridSpan w:val="2"/>
            <w:tcBorders>
              <w:tl2br w:val="nil"/>
              <w:tr2bl w:val="nil"/>
            </w:tcBorders>
            <w:vAlign w:val="center"/>
          </w:tcPr>
          <w:p>
            <w:pPr>
              <w:pStyle w:val="2324"/>
              <w:spacing w:before="26" w:line="180" w:lineRule="auto"/>
              <w:ind w:left="874" w:right="143" w:hanging="720"/>
              <w:jc w:val="center"/>
              <w:rPr>
                <w:rFonts w:ascii="Times New Roman" w:eastAsia="宋体" w:cs="Microsoft JhengHei" w:hAnsi="Times New Roman" w:hint="eastAsia"/>
                <w:spacing w:val="-4"/>
                <w:sz w:val="16"/>
                <w:szCs w:val="16"/>
                <w:lang w:bidi="ar-SA"/>
                <w:highlight w:val="auto"/>
              </w:rPr>
            </w:pPr>
            <w:r>
              <w:rPr>
                <w:rFonts w:ascii="Times New Roman" w:eastAsia="宋体" w:cs="Microsoft JhengHei" w:hAnsi="Times New Roman" w:hint="eastAsia"/>
                <w:spacing w:val="-4"/>
                <w:sz w:val="16"/>
                <w:szCs w:val="16"/>
                <w:lang w:bidi="ar-SA"/>
                <w:highlight w:val="auto"/>
              </w:rPr>
              <w:t>202</w:t>
            </w:r>
            <w:r>
              <w:rPr>
                <w:rFonts w:ascii="Times New Roman" w:eastAsia="宋体" w:cs="Microsoft JhengHei" w:hAnsi="Times New Roman"/>
                <w:spacing w:val="-4"/>
                <w:sz w:val="16"/>
                <w:szCs w:val="16"/>
                <w:lang w:bidi="ar-SA"/>
                <w:highlight w:val="auto"/>
              </w:rPr>
              <w:t>4</w:t>
            </w:r>
            <w:r>
              <w:rPr>
                <w:rFonts w:ascii="Times New Roman" w:eastAsia="宋体" w:cs="Microsoft JhengHei" w:hAnsi="Times New Roman" w:hint="eastAsia"/>
                <w:spacing w:val="-4"/>
                <w:sz w:val="16"/>
                <w:szCs w:val="16"/>
                <w:lang w:bidi="ar-SA"/>
                <w:highlight w:val="auto"/>
              </w:rPr>
              <w:t>年预算数比</w:t>
            </w:r>
          </w:p>
          <w:p>
            <w:pPr>
              <w:pStyle w:val="2324"/>
              <w:spacing w:before="26" w:line="180" w:lineRule="auto"/>
              <w:ind w:left="874" w:right="143" w:hanging="720"/>
              <w:jc w:val="center"/>
              <w:rPr>
                <w:rFonts w:ascii="Times New Roman" w:eastAsia="宋体" w:cs="Microsoft JhengHei" w:hAnsi="Times New Roman" w:hint="eastAsia"/>
                <w:spacing w:val="-4"/>
                <w:sz w:val="16"/>
                <w:szCs w:val="16"/>
                <w:lang w:bidi="ar-SA"/>
                <w:highlight w:val="auto"/>
              </w:rPr>
            </w:pPr>
            <w:r>
              <w:rPr>
                <w:rFonts w:ascii="Times New Roman" w:eastAsia="宋体" w:cs="Microsoft JhengHei" w:hAnsi="Times New Roman" w:hint="eastAsia"/>
                <w:spacing w:val="-4"/>
                <w:sz w:val="16"/>
                <w:szCs w:val="16"/>
                <w:lang w:bidi="ar-SA"/>
                <w:highlight w:val="auto"/>
              </w:rPr>
              <w:t>202</w:t>
            </w:r>
            <w:r>
              <w:rPr>
                <w:rFonts w:ascii="Times New Roman" w:eastAsia="宋体" w:cs="Microsoft JhengHei" w:hAnsi="Times New Roman"/>
                <w:spacing w:val="-4"/>
                <w:sz w:val="16"/>
                <w:szCs w:val="16"/>
                <w:lang w:bidi="ar-SA"/>
                <w:highlight w:val="auto"/>
              </w:rPr>
              <w:t>3</w:t>
            </w:r>
            <w:r>
              <w:rPr>
                <w:rFonts w:ascii="Times New Roman" w:eastAsia="宋体" w:cs="Microsoft JhengHei" w:hAnsi="Times New Roman" w:hint="eastAsia"/>
                <w:spacing w:val="-4"/>
                <w:sz w:val="16"/>
                <w:szCs w:val="16"/>
                <w:lang w:bidi="ar-SA"/>
                <w:highlight w:val="auto"/>
              </w:rPr>
              <w:t>年执行数</w:t>
            </w:r>
          </w:p>
          <w:p>
            <w:pPr>
              <w:pStyle w:val="2324"/>
              <w:spacing w:before="26" w:line="180" w:lineRule="auto"/>
              <w:ind w:left="874" w:right="143" w:hanging="720"/>
              <w:jc w:val="center"/>
              <w:rPr>
                <w:rFonts w:ascii="Times New Roman" w:eastAsia="宋体" w:cs="Microsoft JhengHei" w:hAnsi="Times New Roman" w:hint="eastAsia"/>
                <w:spacing w:val="-4"/>
                <w:sz w:val="16"/>
                <w:szCs w:val="16"/>
                <w:lang w:bidi="ar-SA"/>
                <w:highlight w:val="auto"/>
              </w:rPr>
            </w:pPr>
            <w:r>
              <w:rPr>
                <w:rFonts w:ascii="Times New Roman" w:eastAsia="宋体" w:cs="Microsoft JhengHei" w:hAnsi="Times New Roman" w:hint="eastAsia"/>
                <w:spacing w:val="-4"/>
                <w:sz w:val="16"/>
                <w:szCs w:val="16"/>
                <w:lang w:bidi="ar-SA"/>
                <w:highlight w:val="auto"/>
              </w:rPr>
              <w:t>（扣除中央基建投资）</w:t>
            </w:r>
          </w:p>
        </w:tc>
      </w:tr>
      <w:tr>
        <w:trPr>
          <w:trHeight w:val="282"/>
        </w:trPr>
        <w:tc>
          <w:tcPr>
            <w:tcW w:w="983"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spacing w:val="-1"/>
                <w:sz w:val="16"/>
                <w:szCs w:val="16"/>
                <w:lang w:bidi="ar-SA"/>
                <w:highlight w:val="auto"/>
              </w:rPr>
              <w:t>4</w:t>
            </w:r>
            <w:r>
              <w:rPr>
                <w:rFonts w:ascii="Times New Roman" w:eastAsia="宋体" w:cs="Microsoft JhengHei" w:hAnsi="Times New Roman" w:hint="eastAsia"/>
                <w:spacing w:val="-1"/>
                <w:sz w:val="16"/>
                <w:szCs w:val="16"/>
                <w:lang w:bidi="ar-SA"/>
                <w:highlight w:val="auto"/>
              </w:rPr>
              <w:t>科目编码</w:t>
            </w:r>
          </w:p>
        </w:tc>
        <w:tc>
          <w:tcPr>
            <w:tcW w:w="2440"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科目名称</w:t>
            </w:r>
          </w:p>
        </w:tc>
        <w:tc>
          <w:tcPr>
            <w:tcW w:w="1200"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2"/>
                <w:sz w:val="16"/>
                <w:szCs w:val="16"/>
                <w:lang w:bidi="ar-SA"/>
                <w:highlight w:val="auto"/>
              </w:rPr>
              <w:t>执行数</w:t>
            </w:r>
          </w:p>
        </w:tc>
        <w:tc>
          <w:tcPr>
            <w:tcW w:w="1130" w:type="dxa"/>
            <w:vMerge w:val="restart"/>
            <w:tcBorders>
              <w:tl2br w:val="nil"/>
              <w:tr2bl w:val="nil"/>
            </w:tcBorders>
            <w:vAlign w:val="center"/>
          </w:tcPr>
          <w:p>
            <w:pPr>
              <w:pStyle w:val="2319"/>
              <w:spacing w:before="20" w:line="182" w:lineRule="auto"/>
              <w:ind w:right="105"/>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2"/>
                <w:sz w:val="16"/>
                <w:szCs w:val="16"/>
                <w:lang w:bidi="ar-SA"/>
                <w:highlight w:val="auto"/>
              </w:rPr>
              <w:t>扣除中央基建投资后执行数</w:t>
            </w:r>
          </w:p>
        </w:tc>
        <w:tc>
          <w:tcPr>
            <w:tcW w:w="3560" w:type="dxa"/>
            <w:gridSpan w:val="3"/>
            <w:tcBorders>
              <w:tl2br w:val="nil"/>
              <w:tr2bl w:val="nil"/>
            </w:tcBorders>
            <w:vAlign w:val="center"/>
          </w:tcPr>
          <w:p>
            <w:pPr>
              <w:pStyle w:val="3098"/>
              <w:spacing w:before="136"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2"/>
                <w:sz w:val="16"/>
                <w:szCs w:val="16"/>
                <w:lang w:bidi="ar-SA"/>
                <w:highlight w:val="auto"/>
              </w:rPr>
              <w:t>年初预算数</w:t>
            </w:r>
          </w:p>
        </w:tc>
        <w:tc>
          <w:tcPr>
            <w:tcW w:w="1180" w:type="dxa"/>
            <w:vMerge w:val="restart"/>
            <w:tcBorders>
              <w:tl2br w:val="nil"/>
              <w:tr2bl w:val="nil"/>
            </w:tcBorders>
            <w:vAlign w:val="center"/>
          </w:tcPr>
          <w:p>
            <w:pPr>
              <w:pStyle w:val="2319"/>
              <w:spacing w:before="20" w:line="182" w:lineRule="auto"/>
              <w:ind w:right="140"/>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2"/>
                <w:sz w:val="16"/>
                <w:szCs w:val="16"/>
                <w:lang w:bidi="ar-SA"/>
                <w:highlight w:val="auto"/>
              </w:rPr>
              <w:t>扣除中央基建投资后预算数</w:t>
            </w:r>
          </w:p>
        </w:tc>
        <w:tc>
          <w:tcPr>
            <w:tcW w:w="1200"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增减额</w:t>
            </w:r>
          </w:p>
        </w:tc>
        <w:tc>
          <w:tcPr>
            <w:tcW w:w="1190"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z w:val="16"/>
                <w:szCs w:val="16"/>
                <w:lang w:bidi="ar-SA"/>
                <w:highlight w:val="auto"/>
              </w:rPr>
              <w:t>增减(%)</w:t>
            </w:r>
          </w:p>
        </w:tc>
        <w:tc>
          <w:tcPr>
            <w:tcW w:w="1120"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增减额</w:t>
            </w:r>
          </w:p>
        </w:tc>
        <w:tc>
          <w:tcPr>
            <w:tcW w:w="979"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z w:val="16"/>
                <w:szCs w:val="16"/>
                <w:lang w:bidi="ar-SA"/>
                <w:highlight w:val="auto"/>
              </w:rPr>
              <w:t>增减(%)</w:t>
            </w:r>
          </w:p>
        </w:tc>
      </w:tr>
      <w:tr>
        <w:trPr>
          <w:trHeight w:val="329"/>
        </w:trPr>
        <w:tc>
          <w:tcPr>
            <w:tcW w:w="983" w:type="dxa"/>
            <w:vMerge/>
            <w:tcBorders>
              <w:tl2br w:val="nil"/>
              <w:tr2bl w:val="nil"/>
            </w:tcBorders>
          </w:tcPr>
          <w:p/>
        </w:tc>
        <w:tc>
          <w:tcPr>
            <w:tcW w:w="2440" w:type="dxa"/>
            <w:vMerge/>
            <w:tcBorders>
              <w:tl2br w:val="nil"/>
              <w:tr2bl w:val="nil"/>
            </w:tcBorders>
          </w:tcPr>
          <w:p/>
        </w:tc>
        <w:tc>
          <w:tcPr>
            <w:tcW w:w="1200" w:type="dxa"/>
            <w:vMerge/>
            <w:tcBorders>
              <w:tl2br w:val="nil"/>
              <w:tr2bl w:val="nil"/>
            </w:tcBorders>
          </w:tcPr>
          <w:p/>
        </w:tc>
        <w:tc>
          <w:tcPr>
            <w:tcW w:w="1130" w:type="dxa"/>
            <w:vMerge/>
            <w:tcBorders>
              <w:tl2br w:val="nil"/>
              <w:tr2bl w:val="nil"/>
            </w:tcBorders>
          </w:tcPr>
          <w:p/>
        </w:tc>
        <w:tc>
          <w:tcPr>
            <w:tcW w:w="1180" w:type="dxa"/>
            <w:tcBorders>
              <w:tl2br w:val="nil"/>
              <w:tr2bl w:val="nil"/>
            </w:tcBorders>
            <w:vAlign w:val="center"/>
          </w:tcPr>
          <w:p>
            <w:pPr>
              <w:pStyle w:val="3099"/>
              <w:spacing w:before="45"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小计</w:t>
            </w:r>
          </w:p>
        </w:tc>
        <w:tc>
          <w:tcPr>
            <w:tcW w:w="1210" w:type="dxa"/>
            <w:tcBorders>
              <w:tl2br w:val="nil"/>
              <w:tr2bl w:val="nil"/>
            </w:tcBorders>
            <w:vAlign w:val="center"/>
          </w:tcPr>
          <w:p>
            <w:pPr>
              <w:pStyle w:val="3100"/>
              <w:spacing w:before="45"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基本支出</w:t>
            </w:r>
          </w:p>
        </w:tc>
        <w:tc>
          <w:tcPr>
            <w:tcW w:w="1170" w:type="dxa"/>
            <w:tcBorders>
              <w:tl2br w:val="nil"/>
              <w:tr2bl w:val="nil"/>
            </w:tcBorders>
            <w:vAlign w:val="center"/>
          </w:tcPr>
          <w:p>
            <w:pPr>
              <w:pStyle w:val="3101"/>
              <w:spacing w:before="45"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项目支出</w:t>
            </w:r>
          </w:p>
        </w:tc>
        <w:tc>
          <w:tcPr>
            <w:tcW w:w="1180" w:type="dxa"/>
            <w:vMerge/>
            <w:tcBorders>
              <w:tl2br w:val="nil"/>
              <w:tr2bl w:val="nil"/>
            </w:tcBorders>
          </w:tcPr>
          <w:p/>
        </w:tc>
        <w:tc>
          <w:tcPr>
            <w:tcW w:w="1200" w:type="dxa"/>
            <w:vMerge/>
            <w:tcBorders>
              <w:tl2br w:val="nil"/>
              <w:tr2bl w:val="nil"/>
            </w:tcBorders>
          </w:tcPr>
          <w:p/>
        </w:tc>
        <w:tc>
          <w:tcPr>
            <w:tcW w:w="1190" w:type="dxa"/>
            <w:vMerge/>
            <w:tcBorders>
              <w:tl2br w:val="nil"/>
              <w:tr2bl w:val="nil"/>
            </w:tcBorders>
          </w:tcPr>
          <w:p/>
        </w:tc>
        <w:tc>
          <w:tcPr>
            <w:tcW w:w="1120" w:type="dxa"/>
            <w:vMerge/>
            <w:tcBorders>
              <w:tl2br w:val="nil"/>
              <w:tr2bl w:val="nil"/>
            </w:tcBorders>
          </w:tcPr>
          <w:p/>
        </w:tc>
        <w:tc>
          <w:tcPr>
            <w:tcW w:w="979" w:type="dxa"/>
            <w:vMerge/>
            <w:tcBorders>
              <w:tl2br w:val="nil"/>
              <w:tr2bl w:val="nil"/>
            </w:tcBorders>
          </w:tcPr>
          <w:p/>
        </w:tc>
      </w:tr>
      <w:tr>
        <w:trPr>
          <w:trHeight w:val="290"/>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b/>
                <w:bCs/>
                <w:sz w:val="16"/>
                <w:szCs w:val="16"/>
                <w:lang w:bidi="ar-SA"/>
                <w:highlight w:val="auto"/>
              </w:rPr>
              <w:t>208</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b/>
                <w:bCs/>
                <w:sz w:val="16"/>
                <w:szCs w:val="16"/>
                <w:lang w:bidi="ar-SA"/>
                <w:highlight w:val="auto"/>
              </w:rPr>
              <w:t>社会保障和就业支出</w:t>
            </w:r>
          </w:p>
        </w:tc>
        <w:tc>
          <w:tcPr>
            <w:tcW w:w="1200" w:type="dxa"/>
            <w:tcBorders>
              <w:tl2br w:val="nil"/>
              <w:tr2bl w:val="nil"/>
            </w:tcBorders>
            <w:shd w:val="clear" w:color="auto" w:fill="FFFFFF"/>
            <w:vAlign w:val="center"/>
          </w:tcPr>
          <w:p>
            <w:pPr>
              <w:pStyle w:val="3403"/>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54.20</w:t>
            </w:r>
          </w:p>
        </w:tc>
        <w:tc>
          <w:tcPr>
            <w:tcW w:w="113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62.07</w:t>
            </w:r>
          </w:p>
        </w:tc>
        <w:tc>
          <w:tcPr>
            <w:tcW w:w="1210" w:type="dxa"/>
            <w:tcBorders>
              <w:tl2br w:val="nil"/>
              <w:tr2bl w:val="nil"/>
            </w:tcBorders>
            <w:shd w:val="clear" w:color="auto" w:fill="FFFFFF"/>
            <w:vAlign w:val="center"/>
          </w:tcPr>
          <w:p>
            <w:pPr>
              <w:pStyle w:val="3338"/>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62.07</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kern w:val="0"/>
                <w:sz w:val="16"/>
                <w:szCs w:val="16"/>
                <w:lang w:bidi="ar-SA"/>
                <w:highlight w:val="auto"/>
              </w:rPr>
            </w:pPr>
            <w:r>
              <w:rPr>
                <w:kern w:val="0"/>
                <w:sz w:val="16"/>
                <w:szCs w:val="16"/>
                <w:lang w:bidi="ar-SA"/>
                <w:highlight w:val="auto"/>
              </w:rPr>
              <w:t>7.87</w:t>
            </w:r>
          </w:p>
        </w:tc>
        <w:tc>
          <w:tcPr>
            <w:tcW w:w="1190" w:type="dxa"/>
            <w:tcBorders>
              <w:tl2br w:val="nil"/>
              <w:tr2bl w:val="nil"/>
            </w:tcBorders>
            <w:vAlign w:val="center"/>
          </w:tcPr>
          <w:p>
            <w:pPr>
              <w:widowControl/>
              <w:jc w:val="right"/>
              <w:textAlignment w:val="center"/>
              <w:rPr>
                <w:kern w:val="0"/>
                <w:sz w:val="16"/>
                <w:szCs w:val="16"/>
                <w:lang w:bidi="ar-SA"/>
                <w:highlight w:val="auto"/>
              </w:rPr>
            </w:pPr>
            <w:r>
              <w:rPr>
                <w:kern w:val="0"/>
                <w:sz w:val="16"/>
                <w:szCs w:val="16"/>
                <w:lang w:bidi="ar-SA"/>
                <w:highlight w:val="auto"/>
              </w:rPr>
              <w:t>14.52%</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20805</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行政事业单位养老支出</w:t>
            </w:r>
          </w:p>
        </w:tc>
        <w:tc>
          <w:tcPr>
            <w:tcW w:w="1200" w:type="dxa"/>
            <w:tcBorders>
              <w:tl2br w:val="nil"/>
              <w:tr2bl w:val="nil"/>
            </w:tcBorders>
            <w:shd w:val="clear" w:color="auto" w:fill="FFFFFF"/>
            <w:vAlign w:val="center"/>
          </w:tcPr>
          <w:p>
            <w:pPr>
              <w:widowControl/>
              <w:jc w:val="right"/>
              <w:textAlignment w:val="center"/>
              <w:rPr>
                <w:sz w:val="16"/>
                <w:szCs w:val="16"/>
                <w:highlight w:val="auto"/>
              </w:rPr>
            </w:pPr>
            <w:r>
              <w:rPr>
                <w:rFonts w:ascii="Times New Roman" w:eastAsia="宋体" w:cs="Times New Roman" w:hAnsi="Times New Roman"/>
                <w:sz w:val="16"/>
                <w:szCs w:val="16"/>
                <w:lang w:bidi="ar-SA"/>
                <w:highlight w:val="auto"/>
              </w:rPr>
              <w:t>54.20</w:t>
            </w:r>
          </w:p>
        </w:tc>
        <w:tc>
          <w:tcPr>
            <w:tcW w:w="113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r>
              <w:rPr>
                <w:rFonts w:ascii="Times New Roman" w:eastAsia="宋体" w:cs="Times New Roman" w:hAnsi="Times New Roman"/>
                <w:sz w:val="16"/>
                <w:szCs w:val="16"/>
                <w:lang w:bidi="ar-SA"/>
                <w:highlight w:val="auto"/>
              </w:rPr>
              <w:t>62.07</w:t>
            </w:r>
          </w:p>
        </w:tc>
        <w:tc>
          <w:tcPr>
            <w:tcW w:w="1210" w:type="dxa"/>
            <w:tcBorders>
              <w:tl2br w:val="nil"/>
              <w:tr2bl w:val="nil"/>
            </w:tcBorders>
            <w:shd w:val="clear" w:color="auto" w:fill="FFFFFF"/>
            <w:vAlign w:val="center"/>
          </w:tcPr>
          <w:p>
            <w:pPr>
              <w:widowControl/>
              <w:jc w:val="right"/>
              <w:textAlignment w:val="center"/>
              <w:rPr>
                <w:sz w:val="16"/>
                <w:szCs w:val="16"/>
                <w:highlight w:val="auto"/>
              </w:rPr>
            </w:pPr>
            <w:r>
              <w:rPr>
                <w:rFonts w:ascii="Times New Roman" w:eastAsia="宋体" w:cs="Times New Roman" w:hAnsi="Times New Roman"/>
                <w:sz w:val="16"/>
                <w:szCs w:val="16"/>
                <w:lang w:bidi="ar-SA"/>
                <w:highlight w:val="auto"/>
              </w:rPr>
              <w:t>62.07</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sz w:val="16"/>
                <w:szCs w:val="16"/>
                <w:highlight w:val="auto"/>
              </w:rPr>
            </w:pPr>
            <w:r>
              <w:rPr>
                <w:sz w:val="16"/>
                <w:szCs w:val="16"/>
                <w:highlight w:val="auto"/>
              </w:rPr>
              <w:t>7.87</w:t>
            </w:r>
          </w:p>
        </w:tc>
        <w:tc>
          <w:tcPr>
            <w:tcW w:w="1190" w:type="dxa"/>
            <w:tcBorders>
              <w:tl2br w:val="nil"/>
              <w:tr2bl w:val="nil"/>
            </w:tcBorders>
            <w:vAlign w:val="center"/>
          </w:tcPr>
          <w:p>
            <w:pPr>
              <w:widowControl/>
              <w:jc w:val="right"/>
              <w:textAlignment w:val="center"/>
              <w:rPr>
                <w:sz w:val="16"/>
                <w:szCs w:val="16"/>
                <w:highlight w:val="auto"/>
              </w:rPr>
            </w:pPr>
            <w:r>
              <w:rPr>
                <w:sz w:val="16"/>
                <w:szCs w:val="16"/>
                <w:highlight w:val="auto"/>
              </w:rPr>
              <w:t>14.52%</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2080501</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行政单位离退休</w:t>
            </w:r>
          </w:p>
        </w:tc>
        <w:tc>
          <w:tcPr>
            <w:tcW w:w="120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5.85</w:t>
            </w:r>
          </w:p>
        </w:tc>
        <w:tc>
          <w:tcPr>
            <w:tcW w:w="113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8.94</w:t>
            </w:r>
          </w:p>
        </w:tc>
        <w:tc>
          <w:tcPr>
            <w:tcW w:w="121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8.94</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sz w:val="16"/>
                <w:szCs w:val="16"/>
                <w:highlight w:val="auto"/>
              </w:rPr>
            </w:pPr>
            <w:r>
              <w:rPr>
                <w:sz w:val="16"/>
                <w:szCs w:val="16"/>
                <w:highlight w:val="auto"/>
              </w:rPr>
              <w:t>3.09</w:t>
            </w:r>
          </w:p>
        </w:tc>
        <w:tc>
          <w:tcPr>
            <w:tcW w:w="1190" w:type="dxa"/>
            <w:tcBorders>
              <w:tl2br w:val="nil"/>
              <w:tr2bl w:val="nil"/>
            </w:tcBorders>
            <w:vAlign w:val="center"/>
          </w:tcPr>
          <w:p>
            <w:pPr>
              <w:widowControl/>
              <w:jc w:val="right"/>
              <w:textAlignment w:val="center"/>
              <w:rPr>
                <w:sz w:val="16"/>
                <w:szCs w:val="16"/>
                <w:highlight w:val="auto"/>
              </w:rPr>
            </w:pPr>
            <w:r>
              <w:rPr>
                <w:sz w:val="16"/>
                <w:szCs w:val="16"/>
                <w:highlight w:val="auto"/>
              </w:rPr>
              <w:t>52.82%</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2080502</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事业单位离退休</w:t>
            </w:r>
          </w:p>
        </w:tc>
        <w:tc>
          <w:tcPr>
            <w:tcW w:w="1200" w:type="dxa"/>
            <w:tcBorders>
              <w:tl2br w:val="nil"/>
              <w:tr2bl w:val="nil"/>
            </w:tcBorders>
            <w:shd w:val="clear" w:color="auto" w:fill="FFFFFF"/>
            <w:vAlign w:val="center"/>
          </w:tcPr>
          <w:p>
            <w:pPr>
              <w:widowControl/>
              <w:jc w:val="right"/>
              <w:textAlignment w:val="center"/>
              <w:rPr>
                <w:sz w:val="16"/>
                <w:szCs w:val="16"/>
                <w:highlight w:val="auto"/>
              </w:rPr>
            </w:pPr>
          </w:p>
        </w:tc>
        <w:tc>
          <w:tcPr>
            <w:tcW w:w="113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p>
        </w:tc>
        <w:tc>
          <w:tcPr>
            <w:tcW w:w="1210" w:type="dxa"/>
            <w:tcBorders>
              <w:tl2br w:val="nil"/>
              <w:tr2bl w:val="nil"/>
            </w:tcBorders>
            <w:shd w:val="clear" w:color="auto" w:fill="FFFFFF"/>
            <w:vAlign w:val="center"/>
          </w:tcPr>
          <w:p>
            <w:pPr>
              <w:widowControl/>
              <w:jc w:val="right"/>
              <w:textAlignment w:val="center"/>
              <w:rPr>
                <w:sz w:val="16"/>
                <w:szCs w:val="16"/>
                <w:highlight w:val="auto"/>
              </w:rPr>
            </w:pP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sz w:val="16"/>
                <w:szCs w:val="16"/>
                <w:highlight w:val="auto"/>
              </w:rPr>
            </w:pPr>
          </w:p>
        </w:tc>
        <w:tc>
          <w:tcPr>
            <w:tcW w:w="1190" w:type="dxa"/>
            <w:tcBorders>
              <w:tl2br w:val="nil"/>
              <w:tr2bl w:val="nil"/>
            </w:tcBorders>
            <w:vAlign w:val="center"/>
          </w:tcPr>
          <w:p>
            <w:pPr>
              <w:widowControl/>
              <w:jc w:val="right"/>
              <w:textAlignment w:val="center"/>
              <w:rPr>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2080503</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离退休人员管理机构</w:t>
            </w:r>
          </w:p>
        </w:tc>
        <w:tc>
          <w:tcPr>
            <w:tcW w:w="1200" w:type="dxa"/>
            <w:tcBorders>
              <w:tl2br w:val="nil"/>
              <w:tr2bl w:val="nil"/>
            </w:tcBorders>
            <w:shd w:val="clear" w:color="auto" w:fill="FFFFFF"/>
            <w:vAlign w:val="center"/>
          </w:tcPr>
          <w:p>
            <w:pPr>
              <w:widowControl/>
              <w:jc w:val="right"/>
              <w:textAlignment w:val="center"/>
              <w:rPr>
                <w:sz w:val="16"/>
                <w:szCs w:val="16"/>
                <w:highlight w:val="auto"/>
              </w:rPr>
            </w:pPr>
          </w:p>
        </w:tc>
        <w:tc>
          <w:tcPr>
            <w:tcW w:w="113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p>
        </w:tc>
        <w:tc>
          <w:tcPr>
            <w:tcW w:w="1210" w:type="dxa"/>
            <w:tcBorders>
              <w:tl2br w:val="nil"/>
              <w:tr2bl w:val="nil"/>
            </w:tcBorders>
            <w:shd w:val="clear" w:color="auto" w:fill="FFFFFF"/>
            <w:vAlign w:val="center"/>
          </w:tcPr>
          <w:p>
            <w:pPr>
              <w:widowControl/>
              <w:jc w:val="right"/>
              <w:textAlignment w:val="center"/>
              <w:rPr>
                <w:sz w:val="16"/>
                <w:szCs w:val="16"/>
                <w:highlight w:val="auto"/>
              </w:rPr>
            </w:pP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sz w:val="16"/>
                <w:szCs w:val="16"/>
                <w:highlight w:val="auto"/>
              </w:rPr>
            </w:pPr>
          </w:p>
        </w:tc>
        <w:tc>
          <w:tcPr>
            <w:tcW w:w="1190" w:type="dxa"/>
            <w:tcBorders>
              <w:tl2br w:val="nil"/>
              <w:tr2bl w:val="nil"/>
            </w:tcBorders>
            <w:vAlign w:val="center"/>
          </w:tcPr>
          <w:p>
            <w:pPr>
              <w:widowControl/>
              <w:jc w:val="right"/>
              <w:textAlignment w:val="center"/>
              <w:rPr>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2080505</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1"/>
                <w:szCs w:val="11"/>
                <w:lang w:bidi="ar-SA"/>
                <w:highlight w:val="auto"/>
              </w:rPr>
            </w:pPr>
            <w:r>
              <w:rPr>
                <w:rFonts w:ascii="Times New Roman" w:eastAsia="宋体" w:cs="Times New Roman" w:hAnsi="Times New Roman"/>
                <w:sz w:val="13"/>
                <w:szCs w:val="13"/>
                <w:lang w:bidi="ar-SA"/>
                <w:highlight w:val="auto"/>
              </w:rPr>
              <w:t>机关事业单位基本养老保险缴费支出</w:t>
            </w:r>
          </w:p>
        </w:tc>
        <w:tc>
          <w:tcPr>
            <w:tcW w:w="120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31.41</w:t>
            </w:r>
          </w:p>
        </w:tc>
        <w:tc>
          <w:tcPr>
            <w:tcW w:w="113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35.42</w:t>
            </w:r>
          </w:p>
        </w:tc>
        <w:tc>
          <w:tcPr>
            <w:tcW w:w="121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35.42</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sz w:val="16"/>
                <w:szCs w:val="16"/>
                <w:highlight w:val="auto"/>
              </w:rPr>
            </w:pPr>
            <w:r>
              <w:rPr>
                <w:sz w:val="16"/>
                <w:szCs w:val="16"/>
                <w:highlight w:val="auto"/>
              </w:rPr>
              <w:t>4.01</w:t>
            </w:r>
          </w:p>
        </w:tc>
        <w:tc>
          <w:tcPr>
            <w:tcW w:w="1190" w:type="dxa"/>
            <w:tcBorders>
              <w:tl2br w:val="nil"/>
              <w:tr2bl w:val="nil"/>
            </w:tcBorders>
            <w:vAlign w:val="center"/>
          </w:tcPr>
          <w:p>
            <w:pPr>
              <w:widowControl/>
              <w:jc w:val="right"/>
              <w:textAlignment w:val="center"/>
              <w:rPr>
                <w:sz w:val="16"/>
                <w:szCs w:val="16"/>
                <w:highlight w:val="auto"/>
              </w:rPr>
            </w:pPr>
            <w:r>
              <w:rPr>
                <w:sz w:val="16"/>
                <w:szCs w:val="16"/>
                <w:highlight w:val="auto"/>
              </w:rPr>
              <w:t>12.77%</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2080506</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1"/>
                <w:szCs w:val="11"/>
                <w:lang w:bidi="ar-SA"/>
                <w:highlight w:val="auto"/>
              </w:rPr>
            </w:pPr>
            <w:r>
              <w:rPr>
                <w:rFonts w:ascii="Times New Roman" w:eastAsia="宋体" w:cs="Times New Roman" w:hAnsi="Times New Roman"/>
                <w:sz w:val="15"/>
                <w:szCs w:val="15"/>
                <w:lang w:bidi="ar-SA"/>
                <w:highlight w:val="auto"/>
              </w:rPr>
              <w:t>机关事业单位职业年金缴费支出</w:t>
            </w:r>
          </w:p>
        </w:tc>
        <w:tc>
          <w:tcPr>
            <w:tcW w:w="120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16.94</w:t>
            </w:r>
          </w:p>
        </w:tc>
        <w:tc>
          <w:tcPr>
            <w:tcW w:w="113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17.71</w:t>
            </w:r>
          </w:p>
        </w:tc>
        <w:tc>
          <w:tcPr>
            <w:tcW w:w="121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17.71</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sz w:val="16"/>
                <w:szCs w:val="16"/>
                <w:highlight w:val="auto"/>
              </w:rPr>
            </w:pPr>
            <w:r>
              <w:rPr>
                <w:sz w:val="16"/>
                <w:szCs w:val="16"/>
                <w:highlight w:val="auto"/>
              </w:rPr>
              <w:t>0.77</w:t>
            </w:r>
          </w:p>
        </w:tc>
        <w:tc>
          <w:tcPr>
            <w:tcW w:w="1190" w:type="dxa"/>
            <w:tcBorders>
              <w:tl2br w:val="nil"/>
              <w:tr2bl w:val="nil"/>
            </w:tcBorders>
            <w:vAlign w:val="center"/>
          </w:tcPr>
          <w:p>
            <w:pPr>
              <w:widowControl/>
              <w:jc w:val="right"/>
              <w:textAlignment w:val="center"/>
              <w:rPr>
                <w:sz w:val="16"/>
                <w:szCs w:val="16"/>
                <w:highlight w:val="auto"/>
              </w:rPr>
            </w:pPr>
            <w:r>
              <w:rPr>
                <w:sz w:val="16"/>
                <w:szCs w:val="16"/>
                <w:highlight w:val="auto"/>
              </w:rPr>
              <w:t>4.55%</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210</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卫生健康支出</w:t>
            </w:r>
          </w:p>
        </w:tc>
        <w:tc>
          <w:tcPr>
            <w:tcW w:w="1200" w:type="dxa"/>
            <w:tcBorders>
              <w:tl2br w:val="nil"/>
              <w:tr2bl w:val="nil"/>
            </w:tcBorders>
            <w:shd w:val="clear" w:color="auto" w:fill="FFFFFF"/>
            <w:vAlign w:val="center"/>
          </w:tcPr>
          <w:p>
            <w:pPr>
              <w:widowControl/>
              <w:jc w:val="right"/>
              <w:textAlignment w:val="center"/>
              <w:rPr>
                <w:b/>
                <w:bCs/>
                <w:sz w:val="16"/>
                <w:szCs w:val="16"/>
                <w:highlight w:val="auto"/>
              </w:rPr>
            </w:pPr>
            <w:r>
              <w:rPr>
                <w:b/>
                <w:bCs/>
                <w:sz w:val="16"/>
                <w:szCs w:val="16"/>
                <w:highlight w:val="auto"/>
              </w:rPr>
              <w:t>17.45</w:t>
            </w:r>
          </w:p>
        </w:tc>
        <w:tc>
          <w:tcPr>
            <w:tcW w:w="113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b/>
                <w:bCs/>
                <w:sz w:val="16"/>
                <w:szCs w:val="16"/>
                <w:highlight w:val="auto"/>
              </w:rPr>
            </w:pPr>
            <w:r>
              <w:rPr>
                <w:b/>
                <w:bCs/>
                <w:sz w:val="16"/>
                <w:szCs w:val="16"/>
                <w:highlight w:val="auto"/>
              </w:rPr>
              <w:t>18.70</w:t>
            </w:r>
          </w:p>
        </w:tc>
        <w:tc>
          <w:tcPr>
            <w:tcW w:w="1210" w:type="dxa"/>
            <w:tcBorders>
              <w:tl2br w:val="nil"/>
              <w:tr2bl w:val="nil"/>
            </w:tcBorders>
            <w:shd w:val="clear" w:color="auto" w:fill="FFFFFF"/>
            <w:vAlign w:val="center"/>
          </w:tcPr>
          <w:p>
            <w:pPr>
              <w:widowControl/>
              <w:jc w:val="right"/>
              <w:textAlignment w:val="center"/>
              <w:rPr>
                <w:b/>
                <w:bCs/>
                <w:sz w:val="16"/>
                <w:szCs w:val="16"/>
                <w:highlight w:val="auto"/>
              </w:rPr>
            </w:pPr>
            <w:r>
              <w:rPr>
                <w:b/>
                <w:bCs/>
                <w:sz w:val="16"/>
                <w:szCs w:val="16"/>
                <w:highlight w:val="auto"/>
              </w:rPr>
              <w:t>18.70</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200" w:type="dxa"/>
            <w:tcBorders>
              <w:tl2br w:val="nil"/>
              <w:tr2bl w:val="nil"/>
            </w:tcBorders>
            <w:vAlign w:val="center"/>
          </w:tcPr>
          <w:p>
            <w:pPr>
              <w:widowControl/>
              <w:jc w:val="right"/>
              <w:textAlignment w:val="center"/>
              <w:rPr>
                <w:b/>
                <w:bCs/>
                <w:sz w:val="16"/>
                <w:szCs w:val="16"/>
                <w:highlight w:val="auto"/>
              </w:rPr>
            </w:pPr>
            <w:r>
              <w:rPr>
                <w:b/>
                <w:bCs/>
                <w:sz w:val="16"/>
                <w:szCs w:val="16"/>
                <w:highlight w:val="auto"/>
              </w:rPr>
              <w:t>1.25</w:t>
            </w:r>
          </w:p>
        </w:tc>
        <w:tc>
          <w:tcPr>
            <w:tcW w:w="1190" w:type="dxa"/>
            <w:tcBorders>
              <w:tl2br w:val="nil"/>
              <w:tr2bl w:val="nil"/>
            </w:tcBorders>
            <w:vAlign w:val="center"/>
          </w:tcPr>
          <w:p>
            <w:pPr>
              <w:widowControl/>
              <w:jc w:val="right"/>
              <w:textAlignment w:val="center"/>
              <w:rPr>
                <w:b/>
                <w:bCs/>
                <w:sz w:val="16"/>
                <w:szCs w:val="16"/>
                <w:highlight w:val="auto"/>
              </w:rPr>
            </w:pPr>
            <w:r>
              <w:rPr>
                <w:b/>
                <w:bCs/>
                <w:sz w:val="16"/>
                <w:szCs w:val="16"/>
                <w:highlight w:val="auto"/>
              </w:rPr>
              <w:t>7.16%</w:t>
            </w:r>
          </w:p>
        </w:tc>
        <w:tc>
          <w:tcPr>
            <w:tcW w:w="1120"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r>
      <w:tr>
        <w:trPr>
          <w:trHeight w:val="290"/>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21011</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行政事业单位医疗</w:t>
            </w:r>
          </w:p>
        </w:tc>
        <w:tc>
          <w:tcPr>
            <w:tcW w:w="120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17.45</w:t>
            </w:r>
          </w:p>
        </w:tc>
        <w:tc>
          <w:tcPr>
            <w:tcW w:w="113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18.70</w:t>
            </w:r>
          </w:p>
        </w:tc>
        <w:tc>
          <w:tcPr>
            <w:tcW w:w="121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18.70</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sz w:val="16"/>
                <w:szCs w:val="16"/>
                <w:highlight w:val="auto"/>
              </w:rPr>
            </w:pPr>
            <w:r>
              <w:rPr>
                <w:sz w:val="16"/>
                <w:szCs w:val="16"/>
                <w:highlight w:val="auto"/>
              </w:rPr>
              <w:t>1.25</w:t>
            </w:r>
          </w:p>
        </w:tc>
        <w:tc>
          <w:tcPr>
            <w:tcW w:w="1190" w:type="dxa"/>
            <w:tcBorders>
              <w:tl2br w:val="nil"/>
              <w:tr2bl w:val="nil"/>
            </w:tcBorders>
            <w:vAlign w:val="center"/>
          </w:tcPr>
          <w:p>
            <w:pPr>
              <w:widowControl/>
              <w:jc w:val="right"/>
              <w:textAlignment w:val="center"/>
              <w:rPr>
                <w:sz w:val="16"/>
                <w:szCs w:val="16"/>
                <w:highlight w:val="auto"/>
              </w:rPr>
            </w:pPr>
            <w:r>
              <w:rPr>
                <w:sz w:val="16"/>
                <w:szCs w:val="16"/>
                <w:highlight w:val="auto"/>
              </w:rPr>
              <w:t>7.16%</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2101101</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行政单位医疗</w:t>
            </w:r>
          </w:p>
        </w:tc>
        <w:tc>
          <w:tcPr>
            <w:tcW w:w="120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17.00</w:t>
            </w:r>
          </w:p>
        </w:tc>
        <w:tc>
          <w:tcPr>
            <w:tcW w:w="113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18.28</w:t>
            </w:r>
          </w:p>
        </w:tc>
        <w:tc>
          <w:tcPr>
            <w:tcW w:w="121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18.28</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sz w:val="16"/>
                <w:szCs w:val="16"/>
                <w:highlight w:val="auto"/>
              </w:rPr>
            </w:pPr>
            <w:r>
              <w:rPr>
                <w:sz w:val="16"/>
                <w:szCs w:val="16"/>
                <w:highlight w:val="auto"/>
              </w:rPr>
              <w:t>1.28</w:t>
            </w:r>
          </w:p>
        </w:tc>
        <w:tc>
          <w:tcPr>
            <w:tcW w:w="1190" w:type="dxa"/>
            <w:tcBorders>
              <w:tl2br w:val="nil"/>
              <w:tr2bl w:val="nil"/>
            </w:tcBorders>
            <w:vAlign w:val="center"/>
          </w:tcPr>
          <w:p>
            <w:pPr>
              <w:widowControl/>
              <w:jc w:val="right"/>
              <w:textAlignment w:val="center"/>
              <w:rPr>
                <w:sz w:val="16"/>
                <w:szCs w:val="16"/>
                <w:highlight w:val="auto"/>
              </w:rPr>
            </w:pPr>
            <w:r>
              <w:rPr>
                <w:sz w:val="16"/>
                <w:szCs w:val="16"/>
                <w:highlight w:val="auto"/>
              </w:rPr>
              <w:t>7.53%</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2101103</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公务员医疗补助</w:t>
            </w:r>
          </w:p>
        </w:tc>
        <w:tc>
          <w:tcPr>
            <w:tcW w:w="1200" w:type="dxa"/>
            <w:tcBorders>
              <w:tl2br w:val="nil"/>
              <w:tr2bl w:val="nil"/>
            </w:tcBorders>
            <w:shd w:val="clear" w:color="auto" w:fill="FFFFFF"/>
            <w:vAlign w:val="center"/>
          </w:tcPr>
          <w:p>
            <w:pPr>
              <w:widowControl/>
              <w:jc w:val="right"/>
              <w:textAlignment w:val="center"/>
              <w:rPr>
                <w:sz w:val="16"/>
                <w:szCs w:val="16"/>
                <w:highlight w:val="auto"/>
              </w:rPr>
            </w:pPr>
          </w:p>
        </w:tc>
        <w:tc>
          <w:tcPr>
            <w:tcW w:w="113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p>
        </w:tc>
        <w:tc>
          <w:tcPr>
            <w:tcW w:w="1210" w:type="dxa"/>
            <w:tcBorders>
              <w:tl2br w:val="nil"/>
              <w:tr2bl w:val="nil"/>
            </w:tcBorders>
            <w:shd w:val="clear" w:color="auto" w:fill="FFFFFF"/>
            <w:vAlign w:val="center"/>
          </w:tcPr>
          <w:p>
            <w:pPr>
              <w:widowControl/>
              <w:jc w:val="right"/>
              <w:textAlignment w:val="center"/>
              <w:rPr>
                <w:sz w:val="16"/>
                <w:szCs w:val="16"/>
                <w:highlight w:val="auto"/>
              </w:rPr>
            </w:pP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color w:val="00B050"/>
                <w:sz w:val="16"/>
                <w:szCs w:val="16"/>
                <w:highlight w:val="auto"/>
              </w:rPr>
            </w:pPr>
          </w:p>
        </w:tc>
        <w:tc>
          <w:tcPr>
            <w:tcW w:w="1190" w:type="dxa"/>
            <w:tcBorders>
              <w:tl2br w:val="nil"/>
              <w:tr2bl w:val="nil"/>
            </w:tcBorders>
            <w:vAlign w:val="center"/>
          </w:tcPr>
          <w:p>
            <w:pPr>
              <w:widowControl/>
              <w:jc w:val="right"/>
              <w:textAlignment w:val="center"/>
              <w:rPr>
                <w:color w:val="00B05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8"/>
        </w:trPr>
        <w:tc>
          <w:tcPr>
            <w:tcW w:w="983" w:type="dxa"/>
            <w:tcBorders>
              <w:tl2br w:val="nil"/>
              <w:tr2bl w:val="nil"/>
            </w:tcBorders>
            <w:shd w:val="clear" w:color="auto" w:fill="auto"/>
            <w:vAlign w:val="center"/>
          </w:tcPr>
          <w:p>
            <w:pPr>
              <w:pStyle w:val="3157"/>
              <w:widowControl/>
              <w:jc w:val="center"/>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2101199</w:t>
            </w:r>
          </w:p>
        </w:tc>
        <w:tc>
          <w:tcPr>
            <w:tcW w:w="2440" w:type="dxa"/>
            <w:tcBorders>
              <w:tl2br w:val="nil"/>
              <w:tr2bl w:val="nil"/>
            </w:tcBorders>
            <w:shd w:val="clear" w:color="auto" w:fill="auto"/>
            <w:vAlign w:val="center"/>
          </w:tcPr>
          <w:p>
            <w:pPr>
              <w:pStyle w:val="3158"/>
              <w:widowControl/>
              <w:ind w:leftChars="94" w:left="197"/>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其他行政事业单位医疗支出</w:t>
            </w:r>
          </w:p>
        </w:tc>
        <w:tc>
          <w:tcPr>
            <w:tcW w:w="120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0.45</w:t>
            </w:r>
          </w:p>
        </w:tc>
        <w:tc>
          <w:tcPr>
            <w:tcW w:w="113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0.42</w:t>
            </w:r>
          </w:p>
        </w:tc>
        <w:tc>
          <w:tcPr>
            <w:tcW w:w="121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0.42</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200" w:type="dxa"/>
            <w:tcBorders>
              <w:tl2br w:val="nil"/>
              <w:tr2bl w:val="nil"/>
            </w:tcBorders>
            <w:vAlign w:val="center"/>
          </w:tcPr>
          <w:p>
            <w:pPr>
              <w:widowControl/>
              <w:jc w:val="right"/>
              <w:textAlignment w:val="center"/>
              <w:rPr>
                <w:sz w:val="16"/>
                <w:szCs w:val="16"/>
                <w:highlight w:val="auto"/>
              </w:rPr>
            </w:pPr>
            <w:r>
              <w:rPr>
                <w:sz w:val="16"/>
                <w:szCs w:val="16"/>
                <w:highlight w:val="auto"/>
              </w:rPr>
              <w:t>-0.03</w:t>
            </w:r>
          </w:p>
        </w:tc>
        <w:tc>
          <w:tcPr>
            <w:tcW w:w="1190" w:type="dxa"/>
            <w:tcBorders>
              <w:tl2br w:val="nil"/>
              <w:tr2bl w:val="nil"/>
            </w:tcBorders>
            <w:vAlign w:val="center"/>
          </w:tcPr>
          <w:p>
            <w:pPr>
              <w:widowControl/>
              <w:jc w:val="right"/>
              <w:textAlignment w:val="center"/>
              <w:rPr>
                <w:sz w:val="16"/>
                <w:szCs w:val="16"/>
                <w:highlight w:val="auto"/>
              </w:rPr>
            </w:pPr>
            <w:r>
              <w:rPr>
                <w:sz w:val="16"/>
                <w:szCs w:val="16"/>
                <w:highlight w:val="auto"/>
              </w:rPr>
              <w:t>-6.67%</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r>
      <w:tr>
        <w:trPr>
          <w:trHeight w:val="289"/>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221</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住房保障支出</w:t>
            </w:r>
          </w:p>
        </w:tc>
        <w:tc>
          <w:tcPr>
            <w:tcW w:w="1200" w:type="dxa"/>
            <w:tcBorders>
              <w:tl2br w:val="nil"/>
              <w:tr2bl w:val="nil"/>
            </w:tcBorders>
            <w:shd w:val="clear" w:color="auto" w:fill="FFFFFF"/>
            <w:vAlign w:val="center"/>
          </w:tcPr>
          <w:p>
            <w:pPr>
              <w:widowControl/>
              <w:jc w:val="right"/>
              <w:textAlignment w:val="center"/>
              <w:rPr>
                <w:b/>
                <w:bCs/>
                <w:sz w:val="16"/>
                <w:szCs w:val="16"/>
                <w:highlight w:val="auto"/>
              </w:rPr>
            </w:pPr>
            <w:r>
              <w:rPr>
                <w:b/>
                <w:bCs/>
                <w:sz w:val="16"/>
                <w:szCs w:val="16"/>
                <w:highlight w:val="auto"/>
              </w:rPr>
              <w:t>57.69</w:t>
            </w:r>
          </w:p>
        </w:tc>
        <w:tc>
          <w:tcPr>
            <w:tcW w:w="113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b/>
                <w:bCs/>
                <w:sz w:val="16"/>
                <w:szCs w:val="16"/>
                <w:highlight w:val="auto"/>
              </w:rPr>
            </w:pPr>
            <w:r>
              <w:rPr>
                <w:b/>
                <w:bCs/>
                <w:sz w:val="16"/>
                <w:szCs w:val="16"/>
                <w:highlight w:val="auto"/>
              </w:rPr>
              <w:t>62.96</w:t>
            </w:r>
          </w:p>
        </w:tc>
        <w:tc>
          <w:tcPr>
            <w:tcW w:w="1210" w:type="dxa"/>
            <w:tcBorders>
              <w:tl2br w:val="nil"/>
              <w:tr2bl w:val="nil"/>
            </w:tcBorders>
            <w:shd w:val="clear" w:color="auto" w:fill="FFFFFF"/>
            <w:vAlign w:val="center"/>
          </w:tcPr>
          <w:p>
            <w:pPr>
              <w:widowControl/>
              <w:jc w:val="right"/>
              <w:textAlignment w:val="center"/>
              <w:rPr>
                <w:b/>
                <w:bCs/>
                <w:sz w:val="16"/>
                <w:szCs w:val="16"/>
                <w:highlight w:val="auto"/>
              </w:rPr>
            </w:pPr>
            <w:r>
              <w:rPr>
                <w:b/>
                <w:bCs/>
                <w:sz w:val="16"/>
                <w:szCs w:val="16"/>
                <w:highlight w:val="auto"/>
              </w:rPr>
              <w:t>62.96</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200" w:type="dxa"/>
            <w:tcBorders>
              <w:tl2br w:val="nil"/>
              <w:tr2bl w:val="nil"/>
            </w:tcBorders>
            <w:vAlign w:val="center"/>
          </w:tcPr>
          <w:p>
            <w:pPr>
              <w:widowControl/>
              <w:jc w:val="right"/>
              <w:textAlignment w:val="center"/>
              <w:rPr>
                <w:b/>
                <w:bCs/>
                <w:sz w:val="16"/>
                <w:szCs w:val="16"/>
                <w:highlight w:val="auto"/>
              </w:rPr>
            </w:pPr>
            <w:r>
              <w:rPr>
                <w:b/>
                <w:bCs/>
                <w:sz w:val="16"/>
                <w:szCs w:val="16"/>
                <w:highlight w:val="auto"/>
              </w:rPr>
              <w:t>5.27</w:t>
            </w:r>
          </w:p>
        </w:tc>
        <w:tc>
          <w:tcPr>
            <w:tcW w:w="1190" w:type="dxa"/>
            <w:tcBorders>
              <w:tl2br w:val="nil"/>
              <w:tr2bl w:val="nil"/>
            </w:tcBorders>
            <w:vAlign w:val="center"/>
          </w:tcPr>
          <w:p>
            <w:pPr>
              <w:widowControl/>
              <w:jc w:val="right"/>
              <w:textAlignment w:val="center"/>
              <w:rPr>
                <w:b/>
                <w:bCs/>
                <w:sz w:val="16"/>
                <w:szCs w:val="16"/>
                <w:highlight w:val="auto"/>
              </w:rPr>
            </w:pPr>
            <w:r>
              <w:rPr>
                <w:b/>
                <w:bCs/>
                <w:sz w:val="16"/>
                <w:szCs w:val="16"/>
                <w:highlight w:val="auto"/>
              </w:rPr>
              <w:t>9.14%</w:t>
            </w:r>
          </w:p>
        </w:tc>
        <w:tc>
          <w:tcPr>
            <w:tcW w:w="1120"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r>
      <w:tr>
        <w:trPr>
          <w:trHeight w:val="289"/>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22102</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住房改革支出</w:t>
            </w:r>
          </w:p>
        </w:tc>
        <w:tc>
          <w:tcPr>
            <w:tcW w:w="120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57.69</w:t>
            </w:r>
          </w:p>
        </w:tc>
        <w:tc>
          <w:tcPr>
            <w:tcW w:w="113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62.96</w:t>
            </w:r>
          </w:p>
        </w:tc>
        <w:tc>
          <w:tcPr>
            <w:tcW w:w="121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62.96</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sz w:val="16"/>
                <w:szCs w:val="16"/>
                <w:highlight w:val="auto"/>
              </w:rPr>
            </w:pPr>
            <w:r>
              <w:rPr>
                <w:sz w:val="16"/>
                <w:szCs w:val="16"/>
                <w:highlight w:val="auto"/>
              </w:rPr>
              <w:t>5.27</w:t>
            </w:r>
          </w:p>
        </w:tc>
        <w:tc>
          <w:tcPr>
            <w:tcW w:w="1190" w:type="dxa"/>
            <w:tcBorders>
              <w:tl2br w:val="nil"/>
              <w:tr2bl w:val="nil"/>
            </w:tcBorders>
            <w:vAlign w:val="center"/>
          </w:tcPr>
          <w:p>
            <w:pPr>
              <w:widowControl/>
              <w:jc w:val="right"/>
              <w:textAlignment w:val="center"/>
              <w:rPr>
                <w:sz w:val="16"/>
                <w:szCs w:val="16"/>
                <w:highlight w:val="auto"/>
              </w:rPr>
            </w:pPr>
            <w:r>
              <w:rPr>
                <w:sz w:val="16"/>
                <w:szCs w:val="16"/>
                <w:highlight w:val="auto"/>
              </w:rPr>
              <w:t>9.14%</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2210201</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住房公积金</w:t>
            </w:r>
          </w:p>
        </w:tc>
        <w:tc>
          <w:tcPr>
            <w:tcW w:w="120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32.74</w:t>
            </w:r>
          </w:p>
        </w:tc>
        <w:tc>
          <w:tcPr>
            <w:tcW w:w="113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37.24</w:t>
            </w:r>
          </w:p>
        </w:tc>
        <w:tc>
          <w:tcPr>
            <w:tcW w:w="121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37.24</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sz w:val="16"/>
                <w:szCs w:val="16"/>
                <w:highlight w:val="auto"/>
              </w:rPr>
            </w:pPr>
            <w:r>
              <w:rPr>
                <w:sz w:val="16"/>
                <w:szCs w:val="16"/>
                <w:highlight w:val="auto"/>
              </w:rPr>
              <w:t>4.5</w:t>
            </w:r>
          </w:p>
        </w:tc>
        <w:tc>
          <w:tcPr>
            <w:tcW w:w="1190" w:type="dxa"/>
            <w:tcBorders>
              <w:tl2br w:val="nil"/>
              <w:tr2bl w:val="nil"/>
            </w:tcBorders>
            <w:vAlign w:val="center"/>
          </w:tcPr>
          <w:p>
            <w:pPr>
              <w:widowControl/>
              <w:jc w:val="right"/>
              <w:textAlignment w:val="center"/>
              <w:rPr>
                <w:sz w:val="16"/>
                <w:szCs w:val="16"/>
                <w:highlight w:val="auto"/>
              </w:rPr>
            </w:pPr>
            <w:r>
              <w:rPr>
                <w:sz w:val="16"/>
                <w:szCs w:val="16"/>
                <w:highlight w:val="auto"/>
              </w:rPr>
              <w:t>13.74%</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2210202</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提租补贴</w:t>
            </w:r>
          </w:p>
        </w:tc>
        <w:tc>
          <w:tcPr>
            <w:tcW w:w="1200" w:type="dxa"/>
            <w:tcBorders>
              <w:tl2br w:val="nil"/>
              <w:tr2bl w:val="nil"/>
            </w:tcBorders>
            <w:shd w:val="clear" w:color="auto" w:fill="FFFFFF"/>
            <w:vAlign w:val="center"/>
          </w:tcPr>
          <w:p>
            <w:pPr>
              <w:widowControl/>
              <w:jc w:val="right"/>
              <w:textAlignment w:val="center"/>
              <w:rPr>
                <w:sz w:val="16"/>
                <w:szCs w:val="16"/>
                <w:highlight w:val="auto"/>
              </w:rPr>
            </w:pPr>
          </w:p>
        </w:tc>
        <w:tc>
          <w:tcPr>
            <w:tcW w:w="113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p>
        </w:tc>
        <w:tc>
          <w:tcPr>
            <w:tcW w:w="1210" w:type="dxa"/>
            <w:tcBorders>
              <w:tl2br w:val="nil"/>
              <w:tr2bl w:val="nil"/>
            </w:tcBorders>
            <w:shd w:val="clear" w:color="auto" w:fill="FFFFFF"/>
            <w:vAlign w:val="center"/>
          </w:tcPr>
          <w:p>
            <w:pPr>
              <w:widowControl/>
              <w:jc w:val="right"/>
              <w:textAlignment w:val="center"/>
              <w:rPr>
                <w:sz w:val="16"/>
                <w:szCs w:val="16"/>
                <w:highlight w:val="auto"/>
              </w:rPr>
            </w:pP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sz w:val="16"/>
                <w:szCs w:val="16"/>
                <w:highlight w:val="auto"/>
              </w:rPr>
            </w:pPr>
          </w:p>
        </w:tc>
        <w:tc>
          <w:tcPr>
            <w:tcW w:w="1190" w:type="dxa"/>
            <w:tcBorders>
              <w:tl2br w:val="nil"/>
              <w:tr2bl w:val="nil"/>
            </w:tcBorders>
            <w:vAlign w:val="center"/>
          </w:tcPr>
          <w:p>
            <w:pPr>
              <w:widowControl/>
              <w:jc w:val="right"/>
              <w:textAlignment w:val="center"/>
              <w:rPr>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2210203</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购房补贴</w:t>
            </w:r>
          </w:p>
        </w:tc>
        <w:tc>
          <w:tcPr>
            <w:tcW w:w="120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24.95</w:t>
            </w:r>
          </w:p>
        </w:tc>
        <w:tc>
          <w:tcPr>
            <w:tcW w:w="113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25.72</w:t>
            </w:r>
          </w:p>
        </w:tc>
        <w:tc>
          <w:tcPr>
            <w:tcW w:w="121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25.72</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sz w:val="16"/>
                <w:szCs w:val="16"/>
                <w:highlight w:val="auto"/>
              </w:rPr>
            </w:pPr>
            <w:r>
              <w:rPr>
                <w:sz w:val="16"/>
                <w:szCs w:val="16"/>
                <w:highlight w:val="auto"/>
              </w:rPr>
              <w:t>0.77</w:t>
            </w:r>
          </w:p>
        </w:tc>
        <w:tc>
          <w:tcPr>
            <w:tcW w:w="1190" w:type="dxa"/>
            <w:tcBorders>
              <w:tl2br w:val="nil"/>
              <w:tr2bl w:val="nil"/>
            </w:tcBorders>
            <w:vAlign w:val="center"/>
          </w:tcPr>
          <w:p>
            <w:pPr>
              <w:widowControl/>
              <w:jc w:val="right"/>
              <w:textAlignment w:val="center"/>
              <w:rPr>
                <w:sz w:val="16"/>
                <w:szCs w:val="16"/>
                <w:highlight w:val="auto"/>
              </w:rPr>
            </w:pPr>
            <w:r>
              <w:rPr>
                <w:sz w:val="16"/>
                <w:szCs w:val="16"/>
                <w:highlight w:val="auto"/>
              </w:rPr>
              <w:t>3.09%</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7"/>
        </w:trPr>
        <w:tc>
          <w:tcPr>
            <w:tcW w:w="3423" w:type="dxa"/>
            <w:gridSpan w:val="2"/>
            <w:tcBorders>
              <w:tl2br w:val="nil"/>
              <w:tr2bl w:val="nil"/>
            </w:tcBorders>
            <w:shd w:val="clear" w:color="auto" w:fill="auto"/>
          </w:tcPr>
          <w:p>
            <w:pPr>
              <w:pStyle w:val="2319"/>
              <w:spacing w:before="68" w:line="187" w:lineRule="auto"/>
              <w:jc w:val="center"/>
              <w:rPr>
                <w:rFonts w:ascii="Times New Roman" w:eastAsia="宋体" w:cs="宋体" w:hAnsi="Times New Roman" w:hint="eastAsia"/>
                <w:b/>
                <w:bCs/>
                <w:sz w:val="16"/>
                <w:szCs w:val="16"/>
                <w:lang w:bidi="ar-SA"/>
                <w:highlight w:val="auto"/>
              </w:rPr>
            </w:pPr>
            <w:r>
              <w:rPr>
                <w:rFonts w:ascii="Times New Roman" w:eastAsia="宋体" w:cs="宋体" w:hAnsi="Times New Roman" w:hint="eastAsia"/>
                <w:b/>
                <w:bCs/>
                <w:spacing w:val="-4"/>
                <w:sz w:val="16"/>
                <w:szCs w:val="16"/>
                <w:lang w:bidi="ar-SA"/>
                <w:highlight w:val="auto"/>
              </w:rPr>
              <w:t>合</w:t>
            </w:r>
            <w:r>
              <w:rPr>
                <w:rFonts w:ascii="Times New Roman" w:eastAsia="宋体" w:cs="宋体" w:hAnsi="Times New Roman" w:hint="eastAsia"/>
                <w:b/>
                <w:bCs/>
                <w:spacing w:val="5"/>
                <w:sz w:val="16"/>
                <w:szCs w:val="16"/>
                <w:lang w:bidi="ar-SA"/>
                <w:highlight w:val="auto"/>
              </w:rPr>
              <w:t xml:space="preserve">  </w:t>
            </w:r>
            <w:r>
              <w:rPr>
                <w:rFonts w:ascii="Times New Roman" w:eastAsia="宋体" w:cs="宋体" w:hAnsi="Times New Roman" w:hint="eastAsia"/>
                <w:b/>
                <w:bCs/>
                <w:spacing w:val="-4"/>
                <w:sz w:val="16"/>
                <w:szCs w:val="16"/>
                <w:lang w:bidi="ar-SA"/>
                <w:highlight w:val="auto"/>
              </w:rPr>
              <w:t>计</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b/>
                <w:bCs/>
                <w:color w:val="auto"/>
                <w:sz w:val="16"/>
                <w:szCs w:val="16"/>
                <w:lang w:bidi="ar-SA"/>
                <w:highlight w:val="auto"/>
              </w:rPr>
            </w:pPr>
            <w:r>
              <w:rPr>
                <w:rFonts w:ascii="Times New Roman" w:eastAsia="宋体" w:cs="Times New Roman" w:hAnsi="Times New Roman"/>
                <w:b/>
                <w:bCs/>
                <w:color w:val="auto"/>
                <w:sz w:val="16"/>
                <w:szCs w:val="16"/>
                <w:lang w:bidi="ar-SA"/>
                <w:highlight w:val="auto"/>
              </w:rPr>
              <w:t>620.59</w:t>
            </w:r>
          </w:p>
        </w:tc>
        <w:tc>
          <w:tcPr>
            <w:tcW w:w="1130" w:type="dxa"/>
            <w:tcBorders>
              <w:tl2br w:val="nil"/>
              <w:tr2bl w:val="nil"/>
            </w:tcBorders>
            <w:shd w:val="clear" w:color="auto" w:fill="FFFFFF"/>
            <w:vAlign w:val="center"/>
          </w:tcPr>
          <w:p>
            <w:pPr>
              <w:pStyle w:val="3404"/>
              <w:jc w:val="both"/>
              <w:rPr>
                <w:rFonts w:ascii="Times New Roman" w:eastAsia="宋体" w:cs="Times New Roman" w:hAnsi="Times New Roman"/>
                <w:b/>
                <w:bCs/>
                <w:color w:val="auto"/>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669.16</w:t>
            </w:r>
          </w:p>
        </w:tc>
        <w:tc>
          <w:tcPr>
            <w:tcW w:w="121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575.78</w:t>
            </w:r>
          </w:p>
        </w:tc>
        <w:tc>
          <w:tcPr>
            <w:tcW w:w="1170" w:type="dxa"/>
            <w:tcBorders>
              <w:tl2br w:val="nil"/>
              <w:tr2bl w:val="nil"/>
            </w:tcBorders>
            <w:shd w:val="clear" w:color="auto" w:fill="FFFFFF"/>
            <w:vAlign w:val="center"/>
          </w:tcPr>
          <w:p>
            <w:pPr>
              <w:pStyle w:val="3339"/>
              <w:jc w:val="right"/>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93.38</w:t>
            </w:r>
          </w:p>
        </w:tc>
        <w:tc>
          <w:tcPr>
            <w:tcW w:w="1180" w:type="dxa"/>
            <w:tcBorders>
              <w:tl2br w:val="nil"/>
              <w:tr2bl w:val="nil"/>
            </w:tcBorders>
            <w:shd w:val="clear" w:color="auto" w:fill="FFFFFF"/>
          </w:tcPr>
          <w:p>
            <w:pPr>
              <w:pStyle w:val="2319"/>
              <w:spacing w:before="95" w:line="187" w:lineRule="auto"/>
              <w:ind w:firstLine="313"/>
              <w:jc w:val="right"/>
              <w:rPr>
                <w:rFonts w:ascii="Times New Roman" w:eastAsia="宋体" w:cs="Times New Roman" w:hAnsi="Times New Roman"/>
                <w:b/>
                <w:bCs/>
                <w:sz w:val="16"/>
                <w:szCs w:val="16"/>
                <w:lang w:bidi="ar-SA"/>
                <w:highlight w:val="auto"/>
              </w:rPr>
            </w:pPr>
          </w:p>
        </w:tc>
        <w:tc>
          <w:tcPr>
            <w:tcW w:w="1200" w:type="dxa"/>
            <w:tcBorders>
              <w:tl2br w:val="nil"/>
              <w:tr2bl w:val="nil"/>
            </w:tcBorders>
            <w:vAlign w:val="center"/>
          </w:tcPr>
          <w:p>
            <w:pPr>
              <w:widowControl/>
              <w:jc w:val="right"/>
              <w:textAlignment w:val="center"/>
              <w:rPr>
                <w:b/>
                <w:bCs/>
                <w:sz w:val="16"/>
                <w:szCs w:val="16"/>
                <w:highlight w:val="auto"/>
              </w:rPr>
            </w:pPr>
            <w:r>
              <w:rPr>
                <w:b/>
                <w:bCs/>
                <w:sz w:val="16"/>
                <w:szCs w:val="16"/>
                <w:highlight w:val="auto"/>
              </w:rPr>
              <w:t>48.57</w:t>
            </w:r>
          </w:p>
        </w:tc>
        <w:tc>
          <w:tcPr>
            <w:tcW w:w="1190" w:type="dxa"/>
            <w:tcBorders>
              <w:tl2br w:val="nil"/>
              <w:tr2bl w:val="nil"/>
            </w:tcBorders>
            <w:vAlign w:val="center"/>
          </w:tcPr>
          <w:p>
            <w:pPr>
              <w:widowControl/>
              <w:jc w:val="right"/>
              <w:textAlignment w:val="center"/>
              <w:rPr>
                <w:b/>
                <w:bCs/>
                <w:sz w:val="16"/>
                <w:szCs w:val="16"/>
                <w:highlight w:val="auto"/>
              </w:rPr>
            </w:pPr>
            <w:r>
              <w:rPr>
                <w:b/>
                <w:bCs/>
                <w:sz w:val="16"/>
                <w:szCs w:val="16"/>
                <w:highlight w:val="auto"/>
              </w:rPr>
              <w:t>7.83%</w:t>
            </w:r>
          </w:p>
        </w:tc>
        <w:tc>
          <w:tcPr>
            <w:tcW w:w="1120"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r>
    </w:tbl>
    <w:p>
      <w:pPr>
        <w:pStyle w:val="2319"/>
        <w:rPr>
          <w:rFonts w:ascii="Times New Roman" w:eastAsia="宋体" w:hAnsi="Times New Roman"/>
          <w:highlight w:val="auto"/>
        </w:rPr>
      </w:pPr>
    </w:p>
    <w:p>
      <w:pPr>
        <w:pStyle w:val="2319"/>
        <w:rPr>
          <w:rFonts w:ascii="Times New Roman" w:eastAsia="宋体" w:hAnsi="Times New Roman"/>
          <w:highlight w:val="auto"/>
        </w:rPr>
        <w:sectPr>
          <w:pgSz w:w="16840" w:h="11907"/>
          <w:pgMar w:top="737" w:right="879" w:bottom="567" w:left="885" w:header="0" w:footer="0" w:gutter="0"/>
          <w:pgNumType/>
          <w:docGrid w:linePitch="285" w:charSpace="0"/>
        </w:sectPr>
      </w:pPr>
    </w:p>
    <w:p>
      <w:pPr>
        <w:jc w:val="right"/>
        <w:rPr>
          <w:rFonts w:ascii="黑体" w:eastAsia="黑体" w:cs="黑体"/>
          <w:snapToGrid w:val="0"/>
          <w:sz w:val="20"/>
          <w:szCs w:val="20"/>
          <w:lang w:bidi="ar-SA"/>
          <w:highlight w:val="auto"/>
        </w:rPr>
      </w:pPr>
    </w:p>
    <w:p>
      <w:pPr>
        <w:jc w:val="right"/>
        <w:rPr>
          <w:rFonts w:ascii="黑体" w:eastAsia="黑体" w:cs="黑体" w:hint="eastAsia"/>
          <w:snapToGrid w:val="0"/>
          <w:sz w:val="20"/>
          <w:szCs w:val="20"/>
          <w:lang w:bidi="ar-SA"/>
          <w:highlight w:val="auto"/>
        </w:rPr>
      </w:pPr>
      <w:r>
        <w:rPr>
          <w:rFonts w:ascii="黑体" w:eastAsia="黑体" w:cs="黑体" w:hint="eastAsia"/>
          <w:snapToGrid w:val="0"/>
          <w:sz w:val="20"/>
          <w:szCs w:val="20"/>
          <w:lang w:bidi="ar-SA"/>
          <w:highlight w:val="auto"/>
        </w:rPr>
        <w:t>部门公开表 6</w:t>
      </w:r>
    </w:p>
    <w:p>
      <w:pPr>
        <w:jc w:val="center"/>
        <w:rPr>
          <w:rFonts w:cs="Microsoft JhengHei" w:hint="eastAsia"/>
          <w:b/>
          <w:sz w:val="36"/>
          <w:szCs w:val="36"/>
          <w:lang w:bidi="ar-SA"/>
          <w:highlight w:val="auto"/>
        </w:rPr>
      </w:pPr>
      <w:r>
        <w:rPr>
          <w:rFonts w:cs="Microsoft JhengHei" w:hint="eastAsia"/>
          <w:b/>
          <w:snapToGrid w:val="0"/>
          <w:color w:val="000000"/>
          <w:sz w:val="36"/>
          <w:szCs w:val="36"/>
          <w:lang w:bidi="ar-SA"/>
          <w:highlight w:val="auto"/>
        </w:rPr>
        <w:t>一般公共预算基本支出表</w:t>
      </w:r>
    </w:p>
    <w:p>
      <w:pPr>
        <w:pStyle w:val="2325"/>
        <w:spacing w:before="42" w:line="180" w:lineRule="auto"/>
        <w:ind w:firstLine="9712"/>
        <w:jc w:val="right"/>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3"/>
          <w:sz w:val="20"/>
          <w:szCs w:val="20"/>
          <w:lang w:bidi="ar-SA"/>
          <w:highlight w:val="auto"/>
        </w:rPr>
        <w:t>单位：万元</w:t>
      </w:r>
    </w:p>
    <w:p>
      <w:pPr>
        <w:pStyle w:val="2325"/>
        <w:spacing w:line="19" w:lineRule="auto"/>
        <w:rPr>
          <w:rFonts w:ascii="Times New Roman" w:eastAsia="宋体" w:hAnsi="Times New Roman"/>
          <w:sz w:val="2"/>
          <w:highlight w:val="auto"/>
        </w:rPr>
      </w:pPr>
    </w:p>
    <w:tbl>
      <w:tblPr>
        <w:jc w:val="center"/>
        <w:tblW w:w="10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52"/>
        <w:gridCol w:w="4151"/>
        <w:gridCol w:w="1799"/>
        <w:gridCol w:w="1799"/>
        <w:gridCol w:w="1805"/>
      </w:tblGrid>
      <w:tr>
        <w:trPr>
          <w:trHeight w:val="364"/>
        </w:trPr>
        <w:tc>
          <w:tcPr>
            <w:tcW w:w="5403" w:type="dxa"/>
            <w:gridSpan w:val="2"/>
            <w:tcBorders>
              <w:tl2br w:val="nil"/>
              <w:tr2bl w:val="nil"/>
            </w:tcBorders>
            <w:vAlign w:val="center"/>
          </w:tcPr>
          <w:p>
            <w:pPr>
              <w:pStyle w:val="2325"/>
              <w:spacing w:before="43" w:line="180" w:lineRule="auto"/>
              <w:jc w:val="center"/>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1"/>
                <w:sz w:val="20"/>
                <w:szCs w:val="20"/>
                <w:lang w:bidi="ar-SA"/>
                <w:highlight w:val="auto"/>
              </w:rPr>
              <w:t>部门预算支出经济分类科目</w:t>
            </w:r>
          </w:p>
        </w:tc>
        <w:tc>
          <w:tcPr>
            <w:tcW w:w="5403" w:type="dxa"/>
            <w:gridSpan w:val="3"/>
            <w:tcBorders>
              <w:tl2br w:val="nil"/>
              <w:tr2bl w:val="nil"/>
            </w:tcBorders>
            <w:vAlign w:val="center"/>
          </w:tcPr>
          <w:p>
            <w:pPr>
              <w:pStyle w:val="2325"/>
              <w:spacing w:before="43" w:line="180" w:lineRule="auto"/>
              <w:jc w:val="center"/>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5"/>
                <w:sz w:val="20"/>
                <w:szCs w:val="20"/>
                <w:lang w:bidi="ar-SA"/>
                <w:highlight w:val="auto"/>
              </w:rPr>
              <w:t>本年一般公共预算基本支出</w:t>
            </w:r>
          </w:p>
        </w:tc>
      </w:tr>
      <w:tr>
        <w:trPr>
          <w:trHeight w:val="356"/>
        </w:trPr>
        <w:tc>
          <w:tcPr>
            <w:tcW w:w="1252" w:type="dxa"/>
            <w:tcBorders>
              <w:tl2br w:val="nil"/>
              <w:tr2bl w:val="nil"/>
            </w:tcBorders>
            <w:vAlign w:val="center"/>
          </w:tcPr>
          <w:p>
            <w:pPr>
              <w:pStyle w:val="2325"/>
              <w:spacing w:before="35" w:line="182" w:lineRule="auto"/>
              <w:jc w:val="center"/>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2"/>
                <w:sz w:val="20"/>
                <w:szCs w:val="20"/>
                <w:lang w:bidi="ar-SA"/>
                <w:highlight w:val="auto"/>
              </w:rPr>
              <w:t>科目编码</w:t>
            </w:r>
          </w:p>
        </w:tc>
        <w:tc>
          <w:tcPr>
            <w:tcW w:w="4151" w:type="dxa"/>
            <w:tcBorders>
              <w:tl2br w:val="nil"/>
              <w:tr2bl w:val="nil"/>
            </w:tcBorders>
            <w:vAlign w:val="center"/>
          </w:tcPr>
          <w:p>
            <w:pPr>
              <w:pStyle w:val="2325"/>
              <w:spacing w:before="35" w:line="180" w:lineRule="auto"/>
              <w:jc w:val="center"/>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2"/>
                <w:sz w:val="20"/>
                <w:szCs w:val="20"/>
                <w:lang w:bidi="ar-SA"/>
                <w:highlight w:val="auto"/>
              </w:rPr>
              <w:t>科目名称</w:t>
            </w:r>
          </w:p>
        </w:tc>
        <w:tc>
          <w:tcPr>
            <w:tcW w:w="1799" w:type="dxa"/>
            <w:tcBorders>
              <w:tl2br w:val="nil"/>
              <w:tr2bl w:val="nil"/>
            </w:tcBorders>
            <w:vAlign w:val="center"/>
          </w:tcPr>
          <w:p>
            <w:pPr>
              <w:pStyle w:val="2325"/>
              <w:spacing w:before="35" w:line="182" w:lineRule="auto"/>
              <w:jc w:val="center"/>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3"/>
                <w:sz w:val="20"/>
                <w:szCs w:val="20"/>
                <w:lang w:bidi="ar-SA"/>
                <w:highlight w:val="auto"/>
              </w:rPr>
              <w:t>合计</w:t>
            </w:r>
          </w:p>
        </w:tc>
        <w:tc>
          <w:tcPr>
            <w:tcW w:w="1799" w:type="dxa"/>
            <w:tcBorders>
              <w:tl2br w:val="nil"/>
              <w:tr2bl w:val="nil"/>
            </w:tcBorders>
            <w:vAlign w:val="center"/>
          </w:tcPr>
          <w:p>
            <w:pPr>
              <w:pStyle w:val="2325"/>
              <w:spacing w:before="35" w:line="182" w:lineRule="auto"/>
              <w:jc w:val="center"/>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3"/>
                <w:sz w:val="20"/>
                <w:szCs w:val="20"/>
                <w:lang w:bidi="ar-SA"/>
                <w:highlight w:val="auto"/>
              </w:rPr>
              <w:t>人员经费</w:t>
            </w:r>
          </w:p>
        </w:tc>
        <w:tc>
          <w:tcPr>
            <w:tcW w:w="1805" w:type="dxa"/>
            <w:tcBorders>
              <w:tl2br w:val="nil"/>
              <w:tr2bl w:val="nil"/>
            </w:tcBorders>
            <w:vAlign w:val="center"/>
          </w:tcPr>
          <w:p>
            <w:pPr>
              <w:pStyle w:val="2325"/>
              <w:spacing w:before="35" w:line="182" w:lineRule="auto"/>
              <w:jc w:val="center"/>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1"/>
                <w:sz w:val="20"/>
                <w:szCs w:val="20"/>
                <w:lang w:bidi="ar-SA"/>
                <w:highlight w:val="auto"/>
              </w:rPr>
              <w:t>公用经费</w:t>
            </w: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301</w:t>
            </w:r>
          </w:p>
        </w:tc>
        <w:tc>
          <w:tcPr>
            <w:tcW w:w="4151" w:type="dxa"/>
            <w:tcBorders>
              <w:tl2br w:val="nil"/>
              <w:tr2bl w:val="nil"/>
            </w:tcBorders>
            <w:vAlign w:val="center"/>
          </w:tcPr>
          <w:p>
            <w:pPr>
              <w:pStyle w:val="2325"/>
              <w:ind w:leftChars="100" w:left="210"/>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工资福利支出</w:t>
            </w:r>
          </w:p>
        </w:tc>
        <w:tc>
          <w:tcPr>
            <w:tcW w:w="1799" w:type="dxa"/>
            <w:tcBorders>
              <w:tl2br w:val="nil"/>
              <w:tr2bl w:val="nil"/>
            </w:tcBorders>
            <w:vAlign w:val="center"/>
          </w:tcPr>
          <w:p>
            <w:pPr>
              <w:pStyle w:val="3340"/>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405.44</w:t>
            </w:r>
          </w:p>
        </w:tc>
        <w:tc>
          <w:tcPr>
            <w:tcW w:w="1799" w:type="dxa"/>
            <w:tcBorders>
              <w:tl2br w:val="nil"/>
              <w:tr2bl w:val="nil"/>
            </w:tcBorders>
            <w:vAlign w:val="center"/>
          </w:tcPr>
          <w:p>
            <w:pPr>
              <w:pStyle w:val="2325"/>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405.44</w:t>
            </w:r>
          </w:p>
        </w:tc>
        <w:tc>
          <w:tcPr>
            <w:tcW w:w="1805" w:type="dxa"/>
            <w:tcBorders>
              <w:tl2br w:val="nil"/>
              <w:tr2bl w:val="nil"/>
            </w:tcBorders>
            <w:vAlign w:val="center"/>
          </w:tcPr>
          <w:p>
            <w:pPr>
              <w:pStyle w:val="2325"/>
              <w:jc w:val="right"/>
              <w:rPr>
                <w:rFonts w:ascii="Times New Roman" w:eastAsia="宋体" w:cs="Times New Roman" w:hAnsi="Times New Roman"/>
                <w:b/>
                <w:sz w:val="20"/>
                <w:szCs w:val="20"/>
                <w:lang w:bidi="ar-SA"/>
                <w:highlight w:val="auto"/>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30101</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基本工资</w:t>
            </w:r>
          </w:p>
        </w:tc>
        <w:tc>
          <w:tcPr>
            <w:tcW w:w="1799" w:type="dxa"/>
            <w:tcBorders>
              <w:tl2br w:val="nil"/>
              <w:tr2bl w:val="nil"/>
            </w:tcBorders>
            <w:vAlign w:val="center"/>
          </w:tcPr>
          <w:p>
            <w:pPr>
              <w:pStyle w:val="3341"/>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97.44</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97.44</w:t>
            </w: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30102</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津贴补贴</w:t>
            </w:r>
          </w:p>
        </w:tc>
        <w:tc>
          <w:tcPr>
            <w:tcW w:w="1799" w:type="dxa"/>
            <w:tcBorders>
              <w:tl2br w:val="nil"/>
              <w:tr2bl w:val="nil"/>
            </w:tcBorders>
            <w:vAlign w:val="center"/>
          </w:tcPr>
          <w:p>
            <w:pPr>
              <w:pStyle w:val="3342"/>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189.61</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189.61</w:t>
            </w: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30103</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奖金</w:t>
            </w:r>
          </w:p>
        </w:tc>
        <w:tc>
          <w:tcPr>
            <w:tcW w:w="1799" w:type="dxa"/>
            <w:tcBorders>
              <w:tl2br w:val="nil"/>
              <w:tr2bl w:val="nil"/>
            </w:tcBorders>
            <w:vAlign w:val="center"/>
          </w:tcPr>
          <w:p>
            <w:pPr>
              <w:pStyle w:val="3343"/>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9.02</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9.02</w:t>
            </w: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30106</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伙食补助费</w:t>
            </w:r>
          </w:p>
        </w:tc>
        <w:tc>
          <w:tcPr>
            <w:tcW w:w="1799" w:type="dxa"/>
            <w:tcBorders>
              <w:tl2br w:val="nil"/>
              <w:tr2bl w:val="nil"/>
            </w:tcBorders>
            <w:vAlign w:val="center"/>
          </w:tcPr>
          <w:p>
            <w:pPr>
              <w:pStyle w:val="3344"/>
              <w:jc w:val="right"/>
              <w:rPr>
                <w:rFonts w:ascii="Times New Roman" w:eastAsia="宋体" w:cs="Times New Roman" w:hAnsi="Times New Roman"/>
                <w:sz w:val="20"/>
                <w:szCs w:val="20"/>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30107</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绩效工资</w:t>
            </w:r>
          </w:p>
        </w:tc>
        <w:tc>
          <w:tcPr>
            <w:tcW w:w="1799" w:type="dxa"/>
            <w:tcBorders>
              <w:tl2br w:val="nil"/>
              <w:tr2bl w:val="nil"/>
            </w:tcBorders>
            <w:vAlign w:val="center"/>
          </w:tcPr>
          <w:p>
            <w:pPr>
              <w:pStyle w:val="3345"/>
              <w:jc w:val="right"/>
              <w:rPr>
                <w:rFonts w:ascii="Times New Roman" w:eastAsia="宋体" w:cs="Times New Roman" w:hAnsi="Times New Roman"/>
                <w:sz w:val="20"/>
                <w:szCs w:val="20"/>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3"/>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30108</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机关事业单位基本养老保险缴费</w:t>
            </w:r>
          </w:p>
        </w:tc>
        <w:tc>
          <w:tcPr>
            <w:tcW w:w="1799" w:type="dxa"/>
            <w:tcBorders>
              <w:tl2br w:val="nil"/>
              <w:tr2bl w:val="nil"/>
            </w:tcBorders>
            <w:vAlign w:val="center"/>
          </w:tcPr>
          <w:p>
            <w:pPr>
              <w:pStyle w:val="3346"/>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35.42</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35.42</w:t>
            </w: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30109</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职业年金缴费</w:t>
            </w:r>
          </w:p>
        </w:tc>
        <w:tc>
          <w:tcPr>
            <w:tcW w:w="1799" w:type="dxa"/>
            <w:tcBorders>
              <w:tl2br w:val="nil"/>
              <w:tr2bl w:val="nil"/>
            </w:tcBorders>
            <w:vAlign w:val="center"/>
          </w:tcPr>
          <w:p>
            <w:pPr>
              <w:pStyle w:val="3347"/>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17.71</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17.71</w:t>
            </w: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30110</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职工基本医疗保险缴费</w:t>
            </w:r>
          </w:p>
        </w:tc>
        <w:tc>
          <w:tcPr>
            <w:tcW w:w="1799" w:type="dxa"/>
            <w:tcBorders>
              <w:tl2br w:val="nil"/>
              <w:tr2bl w:val="nil"/>
            </w:tcBorders>
            <w:vAlign w:val="center"/>
          </w:tcPr>
          <w:p>
            <w:pPr>
              <w:pStyle w:val="3348"/>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18.28</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18.28</w:t>
            </w: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30111</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公务员医疗补助缴费</w:t>
            </w:r>
          </w:p>
        </w:tc>
        <w:tc>
          <w:tcPr>
            <w:tcW w:w="1799" w:type="dxa"/>
            <w:tcBorders>
              <w:tl2br w:val="nil"/>
              <w:tr2bl w:val="nil"/>
            </w:tcBorders>
            <w:vAlign w:val="center"/>
          </w:tcPr>
          <w:p>
            <w:pPr>
              <w:pStyle w:val="3349"/>
              <w:jc w:val="right"/>
              <w:rPr>
                <w:rFonts w:ascii="Times New Roman" w:eastAsia="宋体" w:cs="Times New Roman" w:hAnsi="Times New Roman"/>
                <w:sz w:val="20"/>
                <w:szCs w:val="20"/>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30112</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其他社会保障缴费</w:t>
            </w:r>
          </w:p>
        </w:tc>
        <w:tc>
          <w:tcPr>
            <w:tcW w:w="1799" w:type="dxa"/>
            <w:tcBorders>
              <w:tl2br w:val="nil"/>
              <w:tr2bl w:val="nil"/>
            </w:tcBorders>
            <w:vAlign w:val="center"/>
          </w:tcPr>
          <w:p>
            <w:pPr>
              <w:pStyle w:val="3350"/>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0.42</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0.42</w:t>
            </w: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30113</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住房公积金</w:t>
            </w:r>
          </w:p>
        </w:tc>
        <w:tc>
          <w:tcPr>
            <w:tcW w:w="1799" w:type="dxa"/>
            <w:tcBorders>
              <w:tl2br w:val="nil"/>
              <w:tr2bl w:val="nil"/>
            </w:tcBorders>
            <w:vAlign w:val="center"/>
          </w:tcPr>
          <w:p>
            <w:pPr>
              <w:pStyle w:val="3351"/>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37.24</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37.24</w:t>
            </w: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30114</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医疗费</w:t>
            </w:r>
          </w:p>
        </w:tc>
        <w:tc>
          <w:tcPr>
            <w:tcW w:w="1799" w:type="dxa"/>
            <w:tcBorders>
              <w:tl2br w:val="nil"/>
              <w:tr2bl w:val="nil"/>
            </w:tcBorders>
            <w:vAlign w:val="center"/>
          </w:tcPr>
          <w:p>
            <w:pPr>
              <w:pStyle w:val="3352"/>
              <w:jc w:val="right"/>
              <w:rPr>
                <w:rFonts w:ascii="Times New Roman" w:eastAsia="宋体" w:cs="Times New Roman" w:hAnsi="Times New Roman"/>
                <w:sz w:val="20"/>
                <w:szCs w:val="20"/>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30199</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其他工资福利支出</w:t>
            </w:r>
          </w:p>
        </w:tc>
        <w:tc>
          <w:tcPr>
            <w:tcW w:w="1799" w:type="dxa"/>
            <w:tcBorders>
              <w:tl2br w:val="nil"/>
              <w:tr2bl w:val="nil"/>
            </w:tcBorders>
            <w:vAlign w:val="center"/>
          </w:tcPr>
          <w:p>
            <w:pPr>
              <w:pStyle w:val="3353"/>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0.3</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0.3</w:t>
            </w: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2"/>
        </w:trPr>
        <w:tc>
          <w:tcPr>
            <w:tcW w:w="1252" w:type="dxa"/>
            <w:tcBorders>
              <w:tl2br w:val="nil"/>
              <w:tr2bl w:val="nil"/>
            </w:tcBorders>
            <w:vAlign w:val="center"/>
          </w:tcPr>
          <w:p>
            <w:pPr>
              <w:pStyle w:val="2325"/>
              <w:ind w:leftChars="100" w:left="210"/>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302</w:t>
            </w:r>
          </w:p>
        </w:tc>
        <w:tc>
          <w:tcPr>
            <w:tcW w:w="4151" w:type="dxa"/>
            <w:tcBorders>
              <w:tl2br w:val="nil"/>
              <w:tr2bl w:val="nil"/>
            </w:tcBorders>
            <w:vAlign w:val="center"/>
          </w:tcPr>
          <w:p>
            <w:pPr>
              <w:pStyle w:val="2325"/>
              <w:ind w:leftChars="100" w:left="210"/>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商品和服务支出</w:t>
            </w:r>
          </w:p>
        </w:tc>
        <w:tc>
          <w:tcPr>
            <w:tcW w:w="1799" w:type="dxa"/>
            <w:tcBorders>
              <w:tl2br w:val="nil"/>
              <w:tr2bl w:val="nil"/>
            </w:tcBorders>
            <w:vAlign w:val="center"/>
          </w:tcPr>
          <w:p>
            <w:pPr>
              <w:pStyle w:val="3354"/>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157.41</w:t>
            </w:r>
          </w:p>
        </w:tc>
        <w:tc>
          <w:tcPr>
            <w:tcW w:w="1799" w:type="dxa"/>
            <w:tcBorders>
              <w:tl2br w:val="nil"/>
              <w:tr2bl w:val="nil"/>
            </w:tcBorders>
            <w:vAlign w:val="center"/>
          </w:tcPr>
          <w:p>
            <w:pPr>
              <w:pStyle w:val="2325"/>
              <w:jc w:val="right"/>
              <w:rPr>
                <w:rFonts w:ascii="Times New Roman" w:eastAsia="宋体" w:cs="Times New Roman" w:hAnsi="Times New Roman"/>
                <w:b/>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157.41</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30201</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办公费</w:t>
            </w:r>
          </w:p>
        </w:tc>
        <w:tc>
          <w:tcPr>
            <w:tcW w:w="1799" w:type="dxa"/>
            <w:tcBorders>
              <w:tl2br w:val="nil"/>
              <w:tr2bl w:val="nil"/>
            </w:tcBorders>
            <w:vAlign w:val="center"/>
          </w:tcPr>
          <w:p>
            <w:pPr>
              <w:pStyle w:val="335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5.81</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5.81</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30202</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印刷费</w:t>
            </w:r>
          </w:p>
        </w:tc>
        <w:tc>
          <w:tcPr>
            <w:tcW w:w="1799" w:type="dxa"/>
            <w:tcBorders>
              <w:tl2br w:val="nil"/>
              <w:tr2bl w:val="nil"/>
            </w:tcBorders>
            <w:vAlign w:val="center"/>
          </w:tcPr>
          <w:p>
            <w:pPr>
              <w:pStyle w:val="3356"/>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0.10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0.10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30203</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咨询费</w:t>
            </w:r>
          </w:p>
        </w:tc>
        <w:tc>
          <w:tcPr>
            <w:tcW w:w="1799" w:type="dxa"/>
            <w:tcBorders>
              <w:tl2br w:val="nil"/>
              <w:tr2bl w:val="nil"/>
            </w:tcBorders>
            <w:vAlign w:val="center"/>
          </w:tcPr>
          <w:p>
            <w:pPr>
              <w:pStyle w:val="3357"/>
              <w:jc w:val="right"/>
              <w:rPr>
                <w:rFonts w:ascii="Times New Roman" w:eastAsia="宋体" w:cs="Times New Roman" w:hAnsi="Times New Roman"/>
                <w:sz w:val="20"/>
                <w:szCs w:val="20"/>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30204</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手续费</w:t>
            </w:r>
          </w:p>
        </w:tc>
        <w:tc>
          <w:tcPr>
            <w:tcW w:w="1799" w:type="dxa"/>
            <w:tcBorders>
              <w:tl2br w:val="nil"/>
              <w:tr2bl w:val="nil"/>
            </w:tcBorders>
            <w:vAlign w:val="center"/>
          </w:tcPr>
          <w:p>
            <w:pPr>
              <w:pStyle w:val="3358"/>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0.03</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0.03</w:t>
            </w: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30205</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水费</w:t>
            </w:r>
          </w:p>
        </w:tc>
        <w:tc>
          <w:tcPr>
            <w:tcW w:w="1799" w:type="dxa"/>
            <w:tcBorders>
              <w:tl2br w:val="nil"/>
              <w:tr2bl w:val="nil"/>
            </w:tcBorders>
            <w:vAlign w:val="center"/>
          </w:tcPr>
          <w:p>
            <w:pPr>
              <w:pStyle w:val="3359"/>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1.50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1.50</w:t>
            </w: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30206</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电费</w:t>
            </w:r>
          </w:p>
        </w:tc>
        <w:tc>
          <w:tcPr>
            <w:tcW w:w="1799" w:type="dxa"/>
            <w:tcBorders>
              <w:tl2br w:val="nil"/>
              <w:tr2bl w:val="nil"/>
            </w:tcBorders>
            <w:vAlign w:val="center"/>
          </w:tcPr>
          <w:p>
            <w:pPr>
              <w:pStyle w:val="3360"/>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5.00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5.00</w:t>
            </w:r>
          </w:p>
        </w:tc>
      </w:tr>
      <w:tr>
        <w:trPr>
          <w:trHeight w:val="292"/>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30207</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邮电费</w:t>
            </w:r>
          </w:p>
        </w:tc>
        <w:tc>
          <w:tcPr>
            <w:tcW w:w="1799" w:type="dxa"/>
            <w:tcBorders>
              <w:tl2br w:val="nil"/>
              <w:tr2bl w:val="nil"/>
            </w:tcBorders>
            <w:vAlign w:val="center"/>
          </w:tcPr>
          <w:p>
            <w:pPr>
              <w:pStyle w:val="3361"/>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5.50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5.50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30208</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取暖费</w:t>
            </w:r>
          </w:p>
        </w:tc>
        <w:tc>
          <w:tcPr>
            <w:tcW w:w="1799" w:type="dxa"/>
            <w:tcBorders>
              <w:tl2br w:val="nil"/>
              <w:tr2bl w:val="nil"/>
            </w:tcBorders>
            <w:vAlign w:val="center"/>
          </w:tcPr>
          <w:p>
            <w:pPr>
              <w:pStyle w:val="3362"/>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11.08</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11.08</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30209</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物业管理费</w:t>
            </w:r>
          </w:p>
        </w:tc>
        <w:tc>
          <w:tcPr>
            <w:tcW w:w="1799" w:type="dxa"/>
            <w:tcBorders>
              <w:tl2br w:val="nil"/>
              <w:tr2bl w:val="nil"/>
            </w:tcBorders>
            <w:vAlign w:val="center"/>
          </w:tcPr>
          <w:p>
            <w:pPr>
              <w:pStyle w:val="3363"/>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3.45</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3.45</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30211</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差旅费</w:t>
            </w:r>
          </w:p>
        </w:tc>
        <w:tc>
          <w:tcPr>
            <w:tcW w:w="1799" w:type="dxa"/>
            <w:tcBorders>
              <w:tl2br w:val="nil"/>
              <w:tr2bl w:val="nil"/>
            </w:tcBorders>
            <w:vAlign w:val="center"/>
          </w:tcPr>
          <w:p>
            <w:pPr>
              <w:pStyle w:val="3364"/>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30213</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维修（护）费</w:t>
            </w:r>
          </w:p>
        </w:tc>
        <w:tc>
          <w:tcPr>
            <w:tcW w:w="1799" w:type="dxa"/>
            <w:tcBorders>
              <w:tl2br w:val="nil"/>
              <w:tr2bl w:val="nil"/>
            </w:tcBorders>
            <w:vAlign w:val="center"/>
          </w:tcPr>
          <w:p>
            <w:pPr>
              <w:pStyle w:val="336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11.94</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11.94</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30214</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租赁费</w:t>
            </w:r>
          </w:p>
        </w:tc>
        <w:tc>
          <w:tcPr>
            <w:tcW w:w="1799" w:type="dxa"/>
            <w:tcBorders>
              <w:tl2br w:val="nil"/>
              <w:tr2bl w:val="nil"/>
            </w:tcBorders>
            <w:vAlign w:val="center"/>
          </w:tcPr>
          <w:p>
            <w:pPr>
              <w:pStyle w:val="3366"/>
              <w:jc w:val="right"/>
              <w:rPr>
                <w:rFonts w:ascii="Times New Roman" w:eastAsia="宋体" w:cs="Times New Roman" w:hAnsi="Times New Roman"/>
                <w:sz w:val="20"/>
                <w:szCs w:val="20"/>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30215</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会议费</w:t>
            </w:r>
          </w:p>
        </w:tc>
        <w:tc>
          <w:tcPr>
            <w:tcW w:w="1799" w:type="dxa"/>
            <w:tcBorders>
              <w:tl2br w:val="nil"/>
              <w:tr2bl w:val="nil"/>
            </w:tcBorders>
            <w:vAlign w:val="center"/>
          </w:tcPr>
          <w:p>
            <w:pPr>
              <w:pStyle w:val="3367"/>
              <w:jc w:val="right"/>
              <w:rPr>
                <w:rFonts w:ascii="Times New Roman" w:eastAsia="宋体" w:cs="Times New Roman" w:hAnsi="Times New Roman"/>
                <w:sz w:val="20"/>
                <w:szCs w:val="20"/>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30216</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培训费</w:t>
            </w:r>
          </w:p>
        </w:tc>
        <w:tc>
          <w:tcPr>
            <w:tcW w:w="1799" w:type="dxa"/>
            <w:tcBorders>
              <w:tl2br w:val="nil"/>
              <w:tr2bl w:val="nil"/>
            </w:tcBorders>
            <w:vAlign w:val="center"/>
          </w:tcPr>
          <w:p>
            <w:pPr>
              <w:pStyle w:val="3368"/>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1.00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1.00</w:t>
            </w:r>
          </w:p>
        </w:tc>
      </w:tr>
      <w:tr>
        <w:trPr>
          <w:trHeight w:val="292"/>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30217</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公务接待费</w:t>
            </w:r>
          </w:p>
        </w:tc>
        <w:tc>
          <w:tcPr>
            <w:tcW w:w="1799" w:type="dxa"/>
            <w:tcBorders>
              <w:tl2br w:val="nil"/>
              <w:tr2bl w:val="nil"/>
            </w:tcBorders>
            <w:vAlign w:val="center"/>
          </w:tcPr>
          <w:p>
            <w:pPr>
              <w:pStyle w:val="3369"/>
              <w:jc w:val="right"/>
              <w:rPr>
                <w:rFonts w:ascii="Times New Roman" w:eastAsia="宋体" w:cs="Times New Roman" w:hAnsi="Times New Roman"/>
                <w:sz w:val="20"/>
                <w:szCs w:val="20"/>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30218</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专用材料费</w:t>
            </w:r>
          </w:p>
        </w:tc>
        <w:tc>
          <w:tcPr>
            <w:tcW w:w="1799" w:type="dxa"/>
            <w:tcBorders>
              <w:tl2br w:val="nil"/>
              <w:tr2bl w:val="nil"/>
            </w:tcBorders>
            <w:vAlign w:val="center"/>
          </w:tcPr>
          <w:p>
            <w:pPr>
              <w:pStyle w:val="3370"/>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30224</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被装购置费</w:t>
            </w:r>
          </w:p>
        </w:tc>
        <w:tc>
          <w:tcPr>
            <w:tcW w:w="1799" w:type="dxa"/>
            <w:tcBorders>
              <w:tl2br w:val="nil"/>
              <w:tr2bl w:val="nil"/>
            </w:tcBorders>
            <w:vAlign w:val="center"/>
          </w:tcPr>
          <w:p>
            <w:pPr>
              <w:pStyle w:val="3371"/>
              <w:jc w:val="right"/>
              <w:rPr>
                <w:rFonts w:ascii="Times New Roman" w:eastAsia="宋体" w:cs="Times New Roman" w:hAnsi="Times New Roman"/>
                <w:sz w:val="20"/>
                <w:szCs w:val="20"/>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30225</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专用燃料费</w:t>
            </w:r>
          </w:p>
        </w:tc>
        <w:tc>
          <w:tcPr>
            <w:tcW w:w="1799" w:type="dxa"/>
            <w:tcBorders>
              <w:tl2br w:val="nil"/>
              <w:tr2bl w:val="nil"/>
            </w:tcBorders>
            <w:vAlign w:val="center"/>
          </w:tcPr>
          <w:p>
            <w:pPr>
              <w:pStyle w:val="3372"/>
              <w:jc w:val="right"/>
              <w:rPr>
                <w:rFonts w:ascii="Times New Roman" w:eastAsia="宋体" w:cs="Times New Roman" w:hAnsi="Times New Roman"/>
                <w:sz w:val="20"/>
                <w:szCs w:val="20"/>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30226</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劳务费</w:t>
            </w:r>
          </w:p>
        </w:tc>
        <w:tc>
          <w:tcPr>
            <w:tcW w:w="1799" w:type="dxa"/>
            <w:tcBorders>
              <w:tl2br w:val="nil"/>
              <w:tr2bl w:val="nil"/>
            </w:tcBorders>
            <w:vAlign w:val="center"/>
          </w:tcPr>
          <w:p>
            <w:pPr>
              <w:pStyle w:val="3373"/>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40.00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40.00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30227</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委托业务费</w:t>
            </w:r>
          </w:p>
        </w:tc>
        <w:tc>
          <w:tcPr>
            <w:tcW w:w="1799" w:type="dxa"/>
            <w:tcBorders>
              <w:tl2br w:val="nil"/>
              <w:tr2bl w:val="nil"/>
            </w:tcBorders>
            <w:vAlign w:val="center"/>
          </w:tcPr>
          <w:p>
            <w:pPr>
              <w:pStyle w:val="3374"/>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1.00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1.00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30228</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工会经费</w:t>
            </w:r>
          </w:p>
        </w:tc>
        <w:tc>
          <w:tcPr>
            <w:tcW w:w="1799" w:type="dxa"/>
            <w:tcBorders>
              <w:tl2br w:val="nil"/>
              <w:tr2bl w:val="nil"/>
            </w:tcBorders>
            <w:vAlign w:val="center"/>
          </w:tcPr>
          <w:p>
            <w:pPr>
              <w:pStyle w:val="337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18.00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18.00</w:t>
            </w: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30229</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福利费</w:t>
            </w:r>
          </w:p>
        </w:tc>
        <w:tc>
          <w:tcPr>
            <w:tcW w:w="1799" w:type="dxa"/>
            <w:tcBorders>
              <w:tl2br w:val="nil"/>
              <w:tr2bl w:val="nil"/>
            </w:tcBorders>
            <w:vAlign w:val="center"/>
          </w:tcPr>
          <w:p>
            <w:pPr>
              <w:pStyle w:val="3376"/>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10.00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10.00</w:t>
            </w:r>
          </w:p>
        </w:tc>
      </w:tr>
      <w:tr>
        <w:trPr>
          <w:trHeight w:val="292"/>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30231</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公务用车运行维护费</w:t>
            </w:r>
          </w:p>
        </w:tc>
        <w:tc>
          <w:tcPr>
            <w:tcW w:w="1799" w:type="dxa"/>
            <w:tcBorders>
              <w:tl2br w:val="nil"/>
              <w:tr2bl w:val="nil"/>
            </w:tcBorders>
            <w:vAlign w:val="center"/>
          </w:tcPr>
          <w:p>
            <w:pPr>
              <w:pStyle w:val="3377"/>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4.50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4.50</w:t>
            </w:r>
          </w:p>
        </w:tc>
      </w:tr>
    </w:tbl>
    <w:p>
      <w:pPr>
        <w:pStyle w:val="2325"/>
        <w:rPr>
          <w:rFonts w:ascii="Times New Roman" w:eastAsia="宋体" w:hAnsi="Times New Roman"/>
          <w:highlight w:val="auto"/>
        </w:rPr>
      </w:pPr>
    </w:p>
    <w:p>
      <w:pPr>
        <w:pStyle w:val="2325"/>
        <w:rPr>
          <w:rFonts w:ascii="Times New Roman" w:eastAsia="宋体" w:hAnsi="Times New Roman"/>
          <w:highlight w:val="auto"/>
        </w:rPr>
        <w:sectPr>
          <w:pgSz w:w="11907" w:h="16841"/>
          <w:pgMar w:top="1427" w:right="638" w:bottom="0" w:left="451" w:header="0" w:footer="0" w:gutter="0"/>
          <w:pgNumType/>
          <w:docGrid w:linePitch="285" w:charSpace="0"/>
        </w:sectPr>
      </w:pPr>
    </w:p>
    <w:p>
      <w:pPr>
        <w:pStyle w:val="2325"/>
        <w:spacing w:line="89" w:lineRule="auto"/>
        <w:rPr>
          <w:rFonts w:ascii="Times New Roman" w:eastAsia="宋体" w:hAnsi="Times New Roman"/>
          <w:sz w:val="2"/>
          <w:highlight w:val="auto"/>
        </w:rPr>
      </w:pPr>
    </w:p>
    <w:tbl>
      <w:tblPr>
        <w:jc w:val="center"/>
        <w:tblW w:w="10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52"/>
        <w:gridCol w:w="4151"/>
        <w:gridCol w:w="1799"/>
        <w:gridCol w:w="1799"/>
        <w:gridCol w:w="1805"/>
      </w:tblGrid>
      <w:tr>
        <w:trPr>
          <w:trHeight w:val="364"/>
        </w:trPr>
        <w:tc>
          <w:tcPr>
            <w:tcW w:w="5403" w:type="dxa"/>
            <w:gridSpan w:val="2"/>
            <w:tcBorders>
              <w:tl2br w:val="nil"/>
              <w:tr2bl w:val="nil"/>
            </w:tcBorders>
            <w:vAlign w:val="center"/>
          </w:tcPr>
          <w:p>
            <w:pPr>
              <w:pStyle w:val="2325"/>
              <w:spacing w:before="43" w:line="180" w:lineRule="auto"/>
              <w:jc w:val="center"/>
              <w:rPr>
                <w:rFonts w:ascii="Times New Roman" w:eastAsia="宋体" w:cs="Microsoft JhengHei" w:hAnsi="Times New Roman" w:hint="eastAsia"/>
                <w:lang w:bidi="ar-SA"/>
                <w:highlight w:val="auto"/>
              </w:rPr>
            </w:pPr>
            <w:r>
              <w:rPr>
                <w:rFonts w:ascii="Times New Roman" w:eastAsia="宋体" w:cs="Microsoft JhengHei" w:hAnsi="Times New Roman" w:hint="eastAsia"/>
                <w:spacing w:val="-1"/>
                <w:sz w:val="20"/>
                <w:szCs w:val="20"/>
                <w:lang w:bidi="ar-SA"/>
                <w:highlight w:val="auto"/>
              </w:rPr>
              <w:t>部门预算支出经济分类科目</w:t>
            </w:r>
          </w:p>
        </w:tc>
        <w:tc>
          <w:tcPr>
            <w:tcW w:w="5403" w:type="dxa"/>
            <w:gridSpan w:val="3"/>
            <w:tcBorders>
              <w:tl2br w:val="nil"/>
              <w:tr2bl w:val="nil"/>
            </w:tcBorders>
            <w:vAlign w:val="center"/>
          </w:tcPr>
          <w:p>
            <w:pPr>
              <w:pStyle w:val="2325"/>
              <w:spacing w:before="43" w:line="180" w:lineRule="auto"/>
              <w:jc w:val="center"/>
              <w:rPr>
                <w:rFonts w:ascii="Times New Roman" w:eastAsia="宋体" w:cs="Microsoft JhengHei" w:hAnsi="Times New Roman" w:hint="eastAsia"/>
                <w:lang w:bidi="ar-SA"/>
                <w:highlight w:val="auto"/>
              </w:rPr>
            </w:pPr>
            <w:r>
              <w:rPr>
                <w:rFonts w:ascii="Times New Roman" w:eastAsia="宋体" w:cs="Microsoft JhengHei" w:hAnsi="Times New Roman" w:hint="eastAsia"/>
                <w:spacing w:val="-5"/>
                <w:sz w:val="20"/>
                <w:szCs w:val="20"/>
                <w:lang w:bidi="ar-SA"/>
                <w:highlight w:val="auto"/>
              </w:rPr>
              <w:t>本年一般公共预算基本支出</w:t>
            </w:r>
          </w:p>
        </w:tc>
      </w:tr>
      <w:tr>
        <w:trPr>
          <w:trHeight w:val="357"/>
        </w:trPr>
        <w:tc>
          <w:tcPr>
            <w:tcW w:w="1252" w:type="dxa"/>
            <w:tcBorders>
              <w:tl2br w:val="nil"/>
              <w:tr2bl w:val="nil"/>
            </w:tcBorders>
            <w:vAlign w:val="center"/>
          </w:tcPr>
          <w:p>
            <w:pPr>
              <w:pStyle w:val="2325"/>
              <w:spacing w:before="35" w:line="182" w:lineRule="auto"/>
              <w:jc w:val="center"/>
              <w:rPr>
                <w:rFonts w:ascii="Times New Roman" w:eastAsia="宋体" w:cs="Microsoft JhengHei" w:hAnsi="Times New Roman" w:hint="eastAsia"/>
                <w:lang w:bidi="ar-SA"/>
                <w:highlight w:val="auto"/>
              </w:rPr>
            </w:pPr>
            <w:r>
              <w:rPr>
                <w:rFonts w:ascii="Times New Roman" w:eastAsia="宋体" w:cs="Microsoft JhengHei" w:hAnsi="Times New Roman" w:hint="eastAsia"/>
                <w:spacing w:val="-2"/>
                <w:sz w:val="20"/>
                <w:szCs w:val="20"/>
                <w:lang w:bidi="ar-SA"/>
                <w:highlight w:val="auto"/>
              </w:rPr>
              <w:t>科目编码</w:t>
            </w:r>
          </w:p>
        </w:tc>
        <w:tc>
          <w:tcPr>
            <w:tcW w:w="4151" w:type="dxa"/>
            <w:tcBorders>
              <w:tl2br w:val="nil"/>
              <w:tr2bl w:val="nil"/>
            </w:tcBorders>
            <w:vAlign w:val="center"/>
          </w:tcPr>
          <w:p>
            <w:pPr>
              <w:pStyle w:val="2325"/>
              <w:spacing w:before="35" w:line="180" w:lineRule="auto"/>
              <w:jc w:val="center"/>
              <w:rPr>
                <w:rFonts w:ascii="Times New Roman" w:eastAsia="宋体" w:cs="Microsoft JhengHei" w:hAnsi="Times New Roman" w:hint="eastAsia"/>
                <w:lang w:bidi="ar-SA"/>
                <w:highlight w:val="auto"/>
              </w:rPr>
            </w:pPr>
            <w:r>
              <w:rPr>
                <w:rFonts w:ascii="Times New Roman" w:eastAsia="宋体" w:cs="Microsoft JhengHei" w:hAnsi="Times New Roman" w:hint="eastAsia"/>
                <w:spacing w:val="-2"/>
                <w:sz w:val="20"/>
                <w:szCs w:val="20"/>
                <w:lang w:bidi="ar-SA"/>
                <w:highlight w:val="auto"/>
              </w:rPr>
              <w:t>科目名称</w:t>
            </w:r>
          </w:p>
        </w:tc>
        <w:tc>
          <w:tcPr>
            <w:tcW w:w="1799" w:type="dxa"/>
            <w:tcBorders>
              <w:tl2br w:val="nil"/>
              <w:tr2bl w:val="nil"/>
            </w:tcBorders>
            <w:vAlign w:val="center"/>
          </w:tcPr>
          <w:p>
            <w:pPr>
              <w:pStyle w:val="2325"/>
              <w:spacing w:before="35" w:line="182" w:lineRule="auto"/>
              <w:jc w:val="center"/>
              <w:rPr>
                <w:rFonts w:ascii="Times New Roman" w:eastAsia="宋体" w:cs="Microsoft JhengHei" w:hAnsi="Times New Roman" w:hint="eastAsia"/>
                <w:lang w:bidi="ar-SA"/>
                <w:highlight w:val="auto"/>
              </w:rPr>
            </w:pPr>
            <w:r>
              <w:rPr>
                <w:rFonts w:ascii="Times New Roman" w:eastAsia="宋体" w:cs="Microsoft JhengHei" w:hAnsi="Times New Roman" w:hint="eastAsia"/>
                <w:spacing w:val="-3"/>
                <w:sz w:val="20"/>
                <w:szCs w:val="20"/>
                <w:lang w:bidi="ar-SA"/>
                <w:highlight w:val="auto"/>
              </w:rPr>
              <w:t>合计</w:t>
            </w:r>
          </w:p>
        </w:tc>
        <w:tc>
          <w:tcPr>
            <w:tcW w:w="1799" w:type="dxa"/>
            <w:tcBorders>
              <w:tl2br w:val="nil"/>
              <w:tr2bl w:val="nil"/>
            </w:tcBorders>
            <w:vAlign w:val="center"/>
          </w:tcPr>
          <w:p>
            <w:pPr>
              <w:pStyle w:val="2325"/>
              <w:spacing w:before="35" w:line="182" w:lineRule="auto"/>
              <w:jc w:val="center"/>
              <w:rPr>
                <w:rFonts w:ascii="Times New Roman" w:eastAsia="宋体" w:cs="Microsoft JhengHei" w:hAnsi="Times New Roman" w:hint="eastAsia"/>
                <w:lang w:bidi="ar-SA"/>
                <w:highlight w:val="auto"/>
              </w:rPr>
            </w:pPr>
            <w:r>
              <w:rPr>
                <w:rFonts w:ascii="Times New Roman" w:eastAsia="宋体" w:cs="Microsoft JhengHei" w:hAnsi="Times New Roman" w:hint="eastAsia"/>
                <w:spacing w:val="-3"/>
                <w:sz w:val="20"/>
                <w:szCs w:val="20"/>
                <w:lang w:bidi="ar-SA"/>
                <w:highlight w:val="auto"/>
              </w:rPr>
              <w:t>人员经费</w:t>
            </w:r>
          </w:p>
        </w:tc>
        <w:tc>
          <w:tcPr>
            <w:tcW w:w="1805" w:type="dxa"/>
            <w:tcBorders>
              <w:tl2br w:val="nil"/>
              <w:tr2bl w:val="nil"/>
            </w:tcBorders>
            <w:vAlign w:val="center"/>
          </w:tcPr>
          <w:p>
            <w:pPr>
              <w:pStyle w:val="2325"/>
              <w:spacing w:before="35" w:line="182" w:lineRule="auto"/>
              <w:jc w:val="center"/>
              <w:rPr>
                <w:rFonts w:ascii="Times New Roman" w:eastAsia="宋体" w:cs="Microsoft JhengHei" w:hAnsi="Times New Roman" w:hint="eastAsia"/>
                <w:lang w:bidi="ar-SA"/>
                <w:highlight w:val="auto"/>
              </w:rPr>
            </w:pPr>
            <w:r>
              <w:rPr>
                <w:rFonts w:ascii="Times New Roman" w:eastAsia="宋体" w:cs="Microsoft JhengHei" w:hAnsi="Times New Roman" w:hint="eastAsia"/>
                <w:spacing w:val="-1"/>
                <w:sz w:val="20"/>
                <w:szCs w:val="20"/>
                <w:lang w:bidi="ar-SA"/>
                <w:highlight w:val="auto"/>
              </w:rPr>
              <w:t>公用经费</w:t>
            </w: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30239</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其他交通费用</w:t>
            </w:r>
          </w:p>
        </w:tc>
        <w:tc>
          <w:tcPr>
            <w:tcW w:w="1799" w:type="dxa"/>
            <w:tcBorders>
              <w:tl2br w:val="nil"/>
              <w:tr2bl w:val="nil"/>
            </w:tcBorders>
            <w:vAlign w:val="center"/>
          </w:tcPr>
          <w:p>
            <w:pPr>
              <w:pStyle w:val="3378"/>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31.00</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31.00</w:t>
            </w: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30240</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税金及附加费用</w:t>
            </w:r>
          </w:p>
        </w:tc>
        <w:tc>
          <w:tcPr>
            <w:tcW w:w="1799" w:type="dxa"/>
            <w:tcBorders>
              <w:tl2br w:val="nil"/>
              <w:tr2bl w:val="nil"/>
            </w:tcBorders>
            <w:vAlign w:val="center"/>
          </w:tcPr>
          <w:p>
            <w:pPr>
              <w:pStyle w:val="3379"/>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30299</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其他商品和服务支出</w:t>
            </w:r>
          </w:p>
        </w:tc>
        <w:tc>
          <w:tcPr>
            <w:tcW w:w="1799" w:type="dxa"/>
            <w:tcBorders>
              <w:tl2br w:val="nil"/>
              <w:tr2bl w:val="nil"/>
            </w:tcBorders>
            <w:vAlign w:val="center"/>
          </w:tcPr>
          <w:p>
            <w:pPr>
              <w:pStyle w:val="3380"/>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1.50</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1.50</w:t>
            </w: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b/>
                <w:lang w:bidi="ar-SA"/>
                <w:highlight w:val="auto"/>
              </w:rPr>
            </w:pPr>
            <w:r>
              <w:rPr>
                <w:rFonts w:ascii="Times New Roman" w:eastAsia="宋体" w:cs="Times New Roman" w:hAnsi="Times New Roman"/>
                <w:b/>
                <w:lang w:bidi="ar-SA"/>
                <w:highlight w:val="auto"/>
              </w:rPr>
              <w:t>303</w:t>
            </w:r>
          </w:p>
        </w:tc>
        <w:tc>
          <w:tcPr>
            <w:tcW w:w="4151" w:type="dxa"/>
            <w:tcBorders>
              <w:tl2br w:val="nil"/>
              <w:tr2bl w:val="nil"/>
            </w:tcBorders>
            <w:vAlign w:val="center"/>
          </w:tcPr>
          <w:p>
            <w:pPr>
              <w:pStyle w:val="2325"/>
              <w:ind w:leftChars="100" w:left="210"/>
              <w:rPr>
                <w:rFonts w:ascii="Times New Roman" w:eastAsia="宋体" w:cs="Times New Roman" w:hAnsi="Times New Roman"/>
                <w:b/>
                <w:lang w:bidi="ar-SA"/>
                <w:highlight w:val="auto"/>
              </w:rPr>
            </w:pPr>
            <w:r>
              <w:rPr>
                <w:rFonts w:ascii="Times New Roman" w:eastAsia="宋体" w:cs="Times New Roman" w:hAnsi="Times New Roman"/>
                <w:b/>
                <w:lang w:bidi="ar-SA"/>
                <w:highlight w:val="auto"/>
              </w:rPr>
              <w:t>对个人和家庭的补助</w:t>
            </w:r>
          </w:p>
        </w:tc>
        <w:tc>
          <w:tcPr>
            <w:tcW w:w="1799" w:type="dxa"/>
            <w:tcBorders>
              <w:tl2br w:val="nil"/>
              <w:tr2bl w:val="nil"/>
            </w:tcBorders>
            <w:vAlign w:val="center"/>
          </w:tcPr>
          <w:p>
            <w:pPr>
              <w:pStyle w:val="2325"/>
              <w:jc w:val="right"/>
              <w:rPr>
                <w:rFonts w:ascii="Times New Roman" w:eastAsia="宋体" w:cs="Times New Roman" w:hAnsi="Times New Roman"/>
                <w:b/>
                <w:lang w:bidi="ar-SA"/>
                <w:highlight w:val="auto"/>
              </w:rPr>
            </w:pPr>
            <w:r>
              <w:rPr>
                <w:rFonts w:ascii="Times New Roman" w:eastAsia="宋体" w:cs="Times New Roman" w:hAnsi="Times New Roman"/>
                <w:b/>
                <w:lang w:bidi="ar-SA"/>
                <w:highlight w:val="auto"/>
              </w:rPr>
              <w:t>7.93</w:t>
            </w:r>
          </w:p>
        </w:tc>
        <w:tc>
          <w:tcPr>
            <w:tcW w:w="1799" w:type="dxa"/>
            <w:tcBorders>
              <w:tl2br w:val="nil"/>
              <w:tr2bl w:val="nil"/>
            </w:tcBorders>
            <w:vAlign w:val="center"/>
          </w:tcPr>
          <w:p>
            <w:pPr>
              <w:pStyle w:val="2325"/>
              <w:jc w:val="right"/>
              <w:rPr>
                <w:rFonts w:ascii="Times New Roman" w:eastAsia="宋体" w:cs="Times New Roman" w:hAnsi="Times New Roman"/>
                <w:b/>
                <w:lang w:bidi="ar-SA"/>
                <w:highlight w:val="auto"/>
              </w:rPr>
            </w:pPr>
            <w:r>
              <w:rPr>
                <w:rFonts w:ascii="Times New Roman" w:eastAsia="宋体" w:cs="Times New Roman" w:hAnsi="Times New Roman"/>
                <w:b/>
                <w:lang w:bidi="ar-SA"/>
                <w:highlight w:val="auto"/>
              </w:rPr>
              <w:t>7.93</w:t>
            </w:r>
          </w:p>
        </w:tc>
        <w:tc>
          <w:tcPr>
            <w:tcW w:w="1805" w:type="dxa"/>
            <w:tcBorders>
              <w:tl2br w:val="nil"/>
              <w:tr2bl w:val="nil"/>
            </w:tcBorders>
            <w:vAlign w:val="center"/>
          </w:tcPr>
          <w:p>
            <w:pPr>
              <w:pStyle w:val="2325"/>
              <w:jc w:val="right"/>
              <w:rPr>
                <w:rFonts w:ascii="Times New Roman" w:eastAsia="宋体" w:cs="Times New Roman" w:hAnsi="Times New Roman"/>
                <w:b/>
                <w:lang w:bidi="ar-SA"/>
                <w:highlight w:val="auto"/>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30301</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离休费</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30302</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退休费</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7.92</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7.92</w:t>
            </w: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92"/>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30304</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抚恤金</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30305</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生活补助</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30307</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医疗费补助</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30308</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助学金</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30309</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奖励金</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30399</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其他对个人和家庭的补助</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0.01</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0.01</w:t>
            </w: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b/>
                <w:lang w:bidi="ar-SA"/>
                <w:highlight w:val="auto"/>
              </w:rPr>
            </w:pPr>
            <w:r>
              <w:rPr>
                <w:rFonts w:ascii="Times New Roman" w:eastAsia="宋体" w:cs="Times New Roman" w:hAnsi="Times New Roman"/>
                <w:b/>
                <w:lang w:bidi="ar-SA"/>
                <w:highlight w:val="auto"/>
              </w:rPr>
              <w:t>310</w:t>
            </w:r>
          </w:p>
        </w:tc>
        <w:tc>
          <w:tcPr>
            <w:tcW w:w="4151" w:type="dxa"/>
            <w:tcBorders>
              <w:tl2br w:val="nil"/>
              <w:tr2bl w:val="nil"/>
            </w:tcBorders>
            <w:vAlign w:val="center"/>
          </w:tcPr>
          <w:p>
            <w:pPr>
              <w:pStyle w:val="2325"/>
              <w:ind w:leftChars="100" w:left="210"/>
              <w:rPr>
                <w:rFonts w:ascii="Times New Roman" w:eastAsia="宋体" w:cs="Times New Roman" w:hAnsi="Times New Roman"/>
                <w:b/>
                <w:lang w:bidi="ar-SA"/>
                <w:highlight w:val="auto"/>
              </w:rPr>
            </w:pPr>
            <w:r>
              <w:rPr>
                <w:rFonts w:ascii="Times New Roman" w:eastAsia="宋体" w:cs="Times New Roman" w:hAnsi="Times New Roman"/>
                <w:b/>
                <w:lang w:bidi="ar-SA"/>
                <w:highlight w:val="auto"/>
              </w:rPr>
              <w:t>资本性支出</w:t>
            </w:r>
          </w:p>
        </w:tc>
        <w:tc>
          <w:tcPr>
            <w:tcW w:w="1799" w:type="dxa"/>
            <w:tcBorders>
              <w:tl2br w:val="nil"/>
              <w:tr2bl w:val="nil"/>
            </w:tcBorders>
            <w:vAlign w:val="center"/>
          </w:tcPr>
          <w:p>
            <w:pPr>
              <w:pStyle w:val="2325"/>
              <w:jc w:val="right"/>
              <w:rPr>
                <w:rFonts w:ascii="Times New Roman" w:eastAsia="宋体" w:cs="Times New Roman" w:hAnsi="Times New Roman"/>
                <w:b/>
                <w:lang w:bidi="ar-SA"/>
                <w:highlight w:val="auto"/>
              </w:rPr>
            </w:pPr>
            <w:r>
              <w:rPr>
                <w:rFonts w:ascii="Times New Roman" w:eastAsia="宋体" w:cs="Times New Roman" w:hAnsi="Times New Roman"/>
                <w:b/>
                <w:lang w:bidi="ar-SA"/>
                <w:highlight w:val="auto"/>
              </w:rPr>
              <w:t>5.00</w:t>
            </w:r>
          </w:p>
        </w:tc>
        <w:tc>
          <w:tcPr>
            <w:tcW w:w="1799" w:type="dxa"/>
            <w:tcBorders>
              <w:tl2br w:val="nil"/>
              <w:tr2bl w:val="nil"/>
            </w:tcBorders>
            <w:vAlign w:val="center"/>
          </w:tcPr>
          <w:p>
            <w:pPr>
              <w:pStyle w:val="2325"/>
              <w:jc w:val="right"/>
              <w:rPr>
                <w:rFonts w:ascii="Times New Roman" w:eastAsia="宋体" w:cs="Times New Roman" w:hAnsi="Times New Roman"/>
                <w:b/>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b/>
                <w:lang w:bidi="ar-SA"/>
                <w:highlight w:val="auto"/>
              </w:rPr>
            </w:pPr>
            <w:r>
              <w:rPr>
                <w:rFonts w:ascii="Times New Roman" w:eastAsia="宋体" w:cs="Times New Roman" w:hAnsi="Times New Roman"/>
                <w:b/>
                <w:lang w:bidi="ar-SA"/>
                <w:highlight w:val="auto"/>
              </w:rPr>
              <w:t>5.00</w:t>
            </w:r>
          </w:p>
        </w:tc>
      </w:tr>
      <w:tr>
        <w:trPr>
          <w:trHeight w:val="292"/>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31001</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房屋建筑物购建</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31002</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办公设备购置</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5.00</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5.00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31003</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专用设备购置</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31005</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基础设施建设</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31006</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大型修缮</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31007</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信息网络及软件购置更新</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31022</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无形资产购置</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31099</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其他资本性支出</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97"/>
        </w:trPr>
        <w:tc>
          <w:tcPr>
            <w:tcW w:w="5403" w:type="dxa"/>
            <w:gridSpan w:val="2"/>
            <w:tcBorders>
              <w:tl2br w:val="nil"/>
              <w:tr2bl w:val="nil"/>
            </w:tcBorders>
            <w:vAlign w:val="center"/>
          </w:tcPr>
          <w:p>
            <w:pPr>
              <w:pStyle w:val="2325"/>
              <w:spacing w:before="36" w:line="185" w:lineRule="auto"/>
              <w:jc w:val="center"/>
              <w:rPr>
                <w:rFonts w:ascii="Times New Roman" w:eastAsia="宋体" w:cs="宋体" w:hAnsi="Times New Roman" w:hint="eastAsia"/>
                <w:lang w:bidi="ar-SA"/>
                <w:highlight w:val="auto"/>
              </w:rPr>
            </w:pPr>
            <w:r>
              <w:rPr>
                <w:rFonts w:ascii="Times New Roman" w:eastAsia="宋体" w:cs="宋体" w:hAnsi="Times New Roman" w:hint="eastAsia"/>
                <w:spacing w:val="-5"/>
                <w:lang w:bidi="ar-SA"/>
                <w:highlight w:val="auto"/>
              </w:rPr>
              <w:t>合</w:t>
            </w:r>
            <w:r>
              <w:rPr>
                <w:rFonts w:ascii="Times New Roman" w:eastAsia="宋体" w:cs="宋体" w:hAnsi="Times New Roman" w:hint="eastAsia"/>
                <w:spacing w:val="5"/>
                <w:lang w:bidi="ar-SA"/>
                <w:highlight w:val="auto"/>
              </w:rPr>
              <w:t xml:space="preserve">  </w:t>
            </w:r>
            <w:r>
              <w:rPr>
                <w:rFonts w:ascii="Times New Roman" w:eastAsia="宋体" w:cs="宋体" w:hAnsi="Times New Roman" w:hint="eastAsia"/>
                <w:spacing w:val="-5"/>
                <w:lang w:bidi="ar-SA"/>
                <w:highlight w:val="auto"/>
              </w:rPr>
              <w:t>计</w:t>
            </w:r>
          </w:p>
        </w:tc>
        <w:tc>
          <w:tcPr>
            <w:tcW w:w="1799" w:type="dxa"/>
            <w:tcBorders>
              <w:tl2br w:val="nil"/>
              <w:tr2bl w:val="nil"/>
            </w:tcBorders>
            <w:vAlign w:val="center"/>
          </w:tcPr>
          <w:p>
            <w:pPr>
              <w:pStyle w:val="2325"/>
              <w:jc w:val="right"/>
              <w:rPr>
                <w:rFonts w:ascii="Times New Roman" w:eastAsia="宋体" w:hAnsi="Times New Roman"/>
                <w:b/>
                <w:highlight w:val="auto"/>
              </w:rPr>
            </w:pPr>
            <w:r>
              <w:rPr>
                <w:rFonts w:ascii="Times New Roman" w:eastAsia="宋体" w:hAnsi="Times New Roman"/>
                <w:b/>
                <w:highlight w:val="auto"/>
              </w:rPr>
              <w:t>575.78</w:t>
            </w:r>
          </w:p>
        </w:tc>
        <w:tc>
          <w:tcPr>
            <w:tcW w:w="1799" w:type="dxa"/>
            <w:tcBorders>
              <w:tl2br w:val="nil"/>
              <w:tr2bl w:val="nil"/>
            </w:tcBorders>
            <w:vAlign w:val="center"/>
          </w:tcPr>
          <w:p>
            <w:pPr>
              <w:pStyle w:val="2325"/>
              <w:jc w:val="right"/>
              <w:rPr>
                <w:rFonts w:ascii="Times New Roman" w:eastAsia="宋体" w:hAnsi="Times New Roman"/>
                <w:b/>
                <w:highlight w:val="auto"/>
              </w:rPr>
            </w:pPr>
            <w:r>
              <w:rPr>
                <w:rFonts w:ascii="Times New Roman" w:eastAsia="宋体" w:hAnsi="Times New Roman"/>
                <w:b/>
                <w:highlight w:val="auto"/>
              </w:rPr>
              <w:t>413.37</w:t>
            </w:r>
          </w:p>
        </w:tc>
        <w:tc>
          <w:tcPr>
            <w:tcW w:w="1805" w:type="dxa"/>
            <w:tcBorders>
              <w:tl2br w:val="nil"/>
              <w:tr2bl w:val="nil"/>
            </w:tcBorders>
            <w:vAlign w:val="center"/>
          </w:tcPr>
          <w:p>
            <w:pPr>
              <w:pStyle w:val="2325"/>
              <w:jc w:val="right"/>
              <w:rPr>
                <w:rFonts w:ascii="Times New Roman" w:eastAsia="宋体" w:hAnsi="Times New Roman"/>
                <w:b/>
                <w:highlight w:val="auto"/>
              </w:rPr>
            </w:pPr>
            <w:r>
              <w:rPr>
                <w:rFonts w:ascii="Times New Roman" w:eastAsia="宋体" w:hAnsi="Times New Roman"/>
                <w:b/>
                <w:highlight w:val="auto"/>
              </w:rPr>
              <w:t>162.41</w:t>
            </w:r>
          </w:p>
        </w:tc>
      </w:tr>
    </w:tbl>
    <w:p>
      <w:pPr>
        <w:pStyle w:val="2325"/>
        <w:rPr>
          <w:rFonts w:ascii="Times New Roman" w:eastAsia="宋体" w:hAnsi="Times New Roman"/>
          <w:highlight w:val="auto"/>
        </w:rPr>
      </w:pPr>
    </w:p>
    <w:p>
      <w:pPr>
        <w:pStyle w:val="2325"/>
        <w:rPr>
          <w:rFonts w:ascii="Times New Roman" w:eastAsia="宋体" w:hAnsi="Times New Roman"/>
          <w:highlight w:val="auto"/>
        </w:rPr>
        <w:sectPr>
          <w:pgSz w:w="11907" w:h="16841"/>
          <w:pgMar w:top="1431" w:right="638" w:bottom="0" w:left="451" w:header="0" w:footer="0" w:gutter="0"/>
          <w:pgNumType/>
          <w:docGrid w:linePitch="285" w:charSpace="0"/>
        </w:sectPr>
      </w:pPr>
    </w:p>
    <w:p>
      <w:pPr>
        <w:jc w:val="right"/>
        <w:rPr>
          <w:rFonts w:ascii="黑体" w:eastAsia="黑体" w:cs="黑体"/>
          <w:snapToGrid w:val="0"/>
          <w:sz w:val="20"/>
          <w:szCs w:val="20"/>
          <w:lang w:bidi="ar-SA"/>
          <w:highlight w:val="auto"/>
        </w:rPr>
      </w:pPr>
    </w:p>
    <w:p>
      <w:pPr>
        <w:jc w:val="right"/>
        <w:rPr>
          <w:rFonts w:ascii="黑体" w:eastAsia="黑体" w:cs="黑体" w:hint="eastAsia"/>
          <w:sz w:val="20"/>
          <w:szCs w:val="20"/>
          <w:lang w:bidi="ar-SA"/>
          <w:highlight w:val="auto"/>
        </w:rPr>
      </w:pPr>
      <w:r>
        <w:rPr>
          <w:rFonts w:ascii="黑体" w:eastAsia="黑体" w:cs="黑体" w:hint="eastAsia"/>
          <w:snapToGrid w:val="0"/>
          <w:sz w:val="20"/>
          <w:szCs w:val="20"/>
          <w:lang w:bidi="ar-SA"/>
          <w:highlight w:val="auto"/>
        </w:rPr>
        <w:t>部门公开表 7</w:t>
      </w:r>
    </w:p>
    <w:p>
      <w:pPr>
        <w:jc w:val="center"/>
        <w:rPr>
          <w:rFonts w:cs="Microsoft JhengHei"/>
          <w:b/>
          <w:snapToGrid w:val="0"/>
          <w:color w:val="000000"/>
          <w:sz w:val="36"/>
          <w:szCs w:val="36"/>
          <w:lang w:bidi="ar-SA"/>
          <w:highlight w:val="auto"/>
        </w:rPr>
      </w:pPr>
    </w:p>
    <w:p>
      <w:pPr>
        <w:jc w:val="center"/>
        <w:rPr>
          <w:rFonts w:ascii="Times New Roman" w:eastAsia="宋体" w:cs="Microsoft JhengHei" w:hAnsi="Times New Roman"/>
          <w:spacing w:val="-1"/>
          <w:sz w:val="20"/>
          <w:szCs w:val="20"/>
          <w:lang w:bidi="ar-SA"/>
          <w:highlight w:val="auto"/>
        </w:rPr>
      </w:pPr>
      <w:r>
        <w:rPr>
          <w:rFonts w:cs="Microsoft JhengHei" w:hint="eastAsia"/>
          <w:b/>
          <w:snapToGrid w:val="0"/>
          <w:color w:val="000000"/>
          <w:sz w:val="36"/>
          <w:szCs w:val="36"/>
          <w:lang w:bidi="ar-SA"/>
          <w:highlight w:val="auto"/>
        </w:rPr>
        <w:t>政府性基金预算支出表</w:t>
      </w:r>
      <w:r>
        <w:rPr>
          <w:rFonts w:ascii="Times New Roman" w:eastAsia="宋体" w:cs="Microsoft JhengHei" w:hAnsi="Times New Roman"/>
          <w:spacing w:val="-1"/>
          <w:sz w:val="20"/>
          <w:szCs w:val="20"/>
          <w:lang w:bidi="ar-SA"/>
          <w:highlight w:val="auto"/>
        </w:rPr>
        <w:t xml:space="preserve"> </w:t>
      </w:r>
    </w:p>
    <w:p>
      <w:pPr>
        <w:jc w:val="center"/>
        <w:rPr>
          <w:rFonts w:ascii="Times New Roman" w:eastAsia="宋体" w:cs="Microsoft JhengHei" w:hAnsi="Times New Roman"/>
          <w:spacing w:val="-1"/>
          <w:sz w:val="20"/>
          <w:szCs w:val="20"/>
          <w:lang w:bidi="ar-SA"/>
          <w:highlight w:val="auto"/>
        </w:rPr>
      </w:pPr>
    </w:p>
    <w:p>
      <w:pPr>
        <w:jc w:val="center"/>
        <w:rPr>
          <w:rFonts w:ascii="Times New Roman" w:eastAsia="宋体" w:cs="Microsoft JhengHei" w:hAnsi="Times New Roman"/>
          <w:spacing w:val="-1"/>
          <w:sz w:val="20"/>
          <w:szCs w:val="20"/>
          <w:lang w:bidi="ar-SA"/>
          <w:highlight w:val="auto"/>
        </w:rPr>
      </w:pPr>
    </w:p>
    <w:p>
      <w:pPr>
        <w:jc w:val="center"/>
        <w:rPr>
          <w:rFonts w:cs="Microsoft JhengHei" w:hint="eastAsia"/>
          <w:b/>
          <w:sz w:val="36"/>
          <w:szCs w:val="36"/>
        </w:rPr>
      </w:pPr>
      <w:r>
        <w:rPr>
          <w:rFonts w:ascii="Times New Roman" w:eastAsia="宋体" w:cs="Microsoft JhengHei" w:hAnsi="Times New Roman"/>
          <w:spacing w:val="-1"/>
          <w:sz w:val="20"/>
          <w:szCs w:val="20"/>
          <w:lang w:bidi="ar-SA"/>
          <w:highlight w:val="auto"/>
        </w:rPr>
        <w:t xml:space="preserve">                                                                                                                            </w:t>
      </w:r>
      <w:r>
        <w:rPr>
          <w:rFonts w:ascii="Times New Roman" w:eastAsia="宋体" w:cs="Microsoft JhengHei" w:hAnsi="Times New Roman" w:hint="eastAsia"/>
          <w:spacing w:val="-1"/>
          <w:sz w:val="20"/>
          <w:szCs w:val="20"/>
          <w:lang w:bidi="ar-SA"/>
          <w:highlight w:val="auto"/>
        </w:rPr>
        <w:t>单位:万元</w:t>
      </w:r>
    </w:p>
    <w:p>
      <w:pPr>
        <w:pStyle w:val="3258"/>
        <w:spacing w:line="71" w:lineRule="exact"/>
        <w:rPr>
          <w:rFonts w:ascii="Times New Roman" w:eastAsia="宋体" w:hAnsi="Times New Roman"/>
          <w:highlight w:val="auto"/>
        </w:rPr>
      </w:pPr>
    </w:p>
    <w:tbl>
      <w:tblPr>
        <w:jc w:val="cent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l2br w:val="nil"/>
              <w:tr2bl w:val="nil"/>
            </w:tcBorders>
          </w:tcPr>
          <w:p>
            <w:pPr>
              <w:pStyle w:val="3258"/>
              <w:spacing w:line="372" w:lineRule="auto"/>
              <w:rPr>
                <w:rFonts w:ascii="Times New Roman" w:eastAsia="宋体" w:hAnsi="Times New Roman"/>
                <w:sz w:val="24"/>
                <w:szCs w:val="24"/>
                <w:highlight w:val="auto"/>
              </w:rPr>
            </w:pPr>
          </w:p>
          <w:p>
            <w:pPr>
              <w:pStyle w:val="3258"/>
              <w:spacing w:before="121" w:line="180" w:lineRule="auto"/>
              <w:ind w:firstLine="760"/>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科目编码</w:t>
            </w:r>
          </w:p>
        </w:tc>
        <w:tc>
          <w:tcPr>
            <w:tcW w:w="2622" w:type="dxa"/>
            <w:vMerge w:val="restart"/>
            <w:tcBorders>
              <w:bottom w:val="nil"/>
              <w:tl2br w:val="nil"/>
              <w:tr2bl w:val="nil"/>
            </w:tcBorders>
          </w:tcPr>
          <w:p>
            <w:pPr>
              <w:pStyle w:val="3258"/>
              <w:spacing w:line="372" w:lineRule="auto"/>
              <w:rPr>
                <w:rFonts w:ascii="Times New Roman" w:eastAsia="宋体" w:hAnsi="Times New Roman"/>
                <w:sz w:val="24"/>
                <w:szCs w:val="24"/>
                <w:highlight w:val="auto"/>
              </w:rPr>
            </w:pPr>
          </w:p>
          <w:p>
            <w:pPr>
              <w:pStyle w:val="3258"/>
              <w:spacing w:before="121" w:line="180" w:lineRule="auto"/>
              <w:ind w:firstLine="754"/>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科目名称</w:t>
            </w:r>
          </w:p>
        </w:tc>
        <w:tc>
          <w:tcPr>
            <w:tcW w:w="7878" w:type="dxa"/>
            <w:gridSpan w:val="3"/>
            <w:tcBorders>
              <w:tl2br w:val="nil"/>
              <w:tr2bl w:val="nil"/>
            </w:tcBorders>
            <w:vAlign w:val="center"/>
          </w:tcPr>
          <w:p>
            <w:pPr>
              <w:pStyle w:val="3258"/>
              <w:spacing w:before="166" w:line="180" w:lineRule="auto"/>
              <w:jc w:val="center"/>
              <w:rPr>
                <w:rFonts w:ascii="Times New Roman" w:eastAsia="宋体" w:cs="Microsoft JhengHei" w:hAnsi="Times New Roman" w:hint="eastAsia"/>
                <w:sz w:val="24"/>
                <w:szCs w:val="24"/>
                <w:lang w:bidi="ar-SA"/>
                <w:highlight w:val="auto"/>
              </w:rPr>
            </w:pPr>
            <w:r>
              <w:rPr>
                <w:rFonts w:ascii="Times New Roman" w:eastAsia="宋体" w:cs="Times New Roman" w:hAnsi="Times New Roman"/>
                <w:spacing w:val="-2"/>
                <w:sz w:val="24"/>
                <w:szCs w:val="24"/>
                <w:lang w:bidi="ar-SA"/>
                <w:highlight w:val="auto"/>
              </w:rPr>
              <w:t>2024</w:t>
            </w:r>
            <w:r>
              <w:rPr>
                <w:rFonts w:ascii="Times New Roman" w:eastAsia="宋体" w:cs="Microsoft JhengHei" w:hAnsi="Times New Roman" w:hint="eastAsia"/>
                <w:spacing w:val="-2"/>
                <w:sz w:val="24"/>
                <w:szCs w:val="24"/>
                <w:lang w:bidi="ar-SA"/>
                <w:highlight w:val="auto"/>
              </w:rPr>
              <w:t>年政府性基金预算支出</w:t>
            </w:r>
          </w:p>
        </w:tc>
      </w:tr>
      <w:tr>
        <w:trPr>
          <w:trHeight w:val="649"/>
        </w:trPr>
        <w:tc>
          <w:tcPr>
            <w:tcW w:w="2631" w:type="dxa"/>
            <w:vMerge/>
            <w:tcBorders>
              <w:top w:val="nil"/>
              <w:tl2br w:val="nil"/>
              <w:tr2bl w:val="nil"/>
            </w:tcBorders>
          </w:tcPr>
          <w:p/>
        </w:tc>
        <w:tc>
          <w:tcPr>
            <w:tcW w:w="2622" w:type="dxa"/>
            <w:vMerge/>
            <w:tcBorders>
              <w:top w:val="nil"/>
              <w:tl2br w:val="nil"/>
              <w:tr2bl w:val="nil"/>
            </w:tcBorders>
          </w:tcPr>
          <w:p/>
        </w:tc>
        <w:tc>
          <w:tcPr>
            <w:tcW w:w="2624" w:type="dxa"/>
            <w:tcBorders>
              <w:tl2br w:val="nil"/>
              <w:tr2bl w:val="nil"/>
            </w:tcBorders>
            <w:vAlign w:val="center"/>
          </w:tcPr>
          <w:p>
            <w:pPr>
              <w:pStyle w:val="3258"/>
              <w:spacing w:before="158" w:line="180" w:lineRule="auto"/>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3"/>
                <w:sz w:val="24"/>
                <w:szCs w:val="24"/>
                <w:lang w:bidi="ar-SA"/>
                <w:highlight w:val="auto"/>
              </w:rPr>
              <w:t>合计</w:t>
            </w:r>
          </w:p>
        </w:tc>
        <w:tc>
          <w:tcPr>
            <w:tcW w:w="2623" w:type="dxa"/>
            <w:tcBorders>
              <w:tl2br w:val="nil"/>
              <w:tr2bl w:val="nil"/>
            </w:tcBorders>
            <w:vAlign w:val="center"/>
          </w:tcPr>
          <w:p>
            <w:pPr>
              <w:pStyle w:val="3258"/>
              <w:spacing w:before="158" w:line="180" w:lineRule="auto"/>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基本支出</w:t>
            </w:r>
          </w:p>
        </w:tc>
        <w:tc>
          <w:tcPr>
            <w:tcW w:w="2631" w:type="dxa"/>
            <w:tcBorders>
              <w:tl2br w:val="nil"/>
              <w:tr2bl w:val="nil"/>
            </w:tcBorders>
            <w:vAlign w:val="center"/>
          </w:tcPr>
          <w:p>
            <w:pPr>
              <w:pStyle w:val="3258"/>
              <w:spacing w:before="158" w:line="180" w:lineRule="auto"/>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项目支出</w:t>
            </w:r>
          </w:p>
        </w:tc>
      </w:tr>
      <w:tr>
        <w:trPr>
          <w:trHeight w:val="529"/>
        </w:trPr>
        <w:tc>
          <w:tcPr>
            <w:tcW w:w="2631" w:type="dxa"/>
            <w:tcBorders>
              <w:tl2br w:val="nil"/>
              <w:tr2bl w:val="nil"/>
            </w:tcBorders>
          </w:tcPr>
          <w:p>
            <w:pPr>
              <w:pStyle w:val="3258"/>
              <w:rPr>
                <w:rFonts w:ascii="Times New Roman" w:eastAsia="宋体" w:hAnsi="Times New Roman"/>
                <w:sz w:val="24"/>
                <w:szCs w:val="24"/>
                <w:highlight w:val="auto"/>
              </w:rPr>
            </w:pPr>
          </w:p>
        </w:tc>
        <w:tc>
          <w:tcPr>
            <w:tcW w:w="2622" w:type="dxa"/>
            <w:tcBorders>
              <w:tl2br w:val="nil"/>
              <w:tr2bl w:val="nil"/>
            </w:tcBorders>
          </w:tcPr>
          <w:p>
            <w:pPr>
              <w:pStyle w:val="3258"/>
              <w:rPr>
                <w:rFonts w:ascii="Times New Roman" w:eastAsia="宋体" w:hAnsi="Times New Roman"/>
                <w:sz w:val="24"/>
                <w:szCs w:val="24"/>
                <w:highlight w:val="auto"/>
              </w:rPr>
            </w:pPr>
          </w:p>
        </w:tc>
        <w:tc>
          <w:tcPr>
            <w:tcW w:w="2624" w:type="dxa"/>
            <w:tcBorders>
              <w:tl2br w:val="nil"/>
              <w:tr2bl w:val="nil"/>
            </w:tcBorders>
          </w:tcPr>
          <w:p>
            <w:pPr>
              <w:pStyle w:val="3258"/>
              <w:rPr>
                <w:rFonts w:ascii="Times New Roman" w:eastAsia="宋体" w:hAnsi="Times New Roman"/>
                <w:sz w:val="24"/>
                <w:szCs w:val="24"/>
                <w:highlight w:val="auto"/>
              </w:rPr>
            </w:pPr>
          </w:p>
        </w:tc>
        <w:tc>
          <w:tcPr>
            <w:tcW w:w="2623" w:type="dxa"/>
            <w:tcBorders>
              <w:tl2br w:val="nil"/>
              <w:tr2bl w:val="nil"/>
            </w:tcBorders>
          </w:tcPr>
          <w:p>
            <w:pPr>
              <w:pStyle w:val="3258"/>
              <w:rPr>
                <w:rFonts w:ascii="Times New Roman" w:eastAsia="宋体" w:hAnsi="Times New Roman"/>
                <w:sz w:val="24"/>
                <w:szCs w:val="24"/>
                <w:highlight w:val="auto"/>
              </w:rPr>
            </w:pPr>
          </w:p>
        </w:tc>
        <w:tc>
          <w:tcPr>
            <w:tcW w:w="2631" w:type="dxa"/>
            <w:tcBorders>
              <w:tl2br w:val="nil"/>
              <w:tr2bl w:val="nil"/>
            </w:tcBorders>
          </w:tcPr>
          <w:p>
            <w:pPr>
              <w:pStyle w:val="3258"/>
              <w:rPr>
                <w:rFonts w:ascii="Times New Roman" w:eastAsia="宋体" w:hAnsi="Times New Roman"/>
                <w:sz w:val="24"/>
                <w:szCs w:val="24"/>
                <w:highlight w:val="auto"/>
              </w:rPr>
            </w:pPr>
          </w:p>
        </w:tc>
      </w:tr>
      <w:tr>
        <w:trPr>
          <w:trHeight w:val="528"/>
        </w:trPr>
        <w:tc>
          <w:tcPr>
            <w:tcW w:w="2631" w:type="dxa"/>
            <w:tcBorders>
              <w:tl2br w:val="nil"/>
              <w:tr2bl w:val="nil"/>
            </w:tcBorders>
          </w:tcPr>
          <w:p>
            <w:pPr>
              <w:pStyle w:val="3258"/>
              <w:rPr>
                <w:rFonts w:ascii="Times New Roman" w:eastAsia="宋体" w:hAnsi="Times New Roman"/>
                <w:sz w:val="24"/>
                <w:szCs w:val="24"/>
                <w:highlight w:val="auto"/>
              </w:rPr>
            </w:pPr>
          </w:p>
        </w:tc>
        <w:tc>
          <w:tcPr>
            <w:tcW w:w="2622" w:type="dxa"/>
            <w:tcBorders>
              <w:tl2br w:val="nil"/>
              <w:tr2bl w:val="nil"/>
            </w:tcBorders>
          </w:tcPr>
          <w:p>
            <w:pPr>
              <w:pStyle w:val="3258"/>
              <w:rPr>
                <w:rFonts w:ascii="Times New Roman" w:eastAsia="宋体" w:hAnsi="Times New Roman"/>
                <w:sz w:val="24"/>
                <w:szCs w:val="24"/>
                <w:highlight w:val="auto"/>
              </w:rPr>
            </w:pPr>
          </w:p>
        </w:tc>
        <w:tc>
          <w:tcPr>
            <w:tcW w:w="2624" w:type="dxa"/>
            <w:tcBorders>
              <w:tl2br w:val="nil"/>
              <w:tr2bl w:val="nil"/>
            </w:tcBorders>
          </w:tcPr>
          <w:p>
            <w:pPr>
              <w:pStyle w:val="3258"/>
              <w:rPr>
                <w:rFonts w:ascii="Times New Roman" w:eastAsia="宋体" w:hAnsi="Times New Roman"/>
                <w:sz w:val="24"/>
                <w:szCs w:val="24"/>
                <w:highlight w:val="auto"/>
              </w:rPr>
            </w:pPr>
          </w:p>
        </w:tc>
        <w:tc>
          <w:tcPr>
            <w:tcW w:w="2623" w:type="dxa"/>
            <w:tcBorders>
              <w:tl2br w:val="nil"/>
              <w:tr2bl w:val="nil"/>
            </w:tcBorders>
          </w:tcPr>
          <w:p>
            <w:pPr>
              <w:pStyle w:val="3258"/>
              <w:rPr>
                <w:rFonts w:ascii="Times New Roman" w:eastAsia="宋体" w:hAnsi="Times New Roman"/>
                <w:sz w:val="24"/>
                <w:szCs w:val="24"/>
                <w:highlight w:val="auto"/>
              </w:rPr>
            </w:pPr>
          </w:p>
        </w:tc>
        <w:tc>
          <w:tcPr>
            <w:tcW w:w="2631" w:type="dxa"/>
            <w:tcBorders>
              <w:tl2br w:val="nil"/>
              <w:tr2bl w:val="nil"/>
            </w:tcBorders>
          </w:tcPr>
          <w:p>
            <w:pPr>
              <w:pStyle w:val="3258"/>
              <w:rPr>
                <w:rFonts w:ascii="Times New Roman" w:eastAsia="宋体" w:hAnsi="Times New Roman"/>
                <w:sz w:val="24"/>
                <w:szCs w:val="24"/>
                <w:highlight w:val="auto"/>
              </w:rPr>
            </w:pPr>
          </w:p>
        </w:tc>
      </w:tr>
      <w:tr>
        <w:trPr>
          <w:trHeight w:val="528"/>
        </w:trPr>
        <w:tc>
          <w:tcPr>
            <w:tcW w:w="2631" w:type="dxa"/>
            <w:tcBorders>
              <w:tl2br w:val="nil"/>
              <w:tr2bl w:val="nil"/>
            </w:tcBorders>
          </w:tcPr>
          <w:p>
            <w:pPr>
              <w:pStyle w:val="3258"/>
              <w:rPr>
                <w:rFonts w:ascii="Times New Roman" w:eastAsia="宋体" w:hAnsi="Times New Roman"/>
                <w:sz w:val="24"/>
                <w:szCs w:val="24"/>
                <w:highlight w:val="auto"/>
              </w:rPr>
            </w:pPr>
          </w:p>
        </w:tc>
        <w:tc>
          <w:tcPr>
            <w:tcW w:w="2622" w:type="dxa"/>
            <w:tcBorders>
              <w:tl2br w:val="nil"/>
              <w:tr2bl w:val="nil"/>
            </w:tcBorders>
          </w:tcPr>
          <w:p>
            <w:pPr>
              <w:pStyle w:val="3258"/>
              <w:rPr>
                <w:rFonts w:ascii="Times New Roman" w:eastAsia="宋体" w:hAnsi="Times New Roman"/>
                <w:sz w:val="24"/>
                <w:szCs w:val="24"/>
                <w:highlight w:val="auto"/>
              </w:rPr>
            </w:pPr>
          </w:p>
        </w:tc>
        <w:tc>
          <w:tcPr>
            <w:tcW w:w="2624" w:type="dxa"/>
            <w:tcBorders>
              <w:tl2br w:val="nil"/>
              <w:tr2bl w:val="nil"/>
            </w:tcBorders>
          </w:tcPr>
          <w:p>
            <w:pPr>
              <w:pStyle w:val="3258"/>
              <w:rPr>
                <w:rFonts w:ascii="Times New Roman" w:eastAsia="宋体" w:hAnsi="Times New Roman"/>
                <w:sz w:val="24"/>
                <w:szCs w:val="24"/>
                <w:highlight w:val="auto"/>
              </w:rPr>
            </w:pPr>
          </w:p>
        </w:tc>
        <w:tc>
          <w:tcPr>
            <w:tcW w:w="2623" w:type="dxa"/>
            <w:tcBorders>
              <w:tl2br w:val="nil"/>
              <w:tr2bl w:val="nil"/>
            </w:tcBorders>
          </w:tcPr>
          <w:p>
            <w:pPr>
              <w:pStyle w:val="3258"/>
              <w:rPr>
                <w:rFonts w:ascii="Times New Roman" w:eastAsia="宋体" w:hAnsi="Times New Roman"/>
                <w:sz w:val="24"/>
                <w:szCs w:val="24"/>
                <w:highlight w:val="auto"/>
              </w:rPr>
            </w:pPr>
          </w:p>
        </w:tc>
        <w:tc>
          <w:tcPr>
            <w:tcW w:w="2631" w:type="dxa"/>
            <w:tcBorders>
              <w:tl2br w:val="nil"/>
              <w:tr2bl w:val="nil"/>
            </w:tcBorders>
          </w:tcPr>
          <w:p>
            <w:pPr>
              <w:pStyle w:val="3258"/>
              <w:rPr>
                <w:rFonts w:ascii="Times New Roman" w:eastAsia="宋体" w:hAnsi="Times New Roman"/>
                <w:sz w:val="24"/>
                <w:szCs w:val="24"/>
                <w:highlight w:val="auto"/>
              </w:rPr>
            </w:pPr>
          </w:p>
        </w:tc>
      </w:tr>
      <w:tr>
        <w:trPr>
          <w:trHeight w:val="528"/>
        </w:trPr>
        <w:tc>
          <w:tcPr>
            <w:tcW w:w="2631" w:type="dxa"/>
            <w:tcBorders>
              <w:tl2br w:val="nil"/>
              <w:tr2bl w:val="nil"/>
            </w:tcBorders>
          </w:tcPr>
          <w:p>
            <w:pPr>
              <w:pStyle w:val="3258"/>
              <w:rPr>
                <w:rFonts w:ascii="Times New Roman" w:eastAsia="宋体" w:hAnsi="Times New Roman"/>
                <w:sz w:val="24"/>
                <w:szCs w:val="24"/>
                <w:highlight w:val="auto"/>
              </w:rPr>
            </w:pPr>
          </w:p>
        </w:tc>
        <w:tc>
          <w:tcPr>
            <w:tcW w:w="2622" w:type="dxa"/>
            <w:tcBorders>
              <w:tl2br w:val="nil"/>
              <w:tr2bl w:val="nil"/>
            </w:tcBorders>
          </w:tcPr>
          <w:p>
            <w:pPr>
              <w:pStyle w:val="3258"/>
              <w:rPr>
                <w:rFonts w:ascii="Times New Roman" w:eastAsia="宋体" w:hAnsi="Times New Roman"/>
                <w:sz w:val="24"/>
                <w:szCs w:val="24"/>
                <w:highlight w:val="auto"/>
              </w:rPr>
            </w:pPr>
          </w:p>
        </w:tc>
        <w:tc>
          <w:tcPr>
            <w:tcW w:w="2624" w:type="dxa"/>
            <w:tcBorders>
              <w:tl2br w:val="nil"/>
              <w:tr2bl w:val="nil"/>
            </w:tcBorders>
          </w:tcPr>
          <w:p>
            <w:pPr>
              <w:pStyle w:val="3258"/>
              <w:rPr>
                <w:rFonts w:ascii="Times New Roman" w:eastAsia="宋体" w:hAnsi="Times New Roman"/>
                <w:sz w:val="24"/>
                <w:szCs w:val="24"/>
                <w:highlight w:val="auto"/>
              </w:rPr>
            </w:pPr>
          </w:p>
        </w:tc>
        <w:tc>
          <w:tcPr>
            <w:tcW w:w="2623" w:type="dxa"/>
            <w:tcBorders>
              <w:tl2br w:val="nil"/>
              <w:tr2bl w:val="nil"/>
            </w:tcBorders>
          </w:tcPr>
          <w:p>
            <w:pPr>
              <w:pStyle w:val="3258"/>
              <w:rPr>
                <w:rFonts w:ascii="Times New Roman" w:eastAsia="宋体" w:hAnsi="Times New Roman"/>
                <w:sz w:val="24"/>
                <w:szCs w:val="24"/>
                <w:highlight w:val="auto"/>
              </w:rPr>
            </w:pPr>
          </w:p>
        </w:tc>
        <w:tc>
          <w:tcPr>
            <w:tcW w:w="2631" w:type="dxa"/>
            <w:tcBorders>
              <w:tl2br w:val="nil"/>
              <w:tr2bl w:val="nil"/>
            </w:tcBorders>
          </w:tcPr>
          <w:p>
            <w:pPr>
              <w:pStyle w:val="3258"/>
              <w:rPr>
                <w:rFonts w:ascii="Times New Roman" w:eastAsia="宋体" w:hAnsi="Times New Roman"/>
                <w:sz w:val="24"/>
                <w:szCs w:val="24"/>
                <w:highlight w:val="auto"/>
              </w:rPr>
            </w:pPr>
          </w:p>
        </w:tc>
      </w:tr>
      <w:tr>
        <w:trPr>
          <w:trHeight w:val="535"/>
        </w:trPr>
        <w:tc>
          <w:tcPr>
            <w:tcW w:w="5253" w:type="dxa"/>
            <w:gridSpan w:val="2"/>
            <w:tcBorders>
              <w:tl2br w:val="nil"/>
              <w:tr2bl w:val="nil"/>
            </w:tcBorders>
          </w:tcPr>
          <w:p>
            <w:pPr>
              <w:pStyle w:val="3258"/>
              <w:spacing w:before="107" w:line="180" w:lineRule="auto"/>
              <w:ind w:firstLine="2211"/>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6"/>
                <w:sz w:val="24"/>
                <w:szCs w:val="24"/>
                <w:lang w:bidi="ar-SA"/>
                <w:highlight w:val="auto"/>
              </w:rPr>
              <w:t>合</w:t>
            </w:r>
            <w:r>
              <w:rPr>
                <w:rFonts w:ascii="Times New Roman" w:eastAsia="宋体" w:cs="Microsoft JhengHei" w:hAnsi="Times New Roman" w:hint="eastAsia"/>
                <w:spacing w:val="2"/>
                <w:sz w:val="24"/>
                <w:szCs w:val="24"/>
                <w:lang w:bidi="ar-SA"/>
                <w:highlight w:val="auto"/>
              </w:rPr>
              <w:t xml:space="preserve">    </w:t>
            </w:r>
            <w:r>
              <w:rPr>
                <w:rFonts w:ascii="Times New Roman" w:eastAsia="宋体" w:cs="Microsoft JhengHei" w:hAnsi="Times New Roman" w:hint="eastAsia"/>
                <w:spacing w:val="-6"/>
                <w:sz w:val="24"/>
                <w:szCs w:val="24"/>
                <w:lang w:bidi="ar-SA"/>
                <w:highlight w:val="auto"/>
              </w:rPr>
              <w:t>计</w:t>
            </w:r>
          </w:p>
        </w:tc>
        <w:tc>
          <w:tcPr>
            <w:tcW w:w="2624" w:type="dxa"/>
            <w:tcBorders>
              <w:tl2br w:val="nil"/>
              <w:tr2bl w:val="nil"/>
            </w:tcBorders>
          </w:tcPr>
          <w:p>
            <w:pPr>
              <w:pStyle w:val="3258"/>
              <w:rPr>
                <w:rFonts w:ascii="Times New Roman" w:eastAsia="宋体" w:hAnsi="Times New Roman"/>
                <w:sz w:val="24"/>
                <w:szCs w:val="24"/>
                <w:highlight w:val="auto"/>
              </w:rPr>
            </w:pPr>
          </w:p>
        </w:tc>
        <w:tc>
          <w:tcPr>
            <w:tcW w:w="2623" w:type="dxa"/>
            <w:tcBorders>
              <w:tl2br w:val="nil"/>
              <w:tr2bl w:val="nil"/>
            </w:tcBorders>
          </w:tcPr>
          <w:p>
            <w:pPr>
              <w:pStyle w:val="3258"/>
              <w:rPr>
                <w:rFonts w:ascii="Times New Roman" w:eastAsia="宋体" w:hAnsi="Times New Roman"/>
                <w:sz w:val="24"/>
                <w:szCs w:val="24"/>
                <w:highlight w:val="auto"/>
              </w:rPr>
            </w:pPr>
          </w:p>
        </w:tc>
        <w:tc>
          <w:tcPr>
            <w:tcW w:w="2631" w:type="dxa"/>
            <w:tcBorders>
              <w:tl2br w:val="nil"/>
              <w:tr2bl w:val="nil"/>
            </w:tcBorders>
          </w:tcPr>
          <w:p>
            <w:pPr>
              <w:pStyle w:val="3258"/>
              <w:rPr>
                <w:rFonts w:ascii="Times New Roman" w:eastAsia="宋体" w:hAnsi="Times New Roman"/>
                <w:sz w:val="24"/>
                <w:szCs w:val="24"/>
                <w:highlight w:val="auto"/>
              </w:rPr>
            </w:pPr>
          </w:p>
        </w:tc>
      </w:tr>
    </w:tbl>
    <w:p>
      <w:pPr>
        <w:pStyle w:val="3258"/>
        <w:spacing w:before="94" w:line="180" w:lineRule="auto"/>
        <w:ind w:firstLine="134"/>
        <w:jc w:val="both"/>
        <w:rPr>
          <w:rFonts w:ascii="方正仿宋_GBK" w:eastAsia="方正仿宋_GBK" w:cs="方正仿宋_GBK" w:hint="eastAsia"/>
          <w:spacing w:val="-1"/>
          <w:sz w:val="24"/>
          <w:szCs w:val="24"/>
          <w:lang w:bidi="ar-SA"/>
          <w:highlight w:val="auto"/>
        </w:rPr>
      </w:pPr>
    </w:p>
    <w:p>
      <w:pPr>
        <w:pStyle w:val="3258"/>
        <w:spacing w:before="94" w:line="180" w:lineRule="auto"/>
        <w:ind w:firstLineChars="350" w:firstLine="833"/>
        <w:jc w:val="both"/>
        <w:rPr>
          <w:rFonts w:ascii="方正仿宋_GBK" w:eastAsia="方正仿宋_GBK" w:cs="方正仿宋_GBK" w:hint="eastAsia"/>
          <w:sz w:val="24"/>
          <w:szCs w:val="24"/>
          <w:lang w:bidi="ar-SA"/>
          <w:highlight w:val="auto"/>
        </w:rPr>
      </w:pPr>
      <w:r>
        <w:rPr>
          <w:rFonts w:ascii="方正仿宋_GBK" w:eastAsia="方正仿宋_GBK" w:cs="方正仿宋_GBK" w:hint="eastAsia"/>
          <w:spacing w:val="-1"/>
          <w:sz w:val="24"/>
          <w:szCs w:val="24"/>
          <w:lang w:bidi="ar-SA"/>
          <w:highlight w:val="auto"/>
        </w:rPr>
        <w:t>注：</w:t>
      </w:r>
      <w:r>
        <w:rPr>
          <w:rFonts w:ascii="方正仿宋_GBK" w:eastAsia="方正仿宋_GBK" w:cs="方正仿宋_GBK"/>
          <w:spacing w:val="-1"/>
          <w:sz w:val="24"/>
          <w:szCs w:val="24"/>
          <w:lang w:bidi="ar-SA"/>
        </w:rPr>
        <w:t>集宁</w:t>
      </w:r>
      <w:r>
        <w:rPr>
          <w:rFonts w:ascii="方正仿宋_GBK" w:eastAsia="方正仿宋_GBK" w:cs="方正仿宋_GBK" w:hint="eastAsia"/>
          <w:spacing w:val="-1"/>
          <w:sz w:val="24"/>
          <w:szCs w:val="24"/>
          <w:lang w:bidi="ar-SA"/>
          <w:highlight w:val="auto"/>
        </w:rPr>
        <w:t>海关无政府性基金预算拨款收入，也无使用政府性基金安排的支出，故本表无数据。</w:t>
      </w:r>
    </w:p>
    <w:p>
      <w:pPr>
        <w:pStyle w:val="3258"/>
        <w:jc w:val="both"/>
        <w:rPr>
          <w:rFonts w:ascii="Times New Roman" w:eastAsia="宋体" w:hAnsi="Times New Roman"/>
        </w:rPr>
      </w:pPr>
    </w:p>
    <w:p>
      <w:pPr>
        <w:rPr>
          <w:rFonts w:ascii="Times New Roman" w:eastAsia="宋体" w:hAnsi="Times New Roman"/>
        </w:rPr>
      </w:pPr>
    </w:p>
    <w:p>
      <w:pPr>
        <w:jc w:val="center"/>
        <w:rPr>
          <w:rFonts w:cs="Microsoft JhengHei"/>
          <w:b/>
          <w:snapToGrid w:val="0"/>
          <w:color w:val="000000"/>
          <w:sz w:val="36"/>
          <w:szCs w:val="36"/>
          <w:lang w:bidi="ar-SA"/>
          <w:highlight w:val="auto"/>
        </w:rPr>
      </w:pPr>
    </w:p>
    <w:p>
      <w:pPr>
        <w:jc w:val="center"/>
        <w:rPr>
          <w:rFonts w:cs="Microsoft JhengHei"/>
          <w:b/>
          <w:snapToGrid w:val="0"/>
          <w:color w:val="000000"/>
          <w:sz w:val="36"/>
          <w:szCs w:val="36"/>
          <w:lang w:bidi="ar-SA"/>
          <w:highlight w:val="auto"/>
        </w:rPr>
      </w:pPr>
    </w:p>
    <w:p>
      <w:pPr>
        <w:pStyle w:val="3110"/>
        <w:rPr>
          <w:rFonts w:ascii="Times New Roman" w:eastAsia="宋体" w:hAnsi="Times New Roman"/>
          <w:highlight w:val="auto"/>
        </w:rPr>
      </w:pPr>
    </w:p>
    <w:p>
      <w:pPr>
        <w:pStyle w:val="3111"/>
        <w:rPr>
          <w:rFonts w:ascii="Times New Roman" w:eastAsia="宋体" w:hAnsi="Times New Roman"/>
          <w:highlight w:val="auto"/>
        </w:rPr>
      </w:pPr>
    </w:p>
    <w:p>
      <w:pPr>
        <w:pStyle w:val="3116"/>
        <w:rPr>
          <w:rFonts w:ascii="Times New Roman" w:eastAsia="宋体" w:hAnsi="Times New Roman"/>
          <w:highlight w:val="auto"/>
        </w:rPr>
      </w:pPr>
    </w:p>
    <w:p>
      <w:pPr>
        <w:pStyle w:val="3112"/>
        <w:rPr>
          <w:rFonts w:ascii="Times New Roman" w:eastAsia="宋体" w:hAnsi="Times New Roman"/>
          <w:highlight w:val="auto"/>
        </w:rPr>
      </w:pPr>
    </w:p>
    <w:p>
      <w:pPr>
        <w:pStyle w:val="3113"/>
        <w:rPr>
          <w:rFonts w:ascii="Times New Roman" w:eastAsia="宋体" w:hAnsi="Times New Roman"/>
          <w:highlight w:val="auto"/>
        </w:rPr>
      </w:pPr>
    </w:p>
    <w:p>
      <w:pPr>
        <w:pStyle w:val="3114"/>
        <w:rPr>
          <w:rFonts w:ascii="Times New Roman" w:eastAsia="宋体" w:hAnsi="Times New Roman"/>
          <w:highlight w:val="auto"/>
        </w:rPr>
      </w:pPr>
    </w:p>
    <w:p>
      <w:pPr>
        <w:pStyle w:val="3115"/>
        <w:rPr>
          <w:rFonts w:ascii="Times New Roman" w:eastAsia="宋体" w:hAnsi="Times New Roman"/>
          <w:highlight w:val="auto"/>
        </w:rPr>
      </w:pPr>
    </w:p>
    <w:p>
      <w:pPr>
        <w:pStyle w:val="2326"/>
        <w:rPr>
          <w:rFonts w:ascii="Times New Roman" w:eastAsia="宋体" w:hAnsi="Times New Roman"/>
          <w:highlight w:val="auto"/>
        </w:rPr>
        <w:sectPr>
          <w:pgSz w:w="16841" w:h="11907"/>
          <w:pgMar w:top="563" w:right="934" w:bottom="0" w:left="933" w:header="0" w:footer="0" w:gutter="0"/>
          <w:pgNumType/>
          <w:docGrid w:linePitch="285" w:charSpace="0"/>
        </w:sectPr>
      </w:pPr>
    </w:p>
    <w:p>
      <w:pPr>
        <w:jc w:val="right"/>
        <w:rPr>
          <w:rFonts w:ascii="黑体" w:eastAsia="黑体" w:cs="黑体"/>
          <w:snapToGrid w:val="0"/>
          <w:sz w:val="20"/>
          <w:szCs w:val="20"/>
          <w:lang w:bidi="ar-SA"/>
          <w:highlight w:val="auto"/>
        </w:rPr>
      </w:pPr>
    </w:p>
    <w:p>
      <w:pPr>
        <w:jc w:val="right"/>
        <w:rPr>
          <w:rFonts w:ascii="黑体" w:eastAsia="黑体" w:cs="黑体" w:hint="eastAsia"/>
          <w:snapToGrid w:val="0"/>
          <w:sz w:val="20"/>
          <w:szCs w:val="20"/>
          <w:lang w:bidi="ar-SA"/>
          <w:highlight w:val="auto"/>
        </w:rPr>
      </w:pPr>
      <w:r>
        <w:rPr>
          <w:rFonts w:ascii="黑体" w:eastAsia="黑体" w:cs="黑体" w:hint="eastAsia"/>
          <w:snapToGrid w:val="0"/>
          <w:sz w:val="20"/>
          <w:szCs w:val="20"/>
          <w:lang w:bidi="ar-SA"/>
          <w:highlight w:val="auto"/>
        </w:rPr>
        <w:t>部门公开表 8</w:t>
      </w:r>
    </w:p>
    <w:p>
      <w:pPr>
        <w:rPr>
          <w:rFonts w:ascii="Times New Roman" w:eastAsia="宋体" w:hAnsi="Times New Roman"/>
        </w:rPr>
      </w:pPr>
    </w:p>
    <w:tbl>
      <w:tblPr>
        <w:tblpPr w:leftFromText="180" w:rightFromText="180" w:vertAnchor="text" w:horzAnchor="page" w:tblpX="1706" w:tblpY="1254"/>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l2br w:val="nil"/>
              <w:tr2bl w:val="nil"/>
            </w:tcBorders>
          </w:tcPr>
          <w:p>
            <w:pPr>
              <w:pStyle w:val="3295"/>
              <w:spacing w:line="372" w:lineRule="auto"/>
              <w:rPr>
                <w:rFonts w:ascii="Times New Roman" w:eastAsia="宋体" w:hAnsi="Times New Roman"/>
                <w:sz w:val="24"/>
                <w:szCs w:val="24"/>
                <w:highlight w:val="auto"/>
              </w:rPr>
            </w:pPr>
          </w:p>
          <w:p>
            <w:pPr>
              <w:pStyle w:val="3295"/>
              <w:spacing w:before="121" w:line="180" w:lineRule="auto"/>
              <w:ind w:firstLine="760"/>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科目编码</w:t>
            </w:r>
          </w:p>
        </w:tc>
        <w:tc>
          <w:tcPr>
            <w:tcW w:w="2622" w:type="dxa"/>
            <w:vMerge w:val="restart"/>
            <w:tcBorders>
              <w:bottom w:val="nil"/>
              <w:tl2br w:val="nil"/>
              <w:tr2bl w:val="nil"/>
            </w:tcBorders>
          </w:tcPr>
          <w:p>
            <w:pPr>
              <w:pStyle w:val="3294"/>
              <w:spacing w:line="372" w:lineRule="auto"/>
              <w:rPr>
                <w:rFonts w:ascii="Times New Roman" w:eastAsia="宋体" w:hAnsi="Times New Roman"/>
                <w:sz w:val="24"/>
                <w:szCs w:val="24"/>
                <w:highlight w:val="auto"/>
              </w:rPr>
            </w:pPr>
          </w:p>
          <w:p>
            <w:pPr>
              <w:pStyle w:val="3294"/>
              <w:spacing w:before="121" w:line="180" w:lineRule="auto"/>
              <w:ind w:firstLine="754"/>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科目名称</w:t>
            </w:r>
          </w:p>
        </w:tc>
        <w:tc>
          <w:tcPr>
            <w:tcW w:w="7878" w:type="dxa"/>
            <w:gridSpan w:val="3"/>
            <w:tcBorders>
              <w:tl2br w:val="nil"/>
              <w:tr2bl w:val="nil"/>
            </w:tcBorders>
            <w:vAlign w:val="center"/>
          </w:tcPr>
          <w:p>
            <w:pPr>
              <w:pStyle w:val="3293"/>
              <w:spacing w:before="166" w:line="180" w:lineRule="auto"/>
              <w:jc w:val="center"/>
              <w:rPr>
                <w:rFonts w:ascii="Times New Roman" w:eastAsia="宋体" w:cs="Microsoft JhengHei" w:hAnsi="Times New Roman" w:hint="eastAsia"/>
                <w:sz w:val="24"/>
                <w:szCs w:val="24"/>
                <w:lang w:bidi="ar-SA"/>
                <w:highlight w:val="auto"/>
              </w:rPr>
            </w:pPr>
            <w:r>
              <w:rPr>
                <w:rFonts w:ascii="Times New Roman" w:eastAsia="宋体" w:cs="Times New Roman" w:hAnsi="Times New Roman"/>
                <w:spacing w:val="-2"/>
                <w:sz w:val="24"/>
                <w:szCs w:val="24"/>
                <w:lang w:bidi="ar-SA"/>
                <w:highlight w:val="auto"/>
              </w:rPr>
              <w:t>2024</w:t>
            </w:r>
            <w:r>
              <w:rPr>
                <w:rFonts w:ascii="Times New Roman" w:eastAsia="宋体" w:cs="Microsoft JhengHei" w:hAnsi="Times New Roman" w:hint="eastAsia"/>
                <w:spacing w:val="-2"/>
                <w:sz w:val="24"/>
                <w:szCs w:val="24"/>
                <w:lang w:bidi="ar-SA"/>
                <w:highlight w:val="auto"/>
              </w:rPr>
              <w:t>年国有资本经营预算支出</w:t>
            </w:r>
          </w:p>
        </w:tc>
      </w:tr>
      <w:tr>
        <w:trPr>
          <w:trHeight w:val="649"/>
        </w:trPr>
        <w:tc>
          <w:tcPr>
            <w:tcW w:w="2631" w:type="dxa"/>
            <w:vMerge/>
            <w:tcBorders>
              <w:top w:val="nil"/>
              <w:tl2br w:val="nil"/>
              <w:tr2bl w:val="nil"/>
            </w:tcBorders>
          </w:tcPr>
          <w:p/>
        </w:tc>
        <w:tc>
          <w:tcPr>
            <w:tcW w:w="2622" w:type="dxa"/>
            <w:vMerge/>
            <w:tcBorders>
              <w:top w:val="nil"/>
              <w:tl2br w:val="nil"/>
              <w:tr2bl w:val="nil"/>
            </w:tcBorders>
          </w:tcPr>
          <w:p/>
        </w:tc>
        <w:tc>
          <w:tcPr>
            <w:tcW w:w="2624" w:type="dxa"/>
            <w:tcBorders>
              <w:tl2br w:val="nil"/>
              <w:tr2bl w:val="nil"/>
            </w:tcBorders>
            <w:vAlign w:val="center"/>
          </w:tcPr>
          <w:p>
            <w:pPr>
              <w:pStyle w:val="3292"/>
              <w:spacing w:before="158" w:line="180" w:lineRule="auto"/>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3"/>
                <w:sz w:val="24"/>
                <w:szCs w:val="24"/>
                <w:lang w:bidi="ar-SA"/>
                <w:highlight w:val="auto"/>
              </w:rPr>
              <w:t>合计</w:t>
            </w:r>
          </w:p>
        </w:tc>
        <w:tc>
          <w:tcPr>
            <w:tcW w:w="2623" w:type="dxa"/>
            <w:tcBorders>
              <w:tl2br w:val="nil"/>
              <w:tr2bl w:val="nil"/>
            </w:tcBorders>
            <w:vAlign w:val="center"/>
          </w:tcPr>
          <w:p>
            <w:pPr>
              <w:pStyle w:val="3291"/>
              <w:spacing w:before="158" w:line="180" w:lineRule="auto"/>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基本支出</w:t>
            </w:r>
          </w:p>
        </w:tc>
        <w:tc>
          <w:tcPr>
            <w:tcW w:w="2631" w:type="dxa"/>
            <w:tcBorders>
              <w:tl2br w:val="nil"/>
              <w:tr2bl w:val="nil"/>
            </w:tcBorders>
            <w:vAlign w:val="center"/>
          </w:tcPr>
          <w:p>
            <w:pPr>
              <w:pStyle w:val="3290"/>
              <w:spacing w:before="158" w:line="180" w:lineRule="auto"/>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项目支出</w:t>
            </w:r>
          </w:p>
        </w:tc>
      </w:tr>
      <w:tr>
        <w:trPr>
          <w:trHeight w:val="529"/>
        </w:trPr>
        <w:tc>
          <w:tcPr>
            <w:tcW w:w="2631" w:type="dxa"/>
            <w:tcBorders>
              <w:tl2br w:val="nil"/>
              <w:tr2bl w:val="nil"/>
            </w:tcBorders>
          </w:tcPr>
          <w:p>
            <w:pPr>
              <w:pStyle w:val="3289"/>
              <w:rPr>
                <w:rFonts w:ascii="Times New Roman" w:eastAsia="宋体" w:hAnsi="Times New Roman"/>
                <w:sz w:val="24"/>
                <w:szCs w:val="24"/>
                <w:highlight w:val="auto"/>
              </w:rPr>
            </w:pPr>
          </w:p>
        </w:tc>
        <w:tc>
          <w:tcPr>
            <w:tcW w:w="2622" w:type="dxa"/>
            <w:tcBorders>
              <w:tl2br w:val="nil"/>
              <w:tr2bl w:val="nil"/>
            </w:tcBorders>
          </w:tcPr>
          <w:p>
            <w:pPr>
              <w:pStyle w:val="3288"/>
              <w:rPr>
                <w:rFonts w:ascii="Times New Roman" w:eastAsia="宋体" w:hAnsi="Times New Roman"/>
                <w:sz w:val="24"/>
                <w:szCs w:val="24"/>
                <w:highlight w:val="auto"/>
              </w:rPr>
            </w:pPr>
          </w:p>
        </w:tc>
        <w:tc>
          <w:tcPr>
            <w:tcW w:w="2624" w:type="dxa"/>
            <w:tcBorders>
              <w:tl2br w:val="nil"/>
              <w:tr2bl w:val="nil"/>
            </w:tcBorders>
          </w:tcPr>
          <w:p>
            <w:pPr>
              <w:pStyle w:val="3287"/>
              <w:rPr>
                <w:rFonts w:ascii="Times New Roman" w:eastAsia="宋体" w:hAnsi="Times New Roman"/>
                <w:sz w:val="24"/>
                <w:szCs w:val="24"/>
                <w:highlight w:val="auto"/>
              </w:rPr>
            </w:pPr>
          </w:p>
        </w:tc>
        <w:tc>
          <w:tcPr>
            <w:tcW w:w="2623" w:type="dxa"/>
            <w:tcBorders>
              <w:tl2br w:val="nil"/>
              <w:tr2bl w:val="nil"/>
            </w:tcBorders>
          </w:tcPr>
          <w:p>
            <w:pPr>
              <w:pStyle w:val="3286"/>
              <w:rPr>
                <w:rFonts w:ascii="Times New Roman" w:eastAsia="宋体" w:hAnsi="Times New Roman"/>
                <w:sz w:val="24"/>
                <w:szCs w:val="24"/>
                <w:highlight w:val="auto"/>
              </w:rPr>
            </w:pPr>
          </w:p>
        </w:tc>
        <w:tc>
          <w:tcPr>
            <w:tcW w:w="2631" w:type="dxa"/>
            <w:tcBorders>
              <w:tl2br w:val="nil"/>
              <w:tr2bl w:val="nil"/>
            </w:tcBorders>
          </w:tcPr>
          <w:p>
            <w:pPr>
              <w:pStyle w:val="3285"/>
              <w:rPr>
                <w:rFonts w:ascii="Times New Roman" w:eastAsia="宋体" w:hAnsi="Times New Roman"/>
                <w:sz w:val="24"/>
                <w:szCs w:val="24"/>
                <w:highlight w:val="auto"/>
              </w:rPr>
            </w:pPr>
          </w:p>
        </w:tc>
      </w:tr>
      <w:tr>
        <w:trPr>
          <w:trHeight w:val="528"/>
        </w:trPr>
        <w:tc>
          <w:tcPr>
            <w:tcW w:w="2631" w:type="dxa"/>
            <w:tcBorders>
              <w:tl2br w:val="nil"/>
              <w:tr2bl w:val="nil"/>
            </w:tcBorders>
          </w:tcPr>
          <w:p>
            <w:pPr>
              <w:pStyle w:val="3284"/>
              <w:rPr>
                <w:rFonts w:ascii="Times New Roman" w:eastAsia="宋体" w:hAnsi="Times New Roman"/>
                <w:sz w:val="24"/>
                <w:szCs w:val="24"/>
                <w:highlight w:val="auto"/>
              </w:rPr>
            </w:pPr>
          </w:p>
        </w:tc>
        <w:tc>
          <w:tcPr>
            <w:tcW w:w="2622" w:type="dxa"/>
            <w:tcBorders>
              <w:tl2br w:val="nil"/>
              <w:tr2bl w:val="nil"/>
            </w:tcBorders>
          </w:tcPr>
          <w:p>
            <w:pPr>
              <w:pStyle w:val="3283"/>
              <w:rPr>
                <w:rFonts w:ascii="Times New Roman" w:eastAsia="宋体" w:hAnsi="Times New Roman"/>
                <w:sz w:val="24"/>
                <w:szCs w:val="24"/>
                <w:highlight w:val="auto"/>
              </w:rPr>
            </w:pPr>
          </w:p>
        </w:tc>
        <w:tc>
          <w:tcPr>
            <w:tcW w:w="2624" w:type="dxa"/>
            <w:tcBorders>
              <w:tl2br w:val="nil"/>
              <w:tr2bl w:val="nil"/>
            </w:tcBorders>
          </w:tcPr>
          <w:p>
            <w:pPr>
              <w:pStyle w:val="3282"/>
              <w:rPr>
                <w:rFonts w:ascii="Times New Roman" w:eastAsia="宋体" w:hAnsi="Times New Roman"/>
                <w:sz w:val="24"/>
                <w:szCs w:val="24"/>
                <w:highlight w:val="auto"/>
              </w:rPr>
            </w:pPr>
          </w:p>
        </w:tc>
        <w:tc>
          <w:tcPr>
            <w:tcW w:w="2623" w:type="dxa"/>
            <w:tcBorders>
              <w:tl2br w:val="nil"/>
              <w:tr2bl w:val="nil"/>
            </w:tcBorders>
          </w:tcPr>
          <w:p>
            <w:pPr>
              <w:pStyle w:val="3281"/>
              <w:rPr>
                <w:rFonts w:ascii="Times New Roman" w:eastAsia="宋体" w:hAnsi="Times New Roman"/>
                <w:sz w:val="24"/>
                <w:szCs w:val="24"/>
                <w:highlight w:val="auto"/>
              </w:rPr>
            </w:pPr>
          </w:p>
        </w:tc>
        <w:tc>
          <w:tcPr>
            <w:tcW w:w="2631" w:type="dxa"/>
            <w:tcBorders>
              <w:tl2br w:val="nil"/>
              <w:tr2bl w:val="nil"/>
            </w:tcBorders>
          </w:tcPr>
          <w:p>
            <w:pPr>
              <w:pStyle w:val="3280"/>
              <w:rPr>
                <w:rFonts w:ascii="Times New Roman" w:eastAsia="宋体" w:hAnsi="Times New Roman"/>
                <w:sz w:val="24"/>
                <w:szCs w:val="24"/>
                <w:highlight w:val="auto"/>
              </w:rPr>
            </w:pPr>
          </w:p>
        </w:tc>
      </w:tr>
      <w:tr>
        <w:trPr>
          <w:trHeight w:val="528"/>
        </w:trPr>
        <w:tc>
          <w:tcPr>
            <w:tcW w:w="2631" w:type="dxa"/>
            <w:tcBorders>
              <w:tl2br w:val="nil"/>
              <w:tr2bl w:val="nil"/>
            </w:tcBorders>
          </w:tcPr>
          <w:p>
            <w:pPr>
              <w:pStyle w:val="3279"/>
              <w:rPr>
                <w:rFonts w:ascii="Times New Roman" w:eastAsia="宋体" w:hAnsi="Times New Roman"/>
                <w:sz w:val="24"/>
                <w:szCs w:val="24"/>
                <w:highlight w:val="auto"/>
              </w:rPr>
            </w:pPr>
          </w:p>
        </w:tc>
        <w:tc>
          <w:tcPr>
            <w:tcW w:w="2622" w:type="dxa"/>
            <w:tcBorders>
              <w:tl2br w:val="nil"/>
              <w:tr2bl w:val="nil"/>
            </w:tcBorders>
          </w:tcPr>
          <w:p>
            <w:pPr>
              <w:pStyle w:val="3278"/>
              <w:rPr>
                <w:rFonts w:ascii="Times New Roman" w:eastAsia="宋体" w:hAnsi="Times New Roman"/>
                <w:sz w:val="24"/>
                <w:szCs w:val="24"/>
                <w:highlight w:val="auto"/>
              </w:rPr>
            </w:pPr>
          </w:p>
        </w:tc>
        <w:tc>
          <w:tcPr>
            <w:tcW w:w="2624" w:type="dxa"/>
            <w:tcBorders>
              <w:tl2br w:val="nil"/>
              <w:tr2bl w:val="nil"/>
            </w:tcBorders>
          </w:tcPr>
          <w:p>
            <w:pPr>
              <w:pStyle w:val="3277"/>
              <w:rPr>
                <w:rFonts w:ascii="Times New Roman" w:eastAsia="宋体" w:hAnsi="Times New Roman"/>
                <w:sz w:val="24"/>
                <w:szCs w:val="24"/>
                <w:highlight w:val="auto"/>
              </w:rPr>
            </w:pPr>
          </w:p>
        </w:tc>
        <w:tc>
          <w:tcPr>
            <w:tcW w:w="2623" w:type="dxa"/>
            <w:tcBorders>
              <w:tl2br w:val="nil"/>
              <w:tr2bl w:val="nil"/>
            </w:tcBorders>
          </w:tcPr>
          <w:p>
            <w:pPr>
              <w:pStyle w:val="3276"/>
              <w:rPr>
                <w:rFonts w:ascii="Times New Roman" w:eastAsia="宋体" w:hAnsi="Times New Roman"/>
                <w:sz w:val="24"/>
                <w:szCs w:val="24"/>
                <w:highlight w:val="auto"/>
              </w:rPr>
            </w:pPr>
          </w:p>
        </w:tc>
        <w:tc>
          <w:tcPr>
            <w:tcW w:w="2631" w:type="dxa"/>
            <w:tcBorders>
              <w:tl2br w:val="nil"/>
              <w:tr2bl w:val="nil"/>
            </w:tcBorders>
          </w:tcPr>
          <w:p>
            <w:pPr>
              <w:pStyle w:val="3275"/>
              <w:rPr>
                <w:rFonts w:ascii="Times New Roman" w:eastAsia="宋体" w:hAnsi="Times New Roman"/>
                <w:sz w:val="24"/>
                <w:szCs w:val="24"/>
                <w:highlight w:val="auto"/>
              </w:rPr>
            </w:pPr>
          </w:p>
        </w:tc>
      </w:tr>
      <w:tr>
        <w:trPr>
          <w:trHeight w:val="528"/>
        </w:trPr>
        <w:tc>
          <w:tcPr>
            <w:tcW w:w="2631" w:type="dxa"/>
            <w:tcBorders>
              <w:tl2br w:val="nil"/>
              <w:tr2bl w:val="nil"/>
            </w:tcBorders>
          </w:tcPr>
          <w:p>
            <w:pPr>
              <w:pStyle w:val="3274"/>
              <w:rPr>
                <w:rFonts w:ascii="Times New Roman" w:eastAsia="宋体" w:hAnsi="Times New Roman"/>
                <w:sz w:val="24"/>
                <w:szCs w:val="24"/>
                <w:highlight w:val="auto"/>
              </w:rPr>
            </w:pPr>
          </w:p>
        </w:tc>
        <w:tc>
          <w:tcPr>
            <w:tcW w:w="2622" w:type="dxa"/>
            <w:tcBorders>
              <w:tl2br w:val="nil"/>
              <w:tr2bl w:val="nil"/>
            </w:tcBorders>
          </w:tcPr>
          <w:p>
            <w:pPr>
              <w:pStyle w:val="3273"/>
              <w:rPr>
                <w:rFonts w:ascii="Times New Roman" w:eastAsia="宋体" w:hAnsi="Times New Roman"/>
                <w:sz w:val="24"/>
                <w:szCs w:val="24"/>
                <w:highlight w:val="auto"/>
              </w:rPr>
            </w:pPr>
          </w:p>
        </w:tc>
        <w:tc>
          <w:tcPr>
            <w:tcW w:w="2624" w:type="dxa"/>
            <w:tcBorders>
              <w:tl2br w:val="nil"/>
              <w:tr2bl w:val="nil"/>
            </w:tcBorders>
          </w:tcPr>
          <w:p>
            <w:pPr>
              <w:pStyle w:val="3272"/>
              <w:rPr>
                <w:rFonts w:ascii="Times New Roman" w:eastAsia="宋体" w:hAnsi="Times New Roman"/>
                <w:sz w:val="24"/>
                <w:szCs w:val="24"/>
                <w:highlight w:val="auto"/>
              </w:rPr>
            </w:pPr>
          </w:p>
        </w:tc>
        <w:tc>
          <w:tcPr>
            <w:tcW w:w="2623" w:type="dxa"/>
            <w:tcBorders>
              <w:tl2br w:val="nil"/>
              <w:tr2bl w:val="nil"/>
            </w:tcBorders>
          </w:tcPr>
          <w:p>
            <w:pPr>
              <w:pStyle w:val="3271"/>
              <w:rPr>
                <w:rFonts w:ascii="Times New Roman" w:eastAsia="宋体" w:hAnsi="Times New Roman"/>
                <w:sz w:val="24"/>
                <w:szCs w:val="24"/>
                <w:highlight w:val="auto"/>
              </w:rPr>
            </w:pPr>
          </w:p>
        </w:tc>
        <w:tc>
          <w:tcPr>
            <w:tcW w:w="2631" w:type="dxa"/>
            <w:tcBorders>
              <w:tl2br w:val="nil"/>
              <w:tr2bl w:val="nil"/>
            </w:tcBorders>
          </w:tcPr>
          <w:p>
            <w:pPr>
              <w:pStyle w:val="3270"/>
              <w:rPr>
                <w:rFonts w:ascii="Times New Roman" w:eastAsia="宋体" w:hAnsi="Times New Roman"/>
                <w:sz w:val="24"/>
                <w:szCs w:val="24"/>
                <w:highlight w:val="auto"/>
              </w:rPr>
            </w:pPr>
          </w:p>
        </w:tc>
      </w:tr>
      <w:tr>
        <w:trPr>
          <w:trHeight w:val="535"/>
        </w:trPr>
        <w:tc>
          <w:tcPr>
            <w:tcW w:w="5253" w:type="dxa"/>
            <w:gridSpan w:val="2"/>
            <w:tcBorders>
              <w:tl2br w:val="nil"/>
              <w:tr2bl w:val="nil"/>
            </w:tcBorders>
          </w:tcPr>
          <w:p>
            <w:pPr>
              <w:pStyle w:val="3269"/>
              <w:spacing w:before="107" w:line="180" w:lineRule="auto"/>
              <w:ind w:firstLine="2211"/>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6"/>
                <w:sz w:val="24"/>
                <w:szCs w:val="24"/>
                <w:lang w:bidi="ar-SA"/>
                <w:highlight w:val="auto"/>
              </w:rPr>
              <w:t>合</w:t>
            </w:r>
            <w:r>
              <w:rPr>
                <w:rFonts w:ascii="Times New Roman" w:eastAsia="宋体" w:cs="Microsoft JhengHei" w:hAnsi="Times New Roman" w:hint="eastAsia"/>
                <w:spacing w:val="2"/>
                <w:sz w:val="24"/>
                <w:szCs w:val="24"/>
                <w:lang w:bidi="ar-SA"/>
                <w:highlight w:val="auto"/>
              </w:rPr>
              <w:t xml:space="preserve">    </w:t>
            </w:r>
            <w:r>
              <w:rPr>
                <w:rFonts w:ascii="Times New Roman" w:eastAsia="宋体" w:cs="Microsoft JhengHei" w:hAnsi="Times New Roman" w:hint="eastAsia"/>
                <w:spacing w:val="-6"/>
                <w:sz w:val="24"/>
                <w:szCs w:val="24"/>
                <w:lang w:bidi="ar-SA"/>
                <w:highlight w:val="auto"/>
              </w:rPr>
              <w:t>计</w:t>
            </w:r>
          </w:p>
        </w:tc>
        <w:tc>
          <w:tcPr>
            <w:tcW w:w="2624" w:type="dxa"/>
            <w:tcBorders>
              <w:tl2br w:val="nil"/>
              <w:tr2bl w:val="nil"/>
            </w:tcBorders>
          </w:tcPr>
          <w:p>
            <w:pPr>
              <w:pStyle w:val="3268"/>
              <w:rPr>
                <w:rFonts w:ascii="Times New Roman" w:eastAsia="宋体" w:hAnsi="Times New Roman"/>
                <w:sz w:val="24"/>
                <w:szCs w:val="24"/>
                <w:highlight w:val="auto"/>
              </w:rPr>
            </w:pPr>
          </w:p>
        </w:tc>
        <w:tc>
          <w:tcPr>
            <w:tcW w:w="2623" w:type="dxa"/>
            <w:tcBorders>
              <w:tl2br w:val="nil"/>
              <w:tr2bl w:val="nil"/>
            </w:tcBorders>
          </w:tcPr>
          <w:p>
            <w:pPr>
              <w:pStyle w:val="3267"/>
              <w:rPr>
                <w:rFonts w:ascii="Times New Roman" w:eastAsia="宋体" w:hAnsi="Times New Roman"/>
                <w:sz w:val="24"/>
                <w:szCs w:val="24"/>
                <w:highlight w:val="auto"/>
              </w:rPr>
            </w:pPr>
          </w:p>
        </w:tc>
        <w:tc>
          <w:tcPr>
            <w:tcW w:w="2631" w:type="dxa"/>
            <w:tcBorders>
              <w:tl2br w:val="nil"/>
              <w:tr2bl w:val="nil"/>
            </w:tcBorders>
          </w:tcPr>
          <w:p>
            <w:pPr>
              <w:pStyle w:val="3266"/>
              <w:rPr>
                <w:rFonts w:ascii="Times New Roman" w:eastAsia="宋体" w:hAnsi="Times New Roman"/>
                <w:sz w:val="24"/>
                <w:szCs w:val="24"/>
                <w:highlight w:val="auto"/>
              </w:rPr>
            </w:pPr>
          </w:p>
        </w:tc>
      </w:tr>
    </w:tbl>
    <w:p>
      <w:pPr>
        <w:jc w:val="center"/>
        <w:rPr>
          <w:rFonts w:cs="Microsoft JhengHei" w:hint="eastAsia"/>
          <w:b/>
          <w:sz w:val="36"/>
          <w:szCs w:val="36"/>
          <w:lang w:bidi="ar-SA"/>
          <w:highlight w:val="auto"/>
        </w:rPr>
      </w:pPr>
      <w:r>
        <w:rPr>
          <w:rFonts w:ascii="Times New Roman" w:eastAsia="宋体" w:hAnsi="Times New Roman"/>
        </w:rPr>
        <w:tab/>
      </w:r>
      <w:r>
        <w:rPr>
          <w:rFonts w:cs="Microsoft JhengHei" w:hint="eastAsia"/>
          <w:b/>
          <w:snapToGrid w:val="0"/>
          <w:color w:val="000000"/>
          <w:sz w:val="36"/>
          <w:szCs w:val="36"/>
          <w:lang w:bidi="ar-SA"/>
          <w:highlight w:val="auto"/>
        </w:rPr>
        <w:t>国有资本经营预算支出表</w:t>
      </w:r>
    </w:p>
    <w:p>
      <w:pPr>
        <w:tabs>
          <w:tab w:val="left" w:pos="10180"/>
        </w:tabs>
        <w:ind w:firstLineChars="3150" w:firstLine="6237"/>
        <w:rPr>
          <w:rFonts w:ascii="Times New Roman" w:eastAsia="宋体" w:cs="Microsoft JhengHei" w:hAnsi="Times New Roman"/>
          <w:spacing w:val="-1"/>
          <w:sz w:val="20"/>
          <w:szCs w:val="20"/>
          <w:lang w:bidi="ar-SA"/>
          <w:highlight w:val="auto"/>
        </w:rPr>
      </w:pPr>
    </w:p>
    <w:p>
      <w:pPr>
        <w:tabs>
          <w:tab w:val="left" w:pos="10180"/>
        </w:tabs>
        <w:ind w:firstLineChars="3150" w:firstLine="6237"/>
        <w:rPr>
          <w:rFonts w:ascii="Times New Roman" w:eastAsia="宋体" w:cs="Microsoft JhengHei" w:hAnsi="Times New Roman"/>
          <w:spacing w:val="-1"/>
          <w:sz w:val="20"/>
          <w:szCs w:val="20"/>
          <w:lang w:bidi="ar-SA"/>
          <w:highlight w:val="auto"/>
        </w:rPr>
      </w:pPr>
    </w:p>
    <w:p>
      <w:pPr>
        <w:tabs>
          <w:tab w:val="left" w:pos="10180"/>
        </w:tabs>
        <w:ind w:firstLineChars="6100" w:firstLine="12078"/>
        <w:rPr>
          <w:rFonts w:ascii="Times New Roman" w:eastAsia="宋体" w:cs="Microsoft JhengHei" w:hAnsi="Times New Roman"/>
          <w:spacing w:val="-1"/>
          <w:sz w:val="20"/>
          <w:szCs w:val="20"/>
          <w:lang w:bidi="ar-SA"/>
          <w:highlight w:val="auto"/>
        </w:rPr>
      </w:pPr>
      <w:r>
        <w:rPr>
          <w:rFonts w:ascii="Times New Roman" w:eastAsia="宋体" w:cs="Microsoft JhengHei" w:hAnsi="Times New Roman" w:hint="eastAsia"/>
          <w:spacing w:val="-1"/>
          <w:sz w:val="20"/>
          <w:szCs w:val="20"/>
          <w:lang w:bidi="ar-SA"/>
          <w:highlight w:val="auto"/>
        </w:rPr>
        <w:t xml:space="preserve">单位:万元 </w:t>
      </w:r>
    </w:p>
    <w:p>
      <w:pPr>
        <w:tabs>
          <w:tab w:val="left" w:pos="10180"/>
        </w:tabs>
        <w:ind w:left="0"/>
        <w:rPr>
          <w:rFonts w:ascii="方正仿宋_GBK" w:eastAsia="方正仿宋_GBK" w:cs="方正仿宋_GBK"/>
          <w:spacing w:val="-6"/>
          <w:sz w:val="24"/>
          <w:szCs w:val="24"/>
          <w:lang w:bidi="ar-SA"/>
          <w:highlight w:val="auto"/>
        </w:rPr>
      </w:pPr>
    </w:p>
    <w:p>
      <w:pPr>
        <w:tabs>
          <w:tab w:val="left" w:pos="10180"/>
        </w:tabs>
        <w:ind w:left="0"/>
        <w:rPr>
          <w:rFonts w:cs="Microsoft JhengHei"/>
          <w:spacing w:val="-1"/>
          <w:sz w:val="20"/>
          <w:szCs w:val="20"/>
        </w:rPr>
        <w:sectPr>
          <w:pgSz w:w="16841" w:h="11907"/>
          <w:pgMar w:top="808" w:right="1848" w:bottom="0" w:left="1850" w:header="0" w:footer="0" w:gutter="0"/>
          <w:pgNumType/>
          <w:docGrid w:linePitch="285" w:charSpace="0"/>
        </w:sectPr>
      </w:pPr>
      <w:r>
        <w:rPr>
          <w:rFonts w:ascii="方正仿宋_GBK" w:eastAsia="方正仿宋_GBK" w:cs="方正仿宋_GBK" w:hint="eastAsia"/>
          <w:spacing w:val="-6"/>
          <w:sz w:val="24"/>
          <w:szCs w:val="24"/>
          <w:lang w:bidi="ar-SA"/>
          <w:highlight w:val="auto"/>
        </w:rPr>
        <w:t>注：</w:t>
      </w:r>
      <w:r>
        <w:rPr>
          <w:rFonts w:ascii="方正仿宋_GBK" w:eastAsia="方正仿宋_GBK" w:cs="方正仿宋_GBK"/>
          <w:spacing w:val="-6"/>
          <w:sz w:val="24"/>
          <w:szCs w:val="24"/>
          <w:lang w:bidi="ar-SA"/>
        </w:rPr>
        <w:t>集宁</w:t>
      </w:r>
      <w:r>
        <w:rPr>
          <w:rFonts w:ascii="方正仿宋_GBK" w:eastAsia="方正仿宋_GBK" w:cs="方正仿宋_GBK" w:hint="eastAsia"/>
          <w:spacing w:val="-6"/>
          <w:sz w:val="24"/>
          <w:szCs w:val="24"/>
          <w:lang w:bidi="ar-SA"/>
          <w:highlight w:val="auto"/>
        </w:rPr>
        <w:t>海关无国有资本经营预算收入，也无使用国有资本经营预算安排的支出，故本表无数据。</w:t>
      </w:r>
      <w:r>
        <w:rPr>
          <w:rFonts w:ascii="Times New Roman" w:eastAsia="宋体" w:cs="Microsoft JhengHei" w:hAnsi="Times New Roman" w:hint="eastAsia"/>
          <w:spacing w:val="-1"/>
          <w:sz w:val="20"/>
          <w:szCs w:val="20"/>
          <w:lang w:bidi="ar-SA"/>
          <w:highlight w:val="auto"/>
        </w:rPr>
        <w:t xml:space="preserve"> </w:t>
      </w:r>
    </w:p>
    <w:p>
      <w:pPr>
        <w:wordWrap w:val="0"/>
        <w:jc w:val="right"/>
        <w:rPr>
          <w:rFonts w:ascii="黑体" w:eastAsia="黑体" w:cs="黑体"/>
          <w:snapToGrid w:val="0"/>
          <w:sz w:val="20"/>
          <w:szCs w:val="20"/>
          <w:lang w:bidi="ar-SA"/>
          <w:highlight w:val="auto"/>
        </w:rPr>
      </w:pPr>
    </w:p>
    <w:p>
      <w:pPr>
        <w:wordWrap w:val="0"/>
        <w:jc w:val="right"/>
        <w:rPr>
          <w:rFonts w:cs="Microsoft JhengHei"/>
          <w:snapToGrid w:val="0"/>
          <w:szCs w:val="21"/>
          <w:lang w:bidi="ar-SA"/>
          <w:highlight w:val="auto"/>
        </w:rPr>
      </w:pPr>
      <w:r>
        <w:rPr>
          <w:rFonts w:ascii="黑体" w:eastAsia="黑体" w:cs="黑体" w:hint="eastAsia"/>
          <w:snapToGrid w:val="0"/>
          <w:sz w:val="20"/>
          <w:szCs w:val="20"/>
          <w:lang w:bidi="ar-SA"/>
          <w:highlight w:val="auto"/>
        </w:rPr>
        <w:t>部门公开表 9</w:t>
      </w:r>
      <w:r>
        <w:rPr>
          <w:rFonts w:cs="Microsoft JhengHei" w:hint="eastAsia"/>
          <w:snapToGrid w:val="0"/>
          <w:szCs w:val="21"/>
          <w:lang w:bidi="ar-SA"/>
          <w:highlight w:val="auto"/>
        </w:rPr>
        <w:t xml:space="preserve">  </w:t>
      </w:r>
    </w:p>
    <w:p>
      <w:pPr>
        <w:wordWrap w:val="0"/>
        <w:jc w:val="right"/>
        <w:rPr>
          <w:rFonts w:cs="Microsoft JhengHei"/>
          <w:snapToGrid w:val="0"/>
          <w:szCs w:val="21"/>
          <w:lang w:bidi="ar-SA"/>
          <w:highlight w:val="auto"/>
        </w:rPr>
      </w:pPr>
    </w:p>
    <w:p>
      <w:pPr>
        <w:wordWrap w:val="0"/>
        <w:jc w:val="center"/>
        <w:rPr>
          <w:rFonts w:cs="Microsoft JhengHei"/>
          <w:snapToGrid w:val="0"/>
          <w:szCs w:val="21"/>
        </w:rPr>
      </w:pPr>
      <w:r>
        <w:rPr>
          <w:rFonts w:cs="Microsoft JhengHei" w:hint="eastAsia"/>
          <w:b/>
          <w:snapToGrid w:val="0"/>
          <w:color w:val="000000"/>
          <w:sz w:val="36"/>
          <w:szCs w:val="36"/>
          <w:lang w:bidi="ar-SA"/>
          <w:highlight w:val="auto"/>
        </w:rPr>
        <w:t>财政拨款预算“三公”经费支出表</w:t>
      </w:r>
    </w:p>
    <w:p>
      <w:pPr>
        <w:pStyle w:val="3298"/>
        <w:spacing w:before="65" w:line="180" w:lineRule="auto"/>
        <w:ind w:firstLine="13869"/>
        <w:jc w:val="right"/>
        <w:rPr>
          <w:rFonts w:ascii="Times New Roman" w:eastAsia="宋体" w:cs="Microsoft JhengHei" w:hAnsi="Times New Roman"/>
          <w:spacing w:val="-3"/>
          <w:sz w:val="20"/>
          <w:szCs w:val="20"/>
          <w:lang w:bidi="ar-SA"/>
          <w:highlight w:val="auto"/>
        </w:rPr>
      </w:pPr>
    </w:p>
    <w:p>
      <w:pPr>
        <w:pStyle w:val="3298"/>
        <w:spacing w:before="65" w:line="180" w:lineRule="auto"/>
        <w:ind w:firstLine="13869"/>
        <w:jc w:val="right"/>
        <w:rPr>
          <w:rFonts w:ascii="Times New Roman" w:eastAsia="宋体" w:cs="Microsoft JhengHei" w:hAnsi="Times New Roman"/>
          <w:spacing w:val="-3"/>
          <w:sz w:val="20"/>
          <w:szCs w:val="20"/>
          <w:lang w:bidi="ar-SA"/>
          <w:highlight w:val="auto"/>
        </w:rPr>
      </w:pPr>
    </w:p>
    <w:p>
      <w:pPr>
        <w:pStyle w:val="3298"/>
        <w:spacing w:before="65" w:line="180" w:lineRule="auto"/>
        <w:ind w:firstLine="13869"/>
        <w:jc w:val="right"/>
        <w:rPr>
          <w:rFonts w:ascii="Times New Roman" w:eastAsia="宋体" w:cs="Microsoft JhengHei" w:hAnsi="Times New Roman"/>
          <w:spacing w:val="-3"/>
          <w:sz w:val="20"/>
          <w:szCs w:val="20"/>
          <w:lang w:bidi="ar-SA"/>
          <w:highlight w:val="auto"/>
        </w:rPr>
      </w:pPr>
    </w:p>
    <w:p>
      <w:pPr>
        <w:pStyle w:val="3298"/>
        <w:spacing w:before="65" w:line="180" w:lineRule="auto"/>
        <w:ind w:firstLine="13869"/>
        <w:jc w:val="right"/>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3"/>
          <w:sz w:val="20"/>
          <w:szCs w:val="20"/>
          <w:lang w:bidi="ar-SA"/>
          <w:highlight w:val="auto"/>
        </w:rPr>
        <w:t>单位：万元</w:t>
      </w:r>
    </w:p>
    <w:p>
      <w:pPr>
        <w:pStyle w:val="3298"/>
        <w:spacing w:line="20" w:lineRule="exact"/>
        <w:rPr>
          <w:rFonts w:ascii="Times New Roman" w:eastAsia="宋体" w:hAnsi="Times New Roman"/>
          <w:highlight w:val="auto"/>
        </w:rPr>
      </w:pPr>
    </w:p>
    <w:tbl>
      <w:tblPr>
        <w:tblpPr w:leftFromText="180" w:rightFromText="180" w:vertAnchor="text" w:horzAnchor="page" w:tblpX="1181" w:tblpY="109"/>
        <w:tblOverlap w:val="never"/>
        <w:tblW w:w="14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89"/>
        <w:gridCol w:w="1319"/>
        <w:gridCol w:w="1079"/>
        <w:gridCol w:w="1154"/>
        <w:gridCol w:w="1319"/>
        <w:gridCol w:w="1439"/>
        <w:gridCol w:w="1080"/>
        <w:gridCol w:w="1319"/>
        <w:gridCol w:w="1080"/>
        <w:gridCol w:w="1320"/>
        <w:gridCol w:w="1319"/>
        <w:gridCol w:w="1446"/>
      </w:tblGrid>
      <w:tr>
        <w:trPr>
          <w:trHeight w:val="671"/>
        </w:trPr>
        <w:tc>
          <w:tcPr>
            <w:tcW w:w="7399" w:type="dxa"/>
            <w:gridSpan w:val="6"/>
            <w:tcBorders>
              <w:tl2br w:val="nil"/>
              <w:tr2bl w:val="nil"/>
            </w:tcBorders>
          </w:tcPr>
          <w:p>
            <w:pPr>
              <w:pStyle w:val="3298"/>
              <w:spacing w:before="213" w:line="180" w:lineRule="auto"/>
              <w:ind w:firstLine="3045"/>
              <w:rPr>
                <w:rFonts w:ascii="Times New Roman" w:eastAsia="宋体" w:cs="Times New Roman" w:hAnsi="Times New Roman"/>
                <w:lang w:bidi="ar-SA"/>
                <w:highlight w:val="auto"/>
              </w:rPr>
            </w:pPr>
            <w:r>
              <w:rPr>
                <w:rFonts w:ascii="Times New Roman" w:eastAsia="宋体" w:cs="Times New Roman" w:hAnsi="Times New Roman"/>
                <w:spacing w:val="-2"/>
                <w:lang w:bidi="ar-SA"/>
                <w:highlight w:val="auto"/>
              </w:rPr>
              <w:t>2023年预算数</w:t>
            </w:r>
          </w:p>
        </w:tc>
        <w:tc>
          <w:tcPr>
            <w:tcW w:w="7564" w:type="dxa"/>
            <w:gridSpan w:val="6"/>
            <w:tcBorders>
              <w:tl2br w:val="nil"/>
              <w:tr2bl w:val="nil"/>
            </w:tcBorders>
          </w:tcPr>
          <w:p>
            <w:pPr>
              <w:pStyle w:val="3298"/>
              <w:spacing w:before="213" w:line="180" w:lineRule="auto"/>
              <w:ind w:firstLine="3123"/>
              <w:rPr>
                <w:rFonts w:ascii="Times New Roman" w:eastAsia="宋体" w:cs="Times New Roman" w:hAnsi="Times New Roman"/>
                <w:lang w:bidi="ar-SA"/>
                <w:highlight w:val="auto"/>
              </w:rPr>
            </w:pPr>
            <w:r>
              <w:rPr>
                <w:rFonts w:ascii="Times New Roman" w:eastAsia="宋体" w:cs="Times New Roman" w:hAnsi="Times New Roman"/>
                <w:spacing w:val="-2"/>
                <w:lang w:bidi="ar-SA"/>
                <w:highlight w:val="auto"/>
              </w:rPr>
              <w:t>2024年预算数</w:t>
            </w:r>
          </w:p>
        </w:tc>
      </w:tr>
      <w:tr>
        <w:trPr>
          <w:trHeight w:val="872"/>
        </w:trPr>
        <w:tc>
          <w:tcPr>
            <w:tcW w:w="1089" w:type="dxa"/>
            <w:vMerge w:val="restart"/>
            <w:tcBorders>
              <w:bottom w:val="nil"/>
              <w:tl2br w:val="nil"/>
              <w:tr2bl w:val="nil"/>
            </w:tcBorders>
          </w:tcPr>
          <w:p>
            <w:pPr>
              <w:pStyle w:val="3298"/>
              <w:spacing w:line="295" w:lineRule="auto"/>
              <w:rPr>
                <w:rFonts w:ascii="Times New Roman" w:eastAsia="宋体" w:cs="Times New Roman" w:hAnsi="Times New Roman"/>
                <w:lang w:bidi="ar-SA"/>
                <w:highlight w:val="auto"/>
              </w:rPr>
            </w:pPr>
          </w:p>
          <w:p>
            <w:pPr>
              <w:pStyle w:val="3298"/>
              <w:spacing w:line="295" w:lineRule="auto"/>
              <w:rPr>
                <w:rFonts w:ascii="Times New Roman" w:eastAsia="宋体" w:cs="Times New Roman" w:hAnsi="Times New Roman"/>
                <w:lang w:bidi="ar-SA"/>
                <w:highlight w:val="auto"/>
              </w:rPr>
            </w:pPr>
          </w:p>
          <w:p>
            <w:pPr>
              <w:pStyle w:val="3298"/>
              <w:spacing w:before="90" w:line="180" w:lineRule="auto"/>
              <w:ind w:firstLine="336"/>
              <w:rPr>
                <w:rFonts w:ascii="Times New Roman" w:eastAsia="宋体" w:cs="Times New Roman" w:hAnsi="Times New Roman"/>
                <w:lang w:bidi="ar-SA"/>
                <w:highlight w:val="auto"/>
              </w:rPr>
            </w:pPr>
            <w:r>
              <w:rPr>
                <w:rFonts w:ascii="Times New Roman" w:eastAsia="宋体" w:cs="Times New Roman" w:hAnsi="Times New Roman"/>
                <w:spacing w:val="-2"/>
                <w:lang w:bidi="ar-SA"/>
                <w:highlight w:val="auto"/>
              </w:rPr>
              <w:t>合计</w:t>
            </w:r>
          </w:p>
        </w:tc>
        <w:tc>
          <w:tcPr>
            <w:tcW w:w="1319" w:type="dxa"/>
            <w:vMerge w:val="restart"/>
            <w:tcBorders>
              <w:bottom w:val="nil"/>
              <w:tl2br w:val="nil"/>
              <w:tr2bl w:val="nil"/>
            </w:tcBorders>
          </w:tcPr>
          <w:p>
            <w:pPr>
              <w:pStyle w:val="3298"/>
              <w:spacing w:line="439" w:lineRule="auto"/>
              <w:rPr>
                <w:rFonts w:ascii="Times New Roman" w:eastAsia="宋体" w:cs="Times New Roman" w:hAnsi="Times New Roman"/>
                <w:lang w:bidi="ar-SA"/>
                <w:highlight w:val="auto"/>
              </w:rPr>
            </w:pPr>
          </w:p>
          <w:p>
            <w:pPr>
              <w:pStyle w:val="3298"/>
              <w:spacing w:before="91" w:line="204" w:lineRule="auto"/>
              <w:ind w:left="221" w:right="235" w:firstLine="33"/>
              <w:rPr>
                <w:rFonts w:ascii="Times New Roman" w:eastAsia="宋体" w:cs="Times New Roman" w:hAnsi="Times New Roman"/>
                <w:lang w:bidi="ar-SA"/>
                <w:highlight w:val="auto"/>
              </w:rPr>
            </w:pPr>
            <w:r>
              <w:rPr>
                <w:rFonts w:ascii="Times New Roman" w:eastAsia="宋体" w:cs="Times New Roman" w:hAnsi="Times New Roman"/>
                <w:spacing w:val="-6"/>
                <w:lang w:bidi="ar-SA"/>
                <w:highlight w:val="auto"/>
              </w:rPr>
              <w:t>因公出国</w:t>
            </w:r>
            <w:r>
              <w:rPr>
                <w:rFonts w:ascii="Times New Roman" w:eastAsia="宋体" w:cs="Times New Roman" w:hAnsi="Times New Roman"/>
                <w:spacing w:val="2"/>
                <w:w w:val="101"/>
                <w:lang w:bidi="ar-SA"/>
                <w:highlight w:val="auto"/>
              </w:rPr>
              <w:t xml:space="preserve"> </w:t>
            </w:r>
            <w:r>
              <w:rPr>
                <w:rFonts w:ascii="Times New Roman" w:eastAsia="宋体" w:cs="Times New Roman" w:hAnsi="Times New Roman"/>
                <w:spacing w:val="2"/>
                <w:lang w:bidi="ar-SA"/>
                <w:highlight w:val="auto"/>
              </w:rPr>
              <w:t>（境）费</w:t>
            </w:r>
          </w:p>
        </w:tc>
        <w:tc>
          <w:tcPr>
            <w:tcW w:w="3552" w:type="dxa"/>
            <w:gridSpan w:val="3"/>
            <w:tcBorders>
              <w:tl2br w:val="nil"/>
              <w:tr2bl w:val="nil"/>
            </w:tcBorders>
          </w:tcPr>
          <w:p>
            <w:pPr>
              <w:pStyle w:val="3298"/>
              <w:spacing w:before="312" w:line="180" w:lineRule="auto"/>
              <w:ind w:firstLine="722"/>
              <w:rPr>
                <w:rFonts w:ascii="Times New Roman" w:eastAsia="宋体" w:cs="Times New Roman" w:hAnsi="Times New Roman"/>
                <w:lang w:bidi="ar-SA"/>
                <w:highlight w:val="auto"/>
              </w:rPr>
            </w:pPr>
            <w:r>
              <w:rPr>
                <w:rFonts w:ascii="Times New Roman" w:eastAsia="宋体" w:cs="Times New Roman" w:hAnsi="Times New Roman"/>
                <w:lang w:bidi="ar-SA"/>
                <w:highlight w:val="auto"/>
              </w:rPr>
              <w:t>公务用车购置及运行费</w:t>
            </w:r>
          </w:p>
        </w:tc>
        <w:tc>
          <w:tcPr>
            <w:tcW w:w="1439" w:type="dxa"/>
            <w:vMerge w:val="restart"/>
            <w:tcBorders>
              <w:bottom w:val="nil"/>
              <w:tl2br w:val="nil"/>
              <w:tr2bl w:val="nil"/>
            </w:tcBorders>
          </w:tcPr>
          <w:p>
            <w:pPr>
              <w:pStyle w:val="3298"/>
              <w:spacing w:line="295" w:lineRule="auto"/>
              <w:rPr>
                <w:rFonts w:ascii="Times New Roman" w:eastAsia="宋体" w:cs="Times New Roman" w:hAnsi="Times New Roman"/>
                <w:lang w:bidi="ar-SA"/>
                <w:highlight w:val="auto"/>
              </w:rPr>
            </w:pPr>
          </w:p>
          <w:p>
            <w:pPr>
              <w:pStyle w:val="3298"/>
              <w:spacing w:line="295" w:lineRule="auto"/>
              <w:rPr>
                <w:rFonts w:ascii="Times New Roman" w:eastAsia="宋体" w:cs="Times New Roman" w:hAnsi="Times New Roman"/>
                <w:lang w:bidi="ar-SA"/>
                <w:highlight w:val="auto"/>
              </w:rPr>
            </w:pPr>
          </w:p>
          <w:p>
            <w:pPr>
              <w:pStyle w:val="3298"/>
              <w:spacing w:before="90" w:line="180" w:lineRule="auto"/>
              <w:ind w:firstLine="192"/>
              <w:rPr>
                <w:rFonts w:ascii="Times New Roman" w:eastAsia="宋体" w:cs="Times New Roman" w:hAnsi="Times New Roman"/>
                <w:lang w:bidi="ar-SA"/>
                <w:highlight w:val="auto"/>
              </w:rPr>
            </w:pPr>
            <w:r>
              <w:rPr>
                <w:rFonts w:ascii="Times New Roman" w:eastAsia="宋体" w:cs="Times New Roman" w:hAnsi="Times New Roman"/>
                <w:lang w:bidi="ar-SA"/>
                <w:highlight w:val="auto"/>
              </w:rPr>
              <w:t>公务接待费</w:t>
            </w:r>
          </w:p>
        </w:tc>
        <w:tc>
          <w:tcPr>
            <w:tcW w:w="1080" w:type="dxa"/>
            <w:vMerge w:val="restart"/>
            <w:tcBorders>
              <w:bottom w:val="nil"/>
              <w:tl2br w:val="nil"/>
              <w:tr2bl w:val="nil"/>
            </w:tcBorders>
          </w:tcPr>
          <w:p>
            <w:pPr>
              <w:pStyle w:val="3298"/>
              <w:spacing w:line="295" w:lineRule="auto"/>
              <w:rPr>
                <w:rFonts w:ascii="Times New Roman" w:eastAsia="宋体" w:cs="Times New Roman" w:hAnsi="Times New Roman"/>
                <w:lang w:bidi="ar-SA"/>
                <w:highlight w:val="auto"/>
              </w:rPr>
            </w:pPr>
          </w:p>
          <w:p>
            <w:pPr>
              <w:pStyle w:val="3298"/>
              <w:spacing w:line="295" w:lineRule="auto"/>
              <w:rPr>
                <w:rFonts w:ascii="Times New Roman" w:eastAsia="宋体" w:cs="Times New Roman" w:hAnsi="Times New Roman"/>
                <w:lang w:bidi="ar-SA"/>
                <w:highlight w:val="auto"/>
              </w:rPr>
            </w:pPr>
          </w:p>
          <w:p>
            <w:pPr>
              <w:pStyle w:val="3298"/>
              <w:spacing w:before="90" w:line="180" w:lineRule="auto"/>
              <w:ind w:firstLine="333"/>
              <w:rPr>
                <w:rFonts w:ascii="Times New Roman" w:eastAsia="宋体" w:cs="Times New Roman" w:hAnsi="Times New Roman"/>
                <w:lang w:bidi="ar-SA"/>
                <w:highlight w:val="auto"/>
              </w:rPr>
            </w:pPr>
            <w:r>
              <w:rPr>
                <w:rFonts w:ascii="Times New Roman" w:eastAsia="宋体" w:cs="Times New Roman" w:hAnsi="Times New Roman"/>
                <w:spacing w:val="-2"/>
                <w:lang w:bidi="ar-SA"/>
                <w:highlight w:val="auto"/>
              </w:rPr>
              <w:t>合计</w:t>
            </w:r>
          </w:p>
        </w:tc>
        <w:tc>
          <w:tcPr>
            <w:tcW w:w="1319" w:type="dxa"/>
            <w:vMerge w:val="restart"/>
            <w:tcBorders>
              <w:bottom w:val="nil"/>
              <w:tl2br w:val="nil"/>
              <w:tr2bl w:val="nil"/>
            </w:tcBorders>
          </w:tcPr>
          <w:p>
            <w:pPr>
              <w:pStyle w:val="3298"/>
              <w:spacing w:line="439" w:lineRule="auto"/>
              <w:rPr>
                <w:rFonts w:ascii="Times New Roman" w:eastAsia="宋体" w:cs="Times New Roman" w:hAnsi="Times New Roman"/>
                <w:lang w:bidi="ar-SA"/>
                <w:highlight w:val="auto"/>
              </w:rPr>
            </w:pPr>
          </w:p>
          <w:p>
            <w:pPr>
              <w:pStyle w:val="3298"/>
              <w:spacing w:before="91" w:line="204" w:lineRule="auto"/>
              <w:ind w:left="227" w:right="230" w:firstLine="33"/>
              <w:rPr>
                <w:rFonts w:ascii="Times New Roman" w:eastAsia="宋体" w:cs="Times New Roman" w:hAnsi="Times New Roman"/>
                <w:lang w:bidi="ar-SA"/>
                <w:highlight w:val="auto"/>
              </w:rPr>
            </w:pPr>
            <w:r>
              <w:rPr>
                <w:rFonts w:ascii="Times New Roman" w:eastAsia="宋体" w:cs="Times New Roman" w:hAnsi="Times New Roman"/>
                <w:spacing w:val="-6"/>
                <w:lang w:bidi="ar-SA"/>
                <w:highlight w:val="auto"/>
              </w:rPr>
              <w:t>因公出国</w:t>
            </w:r>
            <w:r>
              <w:rPr>
                <w:rFonts w:ascii="Times New Roman" w:eastAsia="宋体" w:cs="Times New Roman" w:hAnsi="Times New Roman"/>
                <w:spacing w:val="2"/>
                <w:w w:val="101"/>
                <w:lang w:bidi="ar-SA"/>
                <w:highlight w:val="auto"/>
              </w:rPr>
              <w:t xml:space="preserve"> </w:t>
            </w:r>
            <w:r>
              <w:rPr>
                <w:rFonts w:ascii="Times New Roman" w:eastAsia="宋体" w:cs="Times New Roman" w:hAnsi="Times New Roman"/>
                <w:spacing w:val="2"/>
                <w:lang w:bidi="ar-SA"/>
                <w:highlight w:val="auto"/>
              </w:rPr>
              <w:t>（境）费</w:t>
            </w:r>
          </w:p>
        </w:tc>
        <w:tc>
          <w:tcPr>
            <w:tcW w:w="3719" w:type="dxa"/>
            <w:gridSpan w:val="3"/>
            <w:tcBorders>
              <w:tl2br w:val="nil"/>
              <w:tr2bl w:val="nil"/>
            </w:tcBorders>
          </w:tcPr>
          <w:p>
            <w:pPr>
              <w:pStyle w:val="3298"/>
              <w:spacing w:before="312" w:line="180" w:lineRule="auto"/>
              <w:ind w:firstLine="809"/>
              <w:rPr>
                <w:rFonts w:ascii="Times New Roman" w:eastAsia="宋体" w:cs="Times New Roman" w:hAnsi="Times New Roman"/>
                <w:lang w:bidi="ar-SA"/>
                <w:highlight w:val="auto"/>
              </w:rPr>
            </w:pPr>
            <w:r>
              <w:rPr>
                <w:rFonts w:ascii="Times New Roman" w:eastAsia="宋体" w:cs="Times New Roman" w:hAnsi="Times New Roman"/>
                <w:lang w:bidi="ar-SA"/>
                <w:highlight w:val="auto"/>
              </w:rPr>
              <w:t>公务用车购置及运行费</w:t>
            </w:r>
          </w:p>
        </w:tc>
        <w:tc>
          <w:tcPr>
            <w:tcW w:w="1446" w:type="dxa"/>
            <w:vMerge w:val="restart"/>
            <w:tcBorders>
              <w:bottom w:val="nil"/>
              <w:tl2br w:val="nil"/>
              <w:tr2bl w:val="nil"/>
            </w:tcBorders>
          </w:tcPr>
          <w:p>
            <w:pPr>
              <w:pStyle w:val="3298"/>
              <w:spacing w:line="295" w:lineRule="auto"/>
              <w:rPr>
                <w:rFonts w:ascii="Times New Roman" w:eastAsia="宋体" w:cs="Times New Roman" w:hAnsi="Times New Roman"/>
                <w:lang w:bidi="ar-SA"/>
                <w:highlight w:val="auto"/>
              </w:rPr>
            </w:pPr>
          </w:p>
          <w:p>
            <w:pPr>
              <w:pStyle w:val="3298"/>
              <w:spacing w:line="295" w:lineRule="auto"/>
              <w:rPr>
                <w:rFonts w:ascii="Times New Roman" w:eastAsia="宋体" w:cs="Times New Roman" w:hAnsi="Times New Roman"/>
                <w:lang w:bidi="ar-SA"/>
                <w:highlight w:val="auto"/>
              </w:rPr>
            </w:pPr>
          </w:p>
          <w:p>
            <w:pPr>
              <w:pStyle w:val="3298"/>
              <w:spacing w:before="90" w:line="180" w:lineRule="auto"/>
              <w:ind w:firstLine="196"/>
              <w:rPr>
                <w:rFonts w:ascii="Times New Roman" w:eastAsia="宋体" w:cs="Times New Roman" w:hAnsi="Times New Roman"/>
                <w:lang w:bidi="ar-SA"/>
                <w:highlight w:val="auto"/>
              </w:rPr>
            </w:pPr>
            <w:r>
              <w:rPr>
                <w:rFonts w:ascii="Times New Roman" w:eastAsia="宋体" w:cs="Times New Roman" w:hAnsi="Times New Roman"/>
                <w:lang w:bidi="ar-SA"/>
                <w:highlight w:val="auto"/>
              </w:rPr>
              <w:t>公务接待费</w:t>
            </w:r>
          </w:p>
        </w:tc>
      </w:tr>
      <w:tr>
        <w:trPr>
          <w:trHeight w:val="737"/>
        </w:trPr>
        <w:tc>
          <w:tcPr>
            <w:tcW w:w="1089" w:type="dxa"/>
            <w:vMerge/>
            <w:tcBorders>
              <w:top w:val="nil"/>
              <w:tl2br w:val="nil"/>
              <w:tr2bl w:val="nil"/>
            </w:tcBorders>
          </w:tcPr>
          <w:p/>
        </w:tc>
        <w:tc>
          <w:tcPr>
            <w:tcW w:w="1319" w:type="dxa"/>
            <w:vMerge/>
            <w:tcBorders>
              <w:top w:val="nil"/>
              <w:tl2br w:val="nil"/>
              <w:tr2bl w:val="nil"/>
            </w:tcBorders>
          </w:tcPr>
          <w:p/>
        </w:tc>
        <w:tc>
          <w:tcPr>
            <w:tcW w:w="1079" w:type="dxa"/>
            <w:tcBorders>
              <w:tl2br w:val="nil"/>
              <w:tr2bl w:val="nil"/>
            </w:tcBorders>
          </w:tcPr>
          <w:p>
            <w:pPr>
              <w:pStyle w:val="3298"/>
              <w:spacing w:before="246" w:line="180" w:lineRule="auto"/>
              <w:ind w:firstLine="327"/>
              <w:rPr>
                <w:rFonts w:ascii="Times New Roman" w:eastAsia="宋体" w:cs="Times New Roman" w:hAnsi="Times New Roman"/>
                <w:lang w:bidi="ar-SA"/>
                <w:highlight w:val="auto"/>
              </w:rPr>
            </w:pPr>
            <w:r>
              <w:rPr>
                <w:rFonts w:ascii="Times New Roman" w:eastAsia="宋体" w:cs="Times New Roman" w:hAnsi="Times New Roman"/>
                <w:spacing w:val="-2"/>
                <w:lang w:bidi="ar-SA"/>
                <w:highlight w:val="auto"/>
              </w:rPr>
              <w:t>小计</w:t>
            </w:r>
          </w:p>
        </w:tc>
        <w:tc>
          <w:tcPr>
            <w:tcW w:w="1154" w:type="dxa"/>
            <w:tcBorders>
              <w:tl2br w:val="nil"/>
              <w:tr2bl w:val="nil"/>
            </w:tcBorders>
          </w:tcPr>
          <w:p>
            <w:pPr>
              <w:pStyle w:val="3298"/>
              <w:spacing w:before="92" w:line="204" w:lineRule="auto"/>
              <w:ind w:left="259" w:right="152" w:hanging="107"/>
              <w:rPr>
                <w:rFonts w:ascii="Times New Roman" w:eastAsia="宋体" w:cs="Times New Roman" w:hAnsi="Times New Roman"/>
                <w:lang w:bidi="ar-SA"/>
                <w:highlight w:val="auto"/>
              </w:rPr>
            </w:pPr>
            <w:r>
              <w:rPr>
                <w:rFonts w:ascii="Times New Roman" w:eastAsia="宋体" w:cs="Times New Roman" w:hAnsi="Times New Roman"/>
                <w:spacing w:val="-1"/>
                <w:lang w:bidi="ar-SA"/>
                <w:highlight w:val="auto"/>
              </w:rPr>
              <w:t>公务用车</w:t>
            </w:r>
            <w:r>
              <w:rPr>
                <w:rFonts w:ascii="Times New Roman" w:eastAsia="宋体" w:cs="Times New Roman" w:hAnsi="Times New Roman"/>
                <w:spacing w:val="3"/>
                <w:lang w:bidi="ar-SA"/>
                <w:highlight w:val="auto"/>
              </w:rPr>
              <w:t xml:space="preserve"> </w:t>
            </w:r>
            <w:r>
              <w:rPr>
                <w:rFonts w:ascii="Times New Roman" w:eastAsia="宋体" w:cs="Times New Roman" w:hAnsi="Times New Roman"/>
                <w:spacing w:val="-1"/>
                <w:lang w:bidi="ar-SA"/>
                <w:highlight w:val="auto"/>
              </w:rPr>
              <w:t>购置费</w:t>
            </w:r>
          </w:p>
        </w:tc>
        <w:tc>
          <w:tcPr>
            <w:tcW w:w="1319" w:type="dxa"/>
            <w:tcBorders>
              <w:tl2br w:val="nil"/>
              <w:tr2bl w:val="nil"/>
            </w:tcBorders>
          </w:tcPr>
          <w:p>
            <w:pPr>
              <w:pStyle w:val="3298"/>
              <w:spacing w:before="92" w:line="204" w:lineRule="auto"/>
              <w:ind w:left="345" w:right="232" w:hanging="108"/>
              <w:rPr>
                <w:rFonts w:ascii="Times New Roman" w:eastAsia="宋体" w:cs="Times New Roman" w:hAnsi="Times New Roman"/>
                <w:lang w:bidi="ar-SA"/>
                <w:highlight w:val="auto"/>
              </w:rPr>
            </w:pPr>
            <w:r>
              <w:rPr>
                <w:rFonts w:ascii="Times New Roman" w:eastAsia="宋体" w:cs="Times New Roman" w:hAnsi="Times New Roman"/>
                <w:spacing w:val="-1"/>
                <w:lang w:bidi="ar-SA"/>
                <w:highlight w:val="auto"/>
              </w:rPr>
              <w:t>公务用车</w:t>
            </w:r>
            <w:r>
              <w:rPr>
                <w:rFonts w:ascii="Times New Roman" w:eastAsia="宋体" w:cs="Times New Roman" w:hAnsi="Times New Roman"/>
                <w:spacing w:val="3"/>
                <w:lang w:bidi="ar-SA"/>
                <w:highlight w:val="auto"/>
              </w:rPr>
              <w:t xml:space="preserve"> </w:t>
            </w:r>
            <w:r>
              <w:rPr>
                <w:rFonts w:ascii="Times New Roman" w:eastAsia="宋体" w:cs="Times New Roman" w:hAnsi="Times New Roman"/>
                <w:spacing w:val="-2"/>
                <w:lang w:bidi="ar-SA"/>
                <w:highlight w:val="auto"/>
              </w:rPr>
              <w:t>运行费</w:t>
            </w:r>
          </w:p>
        </w:tc>
        <w:tc>
          <w:tcPr>
            <w:tcW w:w="1439" w:type="dxa"/>
            <w:vMerge/>
            <w:tcBorders>
              <w:top w:val="nil"/>
              <w:tl2br w:val="nil"/>
              <w:tr2bl w:val="nil"/>
            </w:tcBorders>
          </w:tcPr>
          <w:p/>
        </w:tc>
        <w:tc>
          <w:tcPr>
            <w:tcW w:w="1080" w:type="dxa"/>
            <w:vMerge/>
            <w:tcBorders>
              <w:top w:val="nil"/>
              <w:tl2br w:val="nil"/>
              <w:tr2bl w:val="nil"/>
            </w:tcBorders>
          </w:tcPr>
          <w:p/>
        </w:tc>
        <w:tc>
          <w:tcPr>
            <w:tcW w:w="1319" w:type="dxa"/>
            <w:vMerge/>
            <w:tcBorders>
              <w:top w:val="nil"/>
              <w:tl2br w:val="nil"/>
              <w:tr2bl w:val="nil"/>
            </w:tcBorders>
          </w:tcPr>
          <w:p/>
        </w:tc>
        <w:tc>
          <w:tcPr>
            <w:tcW w:w="1080" w:type="dxa"/>
            <w:tcBorders>
              <w:tl2br w:val="nil"/>
              <w:tr2bl w:val="nil"/>
            </w:tcBorders>
          </w:tcPr>
          <w:p>
            <w:pPr>
              <w:pStyle w:val="3298"/>
              <w:spacing w:before="246" w:line="180" w:lineRule="auto"/>
              <w:ind w:firstLine="332"/>
              <w:rPr>
                <w:rFonts w:ascii="Times New Roman" w:eastAsia="宋体" w:cs="Times New Roman" w:hAnsi="Times New Roman"/>
                <w:lang w:bidi="ar-SA"/>
                <w:highlight w:val="auto"/>
              </w:rPr>
            </w:pPr>
            <w:r>
              <w:rPr>
                <w:rFonts w:ascii="Times New Roman" w:eastAsia="宋体" w:cs="Times New Roman" w:hAnsi="Times New Roman"/>
                <w:spacing w:val="-2"/>
                <w:lang w:bidi="ar-SA"/>
                <w:highlight w:val="auto"/>
              </w:rPr>
              <w:t>小计</w:t>
            </w:r>
          </w:p>
        </w:tc>
        <w:tc>
          <w:tcPr>
            <w:tcW w:w="1320" w:type="dxa"/>
            <w:tcBorders>
              <w:tl2br w:val="nil"/>
              <w:tr2bl w:val="nil"/>
            </w:tcBorders>
          </w:tcPr>
          <w:p>
            <w:pPr>
              <w:pStyle w:val="3298"/>
              <w:spacing w:before="92" w:line="204" w:lineRule="auto"/>
              <w:ind w:left="345" w:right="229" w:hanging="105"/>
              <w:rPr>
                <w:rFonts w:ascii="Times New Roman" w:eastAsia="宋体" w:cs="Times New Roman" w:hAnsi="Times New Roman"/>
                <w:lang w:bidi="ar-SA"/>
                <w:highlight w:val="auto"/>
              </w:rPr>
            </w:pPr>
            <w:r>
              <w:rPr>
                <w:rFonts w:ascii="Times New Roman" w:eastAsia="宋体" w:cs="Times New Roman" w:hAnsi="Times New Roman"/>
                <w:spacing w:val="-1"/>
                <w:lang w:bidi="ar-SA"/>
                <w:highlight w:val="auto"/>
              </w:rPr>
              <w:t>公务用车</w:t>
            </w:r>
            <w:r>
              <w:rPr>
                <w:rFonts w:ascii="Times New Roman" w:eastAsia="宋体" w:cs="Times New Roman" w:hAnsi="Times New Roman"/>
                <w:spacing w:val="3"/>
                <w:w w:val="101"/>
                <w:lang w:bidi="ar-SA"/>
                <w:highlight w:val="auto"/>
              </w:rPr>
              <w:t xml:space="preserve"> </w:t>
            </w:r>
            <w:r>
              <w:rPr>
                <w:rFonts w:ascii="Times New Roman" w:eastAsia="宋体" w:cs="Times New Roman" w:hAnsi="Times New Roman"/>
                <w:spacing w:val="-1"/>
                <w:lang w:bidi="ar-SA"/>
                <w:highlight w:val="auto"/>
              </w:rPr>
              <w:t>购置费</w:t>
            </w:r>
          </w:p>
        </w:tc>
        <w:tc>
          <w:tcPr>
            <w:tcW w:w="1319" w:type="dxa"/>
            <w:tcBorders>
              <w:tl2br w:val="nil"/>
              <w:tr2bl w:val="nil"/>
            </w:tcBorders>
          </w:tcPr>
          <w:p>
            <w:pPr>
              <w:pStyle w:val="3298"/>
              <w:spacing w:before="92" w:line="204" w:lineRule="auto"/>
              <w:ind w:left="349" w:right="228" w:hanging="108"/>
              <w:rPr>
                <w:rFonts w:ascii="Times New Roman" w:eastAsia="宋体" w:cs="Times New Roman" w:hAnsi="Times New Roman"/>
                <w:lang w:bidi="ar-SA"/>
                <w:highlight w:val="auto"/>
              </w:rPr>
            </w:pPr>
            <w:r>
              <w:rPr>
                <w:rFonts w:ascii="Times New Roman" w:eastAsia="宋体" w:cs="Times New Roman" w:hAnsi="Times New Roman"/>
                <w:spacing w:val="-1"/>
                <w:lang w:bidi="ar-SA"/>
                <w:highlight w:val="auto"/>
              </w:rPr>
              <w:t>公务用车</w:t>
            </w:r>
            <w:r>
              <w:rPr>
                <w:rFonts w:ascii="Times New Roman" w:eastAsia="宋体" w:cs="Times New Roman" w:hAnsi="Times New Roman"/>
                <w:spacing w:val="3"/>
                <w:lang w:bidi="ar-SA"/>
                <w:highlight w:val="auto"/>
              </w:rPr>
              <w:t xml:space="preserve"> </w:t>
            </w:r>
            <w:r>
              <w:rPr>
                <w:rFonts w:ascii="Times New Roman" w:eastAsia="宋体" w:cs="Times New Roman" w:hAnsi="Times New Roman"/>
                <w:spacing w:val="-2"/>
                <w:lang w:bidi="ar-SA"/>
                <w:highlight w:val="auto"/>
              </w:rPr>
              <w:t>运行费</w:t>
            </w:r>
          </w:p>
        </w:tc>
        <w:tc>
          <w:tcPr>
            <w:tcW w:w="1446" w:type="dxa"/>
            <w:vMerge/>
            <w:tcBorders>
              <w:top w:val="nil"/>
              <w:tl2br w:val="nil"/>
              <w:tr2bl w:val="nil"/>
            </w:tcBorders>
          </w:tcPr>
          <w:p/>
        </w:tc>
      </w:tr>
      <w:tr>
        <w:trPr>
          <w:trHeight w:val="1345"/>
        </w:trPr>
        <w:tc>
          <w:tcPr>
            <w:tcW w:w="1089" w:type="dxa"/>
            <w:tcBorders>
              <w:tl2br w:val="nil"/>
              <w:tr2bl w:val="nil"/>
            </w:tcBorders>
            <w:vAlign w:val="center"/>
          </w:tcPr>
          <w:p>
            <w:pPr>
              <w:pStyle w:val="3299"/>
              <w:spacing w:before="60" w:line="192" w:lineRule="auto"/>
              <w:jc w:val="center"/>
              <w:rPr>
                <w:rFonts w:ascii="Times New Roman" w:eastAsia="宋体" w:cs="Times New Roman" w:hAnsi="Times New Roman"/>
                <w:lang w:bidi="ar-SA"/>
                <w:highlight w:val="auto"/>
              </w:rPr>
            </w:pPr>
            <w:r>
              <w:rPr>
                <w:rFonts w:ascii="Times New Roman" w:eastAsia="宋体" w:cs="Times New Roman" w:hAnsi="Times New Roman"/>
                <w:lang w:bidi="ar-SA"/>
                <w:highlight w:val="auto"/>
              </w:rPr>
              <w:t>16.50</w:t>
            </w:r>
          </w:p>
        </w:tc>
        <w:tc>
          <w:tcPr>
            <w:tcW w:w="1319" w:type="dxa"/>
            <w:tcBorders>
              <w:tl2br w:val="nil"/>
              <w:tr2bl w:val="nil"/>
            </w:tcBorders>
            <w:vAlign w:val="center"/>
          </w:tcPr>
          <w:p>
            <w:pPr>
              <w:pStyle w:val="3300"/>
              <w:spacing w:before="60" w:line="192" w:lineRule="auto"/>
              <w:jc w:val="right"/>
              <w:rPr>
                <w:rFonts w:ascii="Times New Roman" w:eastAsia="宋体" w:cs="Times New Roman" w:hAnsi="Times New Roman"/>
                <w:lang w:bidi="ar-SA"/>
                <w:highlight w:val="auto"/>
              </w:rPr>
            </w:pPr>
          </w:p>
        </w:tc>
        <w:tc>
          <w:tcPr>
            <w:tcW w:w="1079" w:type="dxa"/>
            <w:tcBorders>
              <w:tl2br w:val="nil"/>
              <w:tr2bl w:val="nil"/>
            </w:tcBorders>
            <w:vAlign w:val="center"/>
          </w:tcPr>
          <w:p>
            <w:pPr>
              <w:pStyle w:val="3301"/>
              <w:spacing w:before="60" w:line="192" w:lineRule="auto"/>
              <w:jc w:val="right"/>
              <w:rPr>
                <w:rFonts w:ascii="Times New Roman" w:eastAsia="宋体" w:cs="Times New Roman" w:hAnsi="Times New Roman"/>
                <w:lang w:bidi="ar-SA"/>
                <w:highlight w:val="auto"/>
              </w:rPr>
            </w:pPr>
          </w:p>
        </w:tc>
        <w:tc>
          <w:tcPr>
            <w:tcW w:w="1154" w:type="dxa"/>
            <w:tcBorders>
              <w:tl2br w:val="nil"/>
              <w:tr2bl w:val="nil"/>
            </w:tcBorders>
            <w:vAlign w:val="center"/>
          </w:tcPr>
          <w:p>
            <w:pPr>
              <w:pStyle w:val="3302"/>
              <w:spacing w:before="60" w:line="192" w:lineRule="auto"/>
              <w:jc w:val="right"/>
              <w:rPr>
                <w:rFonts w:ascii="Times New Roman" w:eastAsia="宋体" w:cs="Times New Roman" w:hAnsi="Times New Roman"/>
                <w:lang w:bidi="ar-SA"/>
                <w:highlight w:val="auto"/>
              </w:rPr>
            </w:pPr>
          </w:p>
        </w:tc>
        <w:tc>
          <w:tcPr>
            <w:tcW w:w="1319" w:type="dxa"/>
            <w:tcBorders>
              <w:tl2br w:val="nil"/>
              <w:tr2bl w:val="nil"/>
            </w:tcBorders>
            <w:vAlign w:val="center"/>
          </w:tcPr>
          <w:p>
            <w:pPr>
              <w:pStyle w:val="3303"/>
              <w:spacing w:before="60" w:line="192" w:lineRule="auto"/>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16.50</w:t>
            </w:r>
          </w:p>
        </w:tc>
        <w:tc>
          <w:tcPr>
            <w:tcW w:w="1439" w:type="dxa"/>
            <w:tcBorders>
              <w:tl2br w:val="nil"/>
              <w:tr2bl w:val="nil"/>
            </w:tcBorders>
            <w:vAlign w:val="center"/>
          </w:tcPr>
          <w:p>
            <w:pPr>
              <w:pStyle w:val="3304"/>
              <w:spacing w:before="60" w:line="192" w:lineRule="auto"/>
              <w:jc w:val="right"/>
              <w:rPr>
                <w:rFonts w:ascii="Times New Roman" w:eastAsia="宋体" w:cs="Times New Roman" w:hAnsi="Times New Roman"/>
                <w:lang w:bidi="ar-SA"/>
                <w:highlight w:val="auto"/>
              </w:rPr>
            </w:pPr>
          </w:p>
        </w:tc>
        <w:tc>
          <w:tcPr>
            <w:tcW w:w="1080" w:type="dxa"/>
            <w:tcBorders>
              <w:tl2br w:val="nil"/>
              <w:tr2bl w:val="nil"/>
            </w:tcBorders>
            <w:vAlign w:val="center"/>
          </w:tcPr>
          <w:p>
            <w:pPr>
              <w:pStyle w:val="3381"/>
              <w:spacing w:before="60" w:line="192" w:lineRule="auto"/>
              <w:jc w:val="center"/>
              <w:rPr>
                <w:rFonts w:ascii="Times New Roman" w:eastAsia="宋体" w:cs="Times New Roman" w:hAnsi="Times New Roman"/>
                <w:lang w:bidi="ar-SA"/>
                <w:highlight w:val="auto"/>
              </w:rPr>
            </w:pPr>
            <w:r>
              <w:rPr>
                <w:rFonts w:ascii="Times New Roman" w:eastAsia="宋体" w:cs="Times New Roman" w:hAnsi="Times New Roman"/>
                <w:lang w:bidi="ar-SA"/>
                <w:highlight w:val="auto"/>
              </w:rPr>
              <w:t>33.52</w:t>
            </w:r>
          </w:p>
        </w:tc>
        <w:tc>
          <w:tcPr>
            <w:tcW w:w="1319" w:type="dxa"/>
            <w:tcBorders>
              <w:tl2br w:val="nil"/>
              <w:tr2bl w:val="nil"/>
            </w:tcBorders>
            <w:vAlign w:val="center"/>
          </w:tcPr>
          <w:p>
            <w:pPr>
              <w:pStyle w:val="3382"/>
              <w:spacing w:before="60" w:line="192" w:lineRule="auto"/>
              <w:jc w:val="right"/>
              <w:rPr>
                <w:rFonts w:ascii="Times New Roman" w:eastAsia="宋体" w:cs="Times New Roman" w:hAnsi="Times New Roman"/>
                <w:lang w:bidi="ar-SA"/>
                <w:highlight w:val="auto"/>
              </w:rPr>
            </w:pPr>
          </w:p>
        </w:tc>
        <w:tc>
          <w:tcPr>
            <w:tcW w:w="1080" w:type="dxa"/>
            <w:tcBorders>
              <w:tl2br w:val="nil"/>
              <w:tr2bl w:val="nil"/>
            </w:tcBorders>
            <w:vAlign w:val="center"/>
          </w:tcPr>
          <w:p>
            <w:pPr>
              <w:pStyle w:val="3383"/>
              <w:spacing w:before="60" w:line="192" w:lineRule="auto"/>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33.52</w:t>
            </w:r>
          </w:p>
        </w:tc>
        <w:tc>
          <w:tcPr>
            <w:tcW w:w="1320" w:type="dxa"/>
            <w:tcBorders>
              <w:tl2br w:val="nil"/>
              <w:tr2bl w:val="nil"/>
            </w:tcBorders>
            <w:vAlign w:val="center"/>
          </w:tcPr>
          <w:p>
            <w:pPr>
              <w:pStyle w:val="3384"/>
              <w:spacing w:before="60" w:line="192" w:lineRule="auto"/>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18.00</w:t>
            </w:r>
          </w:p>
        </w:tc>
        <w:tc>
          <w:tcPr>
            <w:tcW w:w="1319" w:type="dxa"/>
            <w:tcBorders>
              <w:tl2br w:val="nil"/>
              <w:tr2bl w:val="nil"/>
            </w:tcBorders>
            <w:vAlign w:val="center"/>
          </w:tcPr>
          <w:p>
            <w:pPr>
              <w:pStyle w:val="3385"/>
              <w:spacing w:before="60" w:line="192" w:lineRule="auto"/>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15.52</w:t>
            </w:r>
          </w:p>
        </w:tc>
        <w:tc>
          <w:tcPr>
            <w:tcW w:w="1446" w:type="dxa"/>
            <w:tcBorders>
              <w:tl2br w:val="nil"/>
              <w:tr2bl w:val="nil"/>
            </w:tcBorders>
            <w:vAlign w:val="center"/>
          </w:tcPr>
          <w:p>
            <w:pPr>
              <w:pStyle w:val="3298"/>
              <w:spacing w:before="60" w:line="192" w:lineRule="auto"/>
              <w:ind w:firstLine="621"/>
              <w:jc w:val="right"/>
              <w:rPr>
                <w:rFonts w:ascii="Times New Roman" w:eastAsia="宋体" w:cs="Times New Roman" w:hAnsi="Times New Roman"/>
                <w:lang w:bidi="ar-SA"/>
                <w:highlight w:val="auto"/>
              </w:rPr>
            </w:pPr>
          </w:p>
        </w:tc>
      </w:tr>
    </w:tbl>
    <w:p>
      <w:pPr>
        <w:pStyle w:val="2334"/>
        <w:kinsoku w:val="0"/>
        <w:wordWrap w:val="0"/>
        <w:autoSpaceDE w:val="0"/>
        <w:autoSpaceDN w:val="0"/>
        <w:spacing w:before="149" w:line="180" w:lineRule="auto"/>
        <w:ind w:firstLine="12184"/>
        <w:jc w:val="right"/>
        <w:rPr>
          <w:rFonts w:ascii="Times New Roman" w:eastAsia="宋体" w:cs="Microsoft JhengHei" w:hAnsi="Times New Roman"/>
          <w:sz w:val="20"/>
          <w:szCs w:val="20"/>
        </w:rPr>
        <w:sectPr>
          <w:pgSz w:w="16841" w:h="11907" w:orient="landscape"/>
          <w:pgMar w:top="1431" w:right="638" w:bottom="0" w:left="451" w:header="0" w:footer="0" w:gutter="0"/>
          <w:pgNumType/>
          <w:docGrid w:linePitch="285" w:charSpace="0"/>
        </w:sectPr>
      </w:pPr>
      <w:r>
        <w:rPr>
          <w:rFonts w:ascii="Times New Roman" w:eastAsia="宋体" w:cs="Microsoft JhengHei" w:hAnsi="Times New Roman" w:hint="eastAsia"/>
          <w:spacing w:val="-1"/>
          <w:sz w:val="20"/>
          <w:szCs w:val="20"/>
          <w:lang w:bidi="ar-SA"/>
          <w:highlight w:val="auto"/>
        </w:rPr>
        <w:t xml:space="preserve">         </w:t>
      </w:r>
    </w:p>
    <w:p>
      <w:pPr>
        <w:pStyle w:val="2325"/>
        <w:rPr>
          <w:rFonts w:ascii="Times New Roman" w:eastAsia="宋体" w:hAnsi="Times New Roman"/>
          <w:highlight w:val="auto"/>
        </w:rPr>
        <w:sectPr>
          <w:type w:val="continuous"/>
          <w:pgSz w:w="16841" w:h="11907" w:orient="landscape"/>
          <w:pgMar w:top="1431" w:right="638" w:bottom="0" w:left="451" w:header="0" w:footer="0" w:gutter="0"/>
          <w:pgNumType/>
          <w:docGrid w:linePitch="285" w:charSpace="0"/>
        </w:sectPr>
      </w:pPr>
    </w:p>
    <w:p>
      <w:pPr>
        <w:jc w:val="right"/>
        <w:rPr>
          <w:sz w:val="24"/>
          <w:highlight w:val="auto"/>
        </w:rPr>
      </w:pPr>
    </w:p>
    <w:p>
      <w:pPr>
        <w:jc w:val="right"/>
        <w:rPr>
          <w:sz w:val="24"/>
          <w:highlight w:val="auto"/>
        </w:rPr>
      </w:pPr>
    </w:p>
    <w:p>
      <w:pPr>
        <w:jc w:val="right"/>
        <w:rPr>
          <w:sz w:val="24"/>
          <w:highlight w:val="auto"/>
        </w:rPr>
      </w:pPr>
    </w:p>
    <w:p>
      <w:pPr>
        <w:jc w:val="right"/>
        <w:rPr>
          <w:sz w:val="24"/>
          <w:highlight w:val="auto"/>
        </w:rPr>
      </w:pPr>
    </w:p>
    <w:p>
      <w:pPr>
        <w:jc w:val="right"/>
        <w:rPr>
          <w:sz w:val="24"/>
          <w:highlight w:val="auto"/>
        </w:rPr>
      </w:pPr>
    </w:p>
    <w:p>
      <w:pPr>
        <w:jc w:val="right"/>
        <w:rPr>
          <w:sz w:val="24"/>
          <w:highlight w:val="auto"/>
        </w:rPr>
      </w:pPr>
    </w:p>
    <w:p>
      <w:pPr>
        <w:jc w:val="right"/>
        <w:rPr>
          <w:sz w:val="24"/>
          <w:highlight w:val="auto"/>
        </w:rPr>
      </w:pPr>
    </w:p>
    <w:p>
      <w:pPr>
        <w:jc w:val="right"/>
        <w:rPr>
          <w:highlight w:val="auto"/>
        </w:rPr>
      </w:pPr>
    </w:p>
    <w:p>
      <w:pPr>
        <w:rPr>
          <w:b/>
          <w:sz w:val="44"/>
          <w:szCs w:val="44"/>
          <w:highlight w:val="auto"/>
        </w:rPr>
      </w:pPr>
    </w:p>
    <w:p>
      <w:pPr>
        <w:jc w:val="center"/>
        <w:rPr>
          <w:b/>
          <w:sz w:val="84"/>
          <w:szCs w:val="84"/>
          <w:highlight w:val="auto"/>
        </w:rPr>
      </w:pPr>
    </w:p>
    <w:p>
      <w:pPr>
        <w:jc w:val="center"/>
        <w:rPr>
          <w:b/>
          <w:sz w:val="84"/>
          <w:szCs w:val="84"/>
          <w:highlight w:val="auto"/>
        </w:rPr>
      </w:pPr>
      <w:r>
        <w:rPr>
          <w:rFonts w:hint="eastAsia"/>
          <w:b/>
          <w:sz w:val="84"/>
          <w:szCs w:val="84"/>
          <w:highlight w:val="auto"/>
        </w:rPr>
        <w:t>第三部分</w:t>
      </w:r>
      <w:r>
        <w:rPr>
          <w:b/>
          <w:sz w:val="84"/>
          <w:szCs w:val="84"/>
          <w:highlight w:val="auto"/>
        </w:rPr>
        <w:t xml:space="preserve">  </w:t>
      </w:r>
    </w:p>
    <w:p>
      <w:pPr>
        <w:jc w:val="center"/>
        <w:rPr>
          <w:rFonts w:hint="eastAsia"/>
          <w:b/>
          <w:sz w:val="80"/>
          <w:szCs w:val="80"/>
          <w:highlight w:val="auto"/>
        </w:rPr>
      </w:pPr>
      <w:r>
        <w:rPr>
          <w:b/>
          <w:sz w:val="80"/>
          <w:szCs w:val="80"/>
        </w:rPr>
        <w:t>集宁</w:t>
      </w:r>
      <w:r>
        <w:rPr>
          <w:rFonts w:hint="eastAsia"/>
          <w:b/>
          <w:sz w:val="80"/>
          <w:szCs w:val="80"/>
          <w:highlight w:val="auto"/>
        </w:rPr>
        <w:t>海关</w:t>
      </w:r>
      <w:r>
        <w:rPr>
          <w:b/>
          <w:sz w:val="80"/>
          <w:szCs w:val="80"/>
          <w:highlight w:val="auto"/>
        </w:rPr>
        <w:t>2024</w:t>
      </w:r>
      <w:r>
        <w:rPr>
          <w:rFonts w:hint="eastAsia"/>
          <w:b/>
          <w:sz w:val="80"/>
          <w:szCs w:val="80"/>
          <w:highlight w:val="auto"/>
        </w:rPr>
        <w:t>年</w:t>
      </w:r>
    </w:p>
    <w:p>
      <w:pPr>
        <w:jc w:val="center"/>
        <w:rPr>
          <w:b/>
          <w:sz w:val="80"/>
          <w:szCs w:val="80"/>
          <w:highlight w:val="auto"/>
        </w:rPr>
      </w:pPr>
      <w:r>
        <w:rPr>
          <w:rFonts w:hint="eastAsia"/>
          <w:b/>
          <w:sz w:val="80"/>
          <w:szCs w:val="80"/>
          <w:highlight w:val="auto"/>
        </w:rPr>
        <w:t>部门预算情况说明</w:t>
      </w:r>
    </w:p>
    <w:p>
      <w:pPr>
        <w:pStyle w:val="30"/>
        <w:spacing w:line="560" w:lineRule="exact"/>
        <w:rPr>
          <w:b/>
          <w:sz w:val="84"/>
          <w:szCs w:val="84"/>
          <w:highlight w:val="auto"/>
        </w:rPr>
      </w:pPr>
    </w:p>
    <w:p>
      <w:pPr>
        <w:rPr>
          <w:b/>
          <w:sz w:val="84"/>
          <w:szCs w:val="84"/>
          <w:highlight w:val="auto"/>
        </w:rPr>
      </w:pPr>
    </w:p>
    <w:p>
      <w:pPr>
        <w:rPr>
          <w:b/>
          <w:sz w:val="84"/>
          <w:szCs w:val="84"/>
          <w:highlight w:val="auto"/>
        </w:rPr>
      </w:pPr>
    </w:p>
    <w:p>
      <w:pPr>
        <w:rPr>
          <w:b/>
          <w:sz w:val="84"/>
          <w:szCs w:val="84"/>
          <w:highlight w:val="auto"/>
        </w:rPr>
      </w:pPr>
    </w:p>
    <w:p>
      <w:pPr>
        <w:rPr>
          <w:b/>
          <w:sz w:val="84"/>
          <w:szCs w:val="84"/>
          <w:highlight w:val="auto"/>
        </w:rPr>
      </w:pPr>
    </w:p>
    <w:p>
      <w:pPr>
        <w:rPr>
          <w:b/>
          <w:sz w:val="84"/>
          <w:szCs w:val="84"/>
          <w:highlight w:val="auto"/>
        </w:rPr>
      </w:pPr>
    </w:p>
    <w:p>
      <w:pPr>
        <w:jc w:val="left"/>
        <w:rPr>
          <w:rFonts w:eastAsia="方正仿宋_GBK"/>
          <w:sz w:val="32"/>
          <w:szCs w:val="32"/>
          <w:highlight w:val="auto"/>
        </w:rPr>
      </w:pPr>
    </w:p>
    <w:p>
      <w:pPr>
        <w:pStyle w:val="30"/>
        <w:spacing w:line="560" w:lineRule="exact"/>
        <w:ind w:firstLineChars="200" w:firstLine="640"/>
        <w:rPr>
          <w:rFonts w:eastAsia="方正仿宋_GBK"/>
          <w:sz w:val="32"/>
          <w:szCs w:val="32"/>
          <w:highlight w:val="auto"/>
        </w:rPr>
      </w:pPr>
      <w:r>
        <w:rPr>
          <w:rFonts w:eastAsia="方正仿宋_GBK" w:hint="eastAsia"/>
          <w:sz w:val="32"/>
          <w:szCs w:val="32"/>
          <w:highlight w:val="auto"/>
        </w:rPr>
        <w:br w:type="page"/>
      </w:r>
    </w:p>
    <w:p>
      <w:pPr>
        <w:pStyle w:val="30"/>
        <w:spacing w:line="560" w:lineRule="exact"/>
        <w:ind w:firstLineChars="200" w:firstLine="640"/>
        <w:rPr>
          <w:rFonts w:eastAsia="方正仿宋_GBK" w:hint="eastAsia"/>
          <w:sz w:val="32"/>
          <w:szCs w:val="32"/>
          <w:highlight w:val="auto"/>
        </w:rPr>
      </w:pPr>
      <w:r>
        <w:rPr>
          <w:rFonts w:eastAsia="方正黑体_GBK"/>
          <w:sz w:val="32"/>
          <w:szCs w:val="32"/>
          <w:highlight w:val="auto"/>
        </w:rPr>
        <w:t>一、关于2024年收支预算情况的总体说明</w:t>
      </w:r>
    </w:p>
    <w:p>
      <w:pPr>
        <w:pStyle w:val="30"/>
        <w:spacing w:line="560" w:lineRule="exact"/>
        <w:ind w:firstLineChars="200" w:firstLine="640"/>
        <w:rPr>
          <w:rFonts w:eastAsia="方正仿宋_GBK"/>
          <w:sz w:val="32"/>
          <w:szCs w:val="32"/>
          <w:highlight w:val="auto"/>
        </w:rPr>
      </w:pPr>
      <w:r>
        <w:rPr>
          <w:rFonts w:eastAsia="方正仿宋_GBK"/>
          <w:sz w:val="32"/>
          <w:szCs w:val="32"/>
          <w:highlight w:val="auto"/>
        </w:rPr>
        <w:t>按照综合预算的原则，</w:t>
      </w:r>
      <w:r>
        <w:rPr>
          <w:rFonts w:eastAsia="方正仿宋_GBK"/>
          <w:sz w:val="32"/>
          <w:szCs w:val="32"/>
        </w:rPr>
        <w:t>集宁</w:t>
      </w:r>
      <w:r>
        <w:rPr>
          <w:rFonts w:eastAsia="方正仿宋_GBK"/>
          <w:sz w:val="32"/>
          <w:szCs w:val="32"/>
          <w:highlight w:val="auto"/>
        </w:rPr>
        <w:t>海关所有收入和支出均纳入部门预算管理。收入包括：一般公共预算拨款收入、其他收入、上年结转；支出包括：一般公共服务支出、社会保障和就业支出、卫生健康支出、住房保障支出。</w:t>
      </w:r>
      <w:r>
        <w:rPr>
          <w:rFonts w:eastAsia="方正仿宋_GBK"/>
          <w:sz w:val="32"/>
          <w:szCs w:val="32"/>
        </w:rPr>
        <w:t>集宁</w:t>
      </w:r>
      <w:r>
        <w:rPr>
          <w:rFonts w:eastAsia="方正仿宋_GBK"/>
          <w:sz w:val="32"/>
          <w:szCs w:val="32"/>
          <w:highlight w:val="auto"/>
        </w:rPr>
        <w:t>海关2024年收支总预算</w:t>
      </w:r>
      <w:r>
        <w:rPr>
          <w:rFonts w:eastAsia="方正仿宋_GBK"/>
          <w:sz w:val="32"/>
          <w:szCs w:val="32"/>
        </w:rPr>
        <w:t>集宁</w:t>
      </w:r>
      <w:r>
        <w:rPr>
          <w:rFonts w:eastAsia="方正仿宋_GBK"/>
          <w:sz w:val="32"/>
          <w:szCs w:val="32"/>
          <w:highlight w:val="auto"/>
        </w:rPr>
        <w:t>896.27万元。</w:t>
      </w:r>
    </w:p>
    <w:p>
      <w:pPr>
        <w:pStyle w:val="30"/>
        <w:spacing w:line="560" w:lineRule="exact"/>
        <w:ind w:firstLineChars="200" w:firstLine="640"/>
        <w:rPr>
          <w:rFonts w:eastAsia="方正黑体_GBK"/>
          <w:sz w:val="32"/>
          <w:szCs w:val="32"/>
          <w:highlight w:val="auto"/>
        </w:rPr>
      </w:pPr>
      <w:r>
        <w:rPr>
          <w:rFonts w:eastAsia="方正黑体_GBK"/>
          <w:sz w:val="32"/>
          <w:szCs w:val="32"/>
          <w:highlight w:val="auto"/>
        </w:rPr>
        <w:t>二、关于2024年收入预算情况说明</w:t>
      </w:r>
    </w:p>
    <w:p>
      <w:pPr>
        <w:pStyle w:val="30"/>
        <w:spacing w:line="560" w:lineRule="exact"/>
        <w:ind w:firstLineChars="200" w:firstLine="640"/>
        <w:rPr>
          <w:rFonts w:eastAsia="方正仿宋_GBK"/>
          <w:sz w:val="32"/>
          <w:szCs w:val="32"/>
          <w:highlight w:val="auto"/>
        </w:rPr>
      </w:pPr>
      <w:r>
        <w:rPr>
          <w:rFonts w:eastAsia="方正仿宋_GBK"/>
          <w:sz w:val="32"/>
          <w:szCs w:val="32"/>
        </w:rPr>
        <w:t>集宁</w:t>
      </w:r>
      <w:r>
        <w:rPr>
          <w:rFonts w:eastAsia="方正仿宋_GBK"/>
          <w:sz w:val="32"/>
          <w:szCs w:val="32"/>
          <w:highlight w:val="auto"/>
        </w:rPr>
        <w:t>海关2024年收入预算896.27万元，其中：上年结转76.91万元，占8.58%；一般公共预算财政拨款669.16万元，占74.66%；其他收入150.20万元，占16.76%。</w:t>
      </w:r>
    </w:p>
    <w:p>
      <w:pPr>
        <w:pStyle w:val="30"/>
        <w:spacing w:line="560" w:lineRule="exact"/>
        <w:ind w:firstLine="644"/>
        <w:rPr>
          <w:sz w:val="32"/>
          <w:szCs w:val="32"/>
          <w:highlight w:val="auto"/>
        </w:rPr>
      </w:pPr>
      <w: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position:absolute;margin-left:43.449833pt;margin-top:8.312381pt;width:405.5555pt;height:233.09135pt;z-index:17;mso-position-horizontal:absolute;mso-position-vertical:absolute;mso-wrap-distance-left:6.749897pt;mso-wrap-distance-right:6.749897pt;" o:ole="">
            <v:stroke color="#000000"/>
            <v:imagedata r:id="rId5" o:title="2013741021714437709468"/>
            <o:lock aspectratio="t"/>
            <w10:wrap type="square"/>
          </v:shape>
          <o:OLEObject Type="Embed" ProgID="Package" ShapeID="_x0000_i1" DrawAspect="Icon" ObjectID="_1393063351" r:id="rId6"/>
        </w:object>
      </w:r>
    </w:p>
    <w:p>
      <w:pPr>
        <w:pStyle w:val="30"/>
        <w:spacing w:line="560" w:lineRule="exact"/>
        <w:ind w:firstLine="644"/>
        <w:jc w:val="left"/>
        <w:rPr>
          <w:highlight w:val="auto"/>
        </w:rPr>
      </w:pPr>
    </w:p>
    <w:p>
      <w:pPr>
        <w:pStyle w:val="30"/>
        <w:spacing w:line="560" w:lineRule="exact"/>
        <w:ind w:firstLine="644"/>
        <w:jc w:val="left"/>
        <w:rPr>
          <w:highlight w:val="auto"/>
        </w:rPr>
      </w:pPr>
    </w:p>
    <w:p>
      <w:pPr>
        <w:pStyle w:val="30"/>
        <w:spacing w:line="560" w:lineRule="exact"/>
        <w:ind w:firstLine="644"/>
        <w:jc w:val="left"/>
        <w:rPr>
          <w:highlight w:val="auto"/>
        </w:rPr>
      </w:pPr>
    </w:p>
    <w:p>
      <w:pPr>
        <w:pStyle w:val="30"/>
        <w:spacing w:line="560" w:lineRule="exact"/>
        <w:ind w:firstLine="644"/>
        <w:jc w:val="left"/>
        <w:rPr>
          <w:highlight w:val="auto"/>
        </w:rPr>
      </w:pPr>
    </w:p>
    <w:p>
      <w:pPr>
        <w:pStyle w:val="30"/>
        <w:spacing w:line="560" w:lineRule="exact"/>
        <w:ind w:firstLine="644"/>
        <w:jc w:val="left"/>
        <w:rPr>
          <w:highlight w:val="auto"/>
        </w:rPr>
      </w:pPr>
    </w:p>
    <w:p>
      <w:pPr>
        <w:pStyle w:val="30"/>
        <w:spacing w:line="560" w:lineRule="exact"/>
        <w:ind w:firstLine="644"/>
        <w:jc w:val="left"/>
        <w:rPr>
          <w:highlight w:val="auto"/>
        </w:rPr>
      </w:pPr>
    </w:p>
    <w:p>
      <w:pPr>
        <w:pStyle w:val="30"/>
        <w:spacing w:line="560" w:lineRule="exact"/>
        <w:ind w:firstLine="644"/>
        <w:rPr>
          <w:sz w:val="32"/>
          <w:szCs w:val="32"/>
          <w:highlight w:val="auto"/>
        </w:rPr>
      </w:pPr>
    </w:p>
    <w:p>
      <w:pPr>
        <w:pStyle w:val="30"/>
        <w:spacing w:line="560" w:lineRule="exact"/>
        <w:ind w:firstLine="644"/>
        <w:rPr>
          <w:sz w:val="32"/>
          <w:szCs w:val="32"/>
          <w:highlight w:val="auto"/>
        </w:rPr>
      </w:pPr>
    </w:p>
    <w:p>
      <w:pPr>
        <w:pStyle w:val="30"/>
        <w:spacing w:line="560" w:lineRule="exact"/>
        <w:ind w:firstLineChars="200" w:firstLine="640"/>
        <w:rPr>
          <w:rFonts w:eastAsia="方正黑体_GBK" w:hint="eastAsia"/>
          <w:sz w:val="32"/>
          <w:szCs w:val="32"/>
          <w:highlight w:val="auto"/>
        </w:rPr>
      </w:pPr>
      <w:r>
        <w:rPr>
          <w:rFonts w:eastAsia="方正黑体_GBK" w:hint="eastAsia"/>
          <w:sz w:val="32"/>
          <w:szCs w:val="32"/>
          <w:highlight w:val="auto"/>
        </w:rPr>
        <w:t>三、关于</w:t>
      </w:r>
      <w:r>
        <w:rPr>
          <w:rFonts w:eastAsia="方正黑体_GBK"/>
          <w:sz w:val="32"/>
          <w:szCs w:val="32"/>
          <w:highlight w:val="auto"/>
        </w:rPr>
        <w:t>2024</w:t>
      </w:r>
      <w:r>
        <w:rPr>
          <w:rFonts w:eastAsia="方正黑体_GBK" w:hint="eastAsia"/>
          <w:sz w:val="32"/>
          <w:szCs w:val="32"/>
          <w:highlight w:val="auto"/>
        </w:rPr>
        <w:t>年支出预算情况说明</w:t>
      </w:r>
    </w:p>
    <w:p>
      <w:pPr>
        <w:pStyle w:val="30"/>
        <w:spacing w:line="560" w:lineRule="exact"/>
        <w:ind w:firstLineChars="200" w:firstLine="640"/>
        <w:rPr>
          <w:sz w:val="32"/>
          <w:szCs w:val="32"/>
          <w:highlight w:val="auto"/>
        </w:rPr>
      </w:pPr>
      <w:r>
        <w:rPr>
          <w:rFonts w:eastAsia="方正仿宋_GBK"/>
          <w:sz w:val="32"/>
          <w:szCs w:val="32"/>
        </w:rPr>
        <w:t>集宁</w:t>
      </w:r>
      <w:r>
        <w:rPr>
          <w:rFonts w:eastAsia="方正仿宋_GBK" w:hint="eastAsia"/>
          <w:sz w:val="32"/>
          <w:szCs w:val="32"/>
          <w:highlight w:val="auto"/>
        </w:rPr>
        <w:t>海关</w:t>
      </w:r>
      <w:r>
        <w:rPr>
          <w:rFonts w:eastAsia="方正仿宋_GBK"/>
          <w:sz w:val="32"/>
          <w:szCs w:val="32"/>
          <w:highlight w:val="auto"/>
        </w:rPr>
        <w:t>2024</w:t>
      </w:r>
      <w:r>
        <w:rPr>
          <w:rFonts w:eastAsia="方正仿宋_GBK" w:hint="eastAsia"/>
          <w:sz w:val="32"/>
          <w:szCs w:val="32"/>
          <w:highlight w:val="auto"/>
        </w:rPr>
        <w:t>年支出预算</w:t>
      </w:r>
      <w:r>
        <w:rPr>
          <w:rFonts w:eastAsia="方正仿宋_GBK"/>
          <w:sz w:val="32"/>
          <w:szCs w:val="32"/>
          <w:highlight w:val="auto"/>
        </w:rPr>
        <w:t>896.27</w:t>
      </w:r>
      <w:r>
        <w:rPr>
          <w:rFonts w:eastAsia="方正仿宋_GBK" w:hint="eastAsia"/>
          <w:sz w:val="32"/>
          <w:szCs w:val="32"/>
          <w:highlight w:val="auto"/>
        </w:rPr>
        <w:t>万元，其中：基本支出</w:t>
      </w:r>
      <w:r>
        <w:rPr>
          <w:rFonts w:eastAsia="方正仿宋_GBK"/>
          <w:sz w:val="32"/>
          <w:szCs w:val="32"/>
          <w:highlight w:val="auto"/>
        </w:rPr>
        <w:t>802.89</w:t>
      </w:r>
      <w:r>
        <w:rPr>
          <w:rFonts w:eastAsia="方正仿宋_GBK" w:hint="eastAsia"/>
          <w:sz w:val="32"/>
          <w:szCs w:val="32"/>
          <w:highlight w:val="auto"/>
        </w:rPr>
        <w:t>万元，占</w:t>
      </w:r>
      <w:r>
        <w:rPr>
          <w:rFonts w:eastAsia="方正仿宋_GBK"/>
          <w:sz w:val="32"/>
          <w:szCs w:val="32"/>
          <w:highlight w:val="auto"/>
        </w:rPr>
        <w:t>89.58%</w:t>
      </w:r>
      <w:r>
        <w:rPr>
          <w:rFonts w:eastAsia="方正仿宋_GBK" w:hint="eastAsia"/>
          <w:sz w:val="32"/>
          <w:szCs w:val="32"/>
          <w:highlight w:val="auto"/>
        </w:rPr>
        <w:t>；项目支出</w:t>
      </w:r>
      <w:r>
        <w:rPr>
          <w:rFonts w:eastAsia="方正仿宋_GBK"/>
          <w:sz w:val="32"/>
          <w:szCs w:val="32"/>
          <w:highlight w:val="auto"/>
        </w:rPr>
        <w:t>93.38</w:t>
      </w:r>
      <w:r>
        <w:rPr>
          <w:rFonts w:eastAsia="方正仿宋_GBK" w:hint="eastAsia"/>
          <w:sz w:val="32"/>
          <w:szCs w:val="32"/>
          <w:highlight w:val="auto"/>
        </w:rPr>
        <w:t>万元，占</w:t>
      </w:r>
      <w:r>
        <w:rPr>
          <w:rFonts w:eastAsia="方正仿宋_GBK"/>
          <w:sz w:val="32"/>
          <w:szCs w:val="32"/>
          <w:highlight w:val="auto"/>
        </w:rPr>
        <w:t>10.42%</w:t>
      </w:r>
      <w:r>
        <w:rPr>
          <w:rFonts w:eastAsia="方正仿宋_GBK" w:hint="eastAsia"/>
          <w:sz w:val="32"/>
          <w:szCs w:val="32"/>
          <w:highlight w:val="auto"/>
        </w:rPr>
        <w:t>。</w:t>
      </w:r>
    </w:p>
    <w:p>
      <w:pPr>
        <w:pStyle w:val="30"/>
        <w:spacing w:line="560" w:lineRule="exact"/>
        <w:ind w:firstLineChars="200" w:firstLine="640"/>
        <w:rPr>
          <w:sz w:val="32"/>
          <w:szCs w:val="32"/>
          <w:highlight w:val="auto"/>
        </w:rPr>
      </w:pPr>
    </w:p>
    <w:p>
      <w:pPr>
        <w:pStyle w:val="30"/>
        <w:spacing w:line="560" w:lineRule="exact"/>
        <w:ind w:firstLineChars="200" w:firstLine="640"/>
        <w:rPr>
          <w:rFonts w:eastAsia="方正仿宋_GBK"/>
          <w:sz w:val="32"/>
          <w:szCs w:val="32"/>
        </w:rPr>
      </w:pPr>
    </w:p>
    <w:p>
      <w:pPr>
        <w:pStyle w:val="3407"/>
        <w:spacing w:line="560" w:lineRule="exact"/>
        <w:ind w:left="0"/>
        <w:rPr>
          <w:sz w:val="32"/>
          <w:szCs w:val="32"/>
          <w:highlight w:val="auto"/>
        </w:rPr>
      </w:pPr>
    </w:p>
    <w:p>
      <w:pPr>
        <w:pStyle w:val="3407"/>
        <w:spacing w:line="560" w:lineRule="exact"/>
        <w:ind w:left="0"/>
        <w:rPr>
          <w:sz w:val="32"/>
          <w:szCs w:val="32"/>
          <w:highlight w:val="auto"/>
        </w:rPr>
      </w:pPr>
    </w:p>
    <w:p>
      <w:pPr>
        <w:pStyle w:val="3407"/>
        <w:spacing w:line="560" w:lineRule="exact"/>
        <w:ind w:left="0"/>
        <w:rPr>
          <w:sz w:val="32"/>
          <w:szCs w:val="32"/>
          <w:highlight w:val="auto"/>
        </w:rPr>
      </w:pPr>
    </w:p>
    <w:p>
      <w:pPr>
        <w:pStyle w:val="3407"/>
        <w:spacing w:line="560" w:lineRule="exact"/>
        <w:ind w:left="0"/>
        <w:rPr>
          <w:sz w:val="32"/>
          <w:szCs w:val="32"/>
          <w:highlight w:val="auto"/>
        </w:rPr>
      </w:pPr>
    </w:p>
    <w:p>
      <w:pPr>
        <w:pStyle w:val="3407"/>
        <w:spacing w:line="560" w:lineRule="exact"/>
        <w:ind w:left="0"/>
        <w:rPr>
          <w:sz w:val="32"/>
          <w:szCs w:val="32"/>
          <w:highlight w:val="auto"/>
        </w:rPr>
      </w:pPr>
    </w:p>
    <w:p>
      <w:pPr>
        <w:pStyle w:val="3407"/>
        <w:spacing w:line="560" w:lineRule="exact"/>
        <w:ind w:left="0"/>
        <w:rPr>
          <w:sz w:val="32"/>
          <w:szCs w:val="32"/>
          <w:highlight w:val="auto"/>
        </w:rPr>
      </w:pPr>
    </w:p>
    <w:p>
      <w:pPr>
        <w:pStyle w:val="3407"/>
        <w:spacing w:line="560" w:lineRule="exact"/>
        <w:ind w:left="0"/>
        <w:rPr>
          <w:sz w:val="32"/>
          <w:szCs w:val="32"/>
          <w:highlight w:val="auto"/>
        </w:rPr>
      </w:pPr>
    </w:p>
    <w:p>
      <w:pPr>
        <w:pStyle w:val="3407"/>
        <w:spacing w:line="560" w:lineRule="exact"/>
        <w:ind w:left="0"/>
        <w:rPr>
          <w:sz w:val="32"/>
          <w:szCs w:val="32"/>
          <w:highlight w:val="auto"/>
        </w:rPr>
      </w:pPr>
    </w:p>
    <w:p>
      <w:pPr>
        <w:pStyle w:val="3407"/>
        <w:spacing w:line="560" w:lineRule="exact"/>
        <w:ind w:left="0"/>
        <w:rPr>
          <w:sz w:val="32"/>
          <w:szCs w:val="32"/>
          <w:highlight w:val="auto"/>
        </w:rPr>
      </w:pPr>
      <w:r>
        <w:rPr>
          <w:sz w:val="32"/>
          <w:szCs w:val="32"/>
        </w:rPr>
        <w:object>
          <v:shape id="_x0000_i2" type="#_x0000_t75" filled="f" stroked="f" style="position:absolute;margin-left:31.999998pt;margin-top:-201.4965pt;width:425.3664pt;height:203.69656pt;z-index:18;mso-position-horizontal:absolute;mso-position-vertical:absolute;mso-wrap-distance-left:6.749897pt;mso-wrap-distance-right:6.749897pt;" o:ole="">
            <v:stroke color="#000000"/>
            <v:imagedata r:id="rId7" o:title="1485537371714437709483"/>
            <o:lock aspectratio="t"/>
            <w10:wrap type="square"/>
          </v:shape>
          <o:OLEObject Type="Embed" ProgID="Package" ShapeID="_x0000_i2" DrawAspect="Icon" ObjectID="_1393063352" r:id="rId8"/>
        </w:object>
      </w:r>
    </w:p>
    <w:p>
      <w:pPr>
        <w:pStyle w:val="30"/>
        <w:spacing w:line="560" w:lineRule="exact"/>
        <w:ind w:firstLineChars="200" w:firstLine="640"/>
        <w:rPr>
          <w:rFonts w:eastAsia="方正黑体_GBK" w:hint="eastAsia"/>
          <w:sz w:val="32"/>
          <w:szCs w:val="32"/>
          <w:highlight w:val="auto"/>
        </w:rPr>
      </w:pPr>
      <w:r>
        <w:rPr>
          <w:rFonts w:eastAsia="方正黑体_GBK" w:hint="eastAsia"/>
          <w:sz w:val="32"/>
          <w:szCs w:val="32"/>
          <w:highlight w:val="auto"/>
        </w:rPr>
        <w:t>四、关于202</w:t>
      </w:r>
      <w:r>
        <w:rPr>
          <w:rFonts w:eastAsia="方正黑体_GBK"/>
          <w:sz w:val="32"/>
          <w:szCs w:val="32"/>
          <w:highlight w:val="auto"/>
        </w:rPr>
        <w:t>4</w:t>
      </w:r>
      <w:r>
        <w:rPr>
          <w:rFonts w:eastAsia="方正黑体_GBK" w:hint="eastAsia"/>
          <w:sz w:val="32"/>
          <w:szCs w:val="32"/>
          <w:highlight w:val="auto"/>
        </w:rPr>
        <w:t>年财政拨款收支预算情况的总体说明</w:t>
      </w:r>
    </w:p>
    <w:p>
      <w:pPr>
        <w:spacing w:line="560" w:lineRule="exact"/>
        <w:ind w:firstLineChars="200" w:firstLine="640"/>
        <w:rPr>
          <w:rFonts w:eastAsia="方正仿宋_GBK" w:hint="eastAsia"/>
          <w:sz w:val="32"/>
          <w:szCs w:val="32"/>
        </w:rPr>
      </w:pPr>
      <w:r>
        <w:rPr>
          <w:rFonts w:eastAsia="方正仿宋_GBK"/>
          <w:sz w:val="32"/>
          <w:szCs w:val="32"/>
        </w:rPr>
        <w:t>集宁</w:t>
      </w:r>
      <w:r>
        <w:rPr>
          <w:rFonts w:eastAsia="方正仿宋_GBK" w:hint="eastAsia"/>
          <w:sz w:val="32"/>
          <w:szCs w:val="32"/>
          <w:highlight w:val="auto"/>
        </w:rPr>
        <w:t>海关202</w:t>
      </w:r>
      <w:r>
        <w:rPr>
          <w:rFonts w:eastAsia="方正仿宋_GBK"/>
          <w:sz w:val="32"/>
          <w:szCs w:val="32"/>
          <w:highlight w:val="auto"/>
        </w:rPr>
        <w:t>4</w:t>
      </w:r>
      <w:r>
        <w:rPr>
          <w:rFonts w:eastAsia="方正仿宋_GBK" w:hint="eastAsia"/>
          <w:sz w:val="32"/>
          <w:szCs w:val="32"/>
          <w:highlight w:val="auto"/>
        </w:rPr>
        <w:t>年财政拨款收支总预算</w:t>
      </w:r>
      <w:r>
        <w:rPr>
          <w:rFonts w:eastAsia="方正仿宋_GBK"/>
          <w:sz w:val="32"/>
          <w:szCs w:val="32"/>
          <w:highlight w:val="auto"/>
        </w:rPr>
        <w:t>670.72</w:t>
      </w:r>
      <w:r>
        <w:rPr>
          <w:rFonts w:eastAsia="方正仿宋_GBK" w:hint="eastAsia"/>
          <w:sz w:val="32"/>
          <w:szCs w:val="32"/>
          <w:highlight w:val="auto"/>
        </w:rPr>
        <w:t>万元。收入全部为一般公共预算拨款，无政府性基金预算拨款。收入包括：一般公共预算当年财政拨款收入</w:t>
      </w:r>
      <w:r>
        <w:rPr>
          <w:rFonts w:eastAsia="方正仿宋_GBK"/>
          <w:sz w:val="32"/>
          <w:szCs w:val="32"/>
          <w:highlight w:val="auto"/>
        </w:rPr>
        <w:t>669.16</w:t>
      </w:r>
      <w:r>
        <w:rPr>
          <w:rFonts w:eastAsia="方正仿宋_GBK" w:hint="eastAsia"/>
          <w:sz w:val="32"/>
          <w:szCs w:val="32"/>
          <w:highlight w:val="auto"/>
        </w:rPr>
        <w:t>万元</w:t>
      </w:r>
      <w:r>
        <w:rPr>
          <w:rFonts w:eastAsia="方正仿宋_GBK"/>
          <w:sz w:val="32"/>
          <w:szCs w:val="32"/>
          <w:highlight w:val="auto"/>
        </w:rPr>
        <w:t>，</w:t>
      </w:r>
      <w:r>
        <w:rPr>
          <w:rFonts w:eastAsia="方正仿宋_GBK" w:hint="eastAsia"/>
          <w:sz w:val="32"/>
          <w:szCs w:val="32"/>
          <w:highlight w:val="auto"/>
        </w:rPr>
        <w:t>一般公共预算</w:t>
      </w:r>
      <w:r>
        <w:rPr>
          <w:rFonts w:eastAsia="方正仿宋_GBK"/>
          <w:sz w:val="32"/>
          <w:szCs w:val="32"/>
          <w:highlight w:val="auto"/>
        </w:rPr>
        <w:t>上年结转</w:t>
      </w:r>
      <w:r>
        <w:rPr>
          <w:rFonts w:eastAsia="方正仿宋_GBK" w:hint="eastAsia"/>
          <w:sz w:val="32"/>
          <w:szCs w:val="32"/>
          <w:highlight w:val="auto"/>
        </w:rPr>
        <w:t>财政拨款收入</w:t>
      </w:r>
      <w:r>
        <w:rPr>
          <w:rFonts w:eastAsia="方正仿宋_GBK"/>
          <w:sz w:val="32"/>
          <w:szCs w:val="32"/>
          <w:highlight w:val="auto"/>
        </w:rPr>
        <w:t>1.56万元</w:t>
      </w:r>
      <w:r>
        <w:rPr>
          <w:rFonts w:eastAsia="方正仿宋_GBK" w:hint="eastAsia"/>
          <w:sz w:val="32"/>
          <w:szCs w:val="32"/>
          <w:highlight w:val="auto"/>
        </w:rPr>
        <w:t>。支出包括：一般公共服务支出</w:t>
      </w:r>
      <w:r>
        <w:rPr>
          <w:rFonts w:eastAsia="方正仿宋_GBK"/>
          <w:sz w:val="32"/>
          <w:szCs w:val="32"/>
          <w:highlight w:val="auto"/>
        </w:rPr>
        <w:t>525.43</w:t>
      </w:r>
      <w:r>
        <w:rPr>
          <w:rFonts w:eastAsia="方正仿宋_GBK" w:hint="eastAsia"/>
          <w:sz w:val="32"/>
          <w:szCs w:val="32"/>
          <w:highlight w:val="auto"/>
        </w:rPr>
        <w:t>万元、社会保障和就业支出</w:t>
      </w:r>
      <w:r>
        <w:rPr>
          <w:rFonts w:eastAsia="方正仿宋_GBK"/>
          <w:sz w:val="32"/>
          <w:szCs w:val="32"/>
          <w:highlight w:val="auto"/>
        </w:rPr>
        <w:t>62.07</w:t>
      </w:r>
      <w:r>
        <w:rPr>
          <w:rFonts w:eastAsia="方正仿宋_GBK" w:hint="eastAsia"/>
          <w:sz w:val="32"/>
          <w:szCs w:val="32"/>
          <w:highlight w:val="auto"/>
        </w:rPr>
        <w:t>万元、卫生健康支出</w:t>
      </w:r>
      <w:r>
        <w:rPr>
          <w:rFonts w:eastAsia="方正仿宋_GBK"/>
          <w:sz w:val="32"/>
          <w:szCs w:val="32"/>
          <w:highlight w:val="auto"/>
        </w:rPr>
        <w:t>18.70</w:t>
      </w:r>
      <w:r>
        <w:rPr>
          <w:rFonts w:eastAsia="方正仿宋_GBK" w:hint="eastAsia"/>
          <w:sz w:val="32"/>
          <w:szCs w:val="32"/>
          <w:highlight w:val="auto"/>
        </w:rPr>
        <w:t>万元、住房保障支出</w:t>
      </w:r>
      <w:r>
        <w:rPr>
          <w:rFonts w:eastAsia="方正仿宋_GBK"/>
          <w:sz w:val="32"/>
          <w:szCs w:val="32"/>
          <w:highlight w:val="auto"/>
        </w:rPr>
        <w:t>64.52</w:t>
      </w:r>
      <w:r>
        <w:rPr>
          <w:rFonts w:eastAsia="方正仿宋_GBK" w:hint="eastAsia"/>
          <w:sz w:val="32"/>
          <w:szCs w:val="32"/>
          <w:highlight w:val="auto"/>
        </w:rPr>
        <w:t>万元。</w:t>
      </w:r>
    </w:p>
    <w:p>
      <w:pPr>
        <w:pStyle w:val="75"/>
        <w:spacing w:line="560" w:lineRule="exact"/>
        <w:ind w:firstLine="644"/>
        <w:jc w:val="left"/>
      </w:pPr>
      <w:r>
        <w:drawing>
          <wp:anchor distT="0" distB="0" distL="85723" distR="85723" simplePos="0" relativeHeight="19" behindDoc="0" locked="0" layoutInCell="1" hidden="0" allowOverlap="1">
            <wp:simplePos x="0" y="0"/>
            <wp:positionH relativeFrom="column">
              <wp:posOffset>418463</wp:posOffset>
            </wp:positionH>
            <wp:positionV relativeFrom="paragraph">
              <wp:posOffset>250881</wp:posOffset>
            </wp:positionV>
            <wp:extent cx="5451222" cy="2479617"/>
            <wp:effectExtent l="0" t="0" r="0" b="0"/>
            <wp:wrapSquare wrapText="bothSides"/>
            <wp:docPr id="14" name="图片 14"/>
            <wp:cNvGraphicFramePr>
              <a:graphicFrameLocks noChangeAspect="1"/>
            </wp:cNvGraphicFramePr>
            <a:graphic>
              <a:graphicData uri="http://schemas.openxmlformats.org/drawingml/2006/picture">
                <pic:pic>
                  <pic:nvPicPr>
                    <pic:cNvPr id="16" name="图片 16"/>
                    <pic:cNvPicPr/>
                  </pic:nvPicPr>
                  <pic:blipFill>
                    <a:blip r:embed="rId9"/>
                    <a:stretch>
                      <a:fillRect/>
                    </a:stretch>
                  </pic:blipFill>
                  <pic:spPr>
                    <a:xfrm rot="0">
                      <a:off x="0" y="0"/>
                      <a:ext cx="5451222" cy="2479617"/>
                    </a:xfrm>
                    <a:prstGeom prst="rect"/>
                    <a:noFill/>
                    <a:ln w="9525" cmpd="sng" cap="flat">
                      <a:noFill/>
                      <a:prstDash val="solid"/>
                      <a:miter/>
                    </a:ln>
                  </pic:spPr>
                </pic:pic>
              </a:graphicData>
            </a:graphic>
          </wp:anchor>
        </w:drawing>
      </w:r>
    </w:p>
    <w:p>
      <w:pPr>
        <w:pStyle w:val="30"/>
        <w:spacing w:line="560" w:lineRule="exact"/>
        <w:ind w:firstLineChars="200" w:firstLine="640"/>
        <w:rPr>
          <w:rFonts w:eastAsia="方正黑体_GBK" w:hint="eastAsia"/>
          <w:sz w:val="32"/>
          <w:szCs w:val="32"/>
          <w:highlight w:val="auto"/>
        </w:rPr>
      </w:pPr>
      <w:r>
        <w:rPr>
          <w:rFonts w:eastAsia="方正黑体_GBK" w:hint="eastAsia"/>
          <w:sz w:val="32"/>
          <w:szCs w:val="32"/>
          <w:highlight w:val="auto"/>
        </w:rPr>
        <w:t>五、关于202</w:t>
      </w:r>
      <w:r>
        <w:rPr>
          <w:rFonts w:eastAsia="方正黑体_GBK"/>
          <w:sz w:val="32"/>
          <w:szCs w:val="32"/>
          <w:highlight w:val="auto"/>
        </w:rPr>
        <w:t>4</w:t>
      </w:r>
      <w:r>
        <w:rPr>
          <w:rFonts w:eastAsia="方正黑体_GBK" w:hint="eastAsia"/>
          <w:sz w:val="32"/>
          <w:szCs w:val="32"/>
          <w:highlight w:val="auto"/>
        </w:rPr>
        <w:t>年一般公共预算当年财政拨款情况说明</w:t>
      </w:r>
    </w:p>
    <w:p>
      <w:pPr>
        <w:spacing w:line="560" w:lineRule="exact"/>
        <w:ind w:firstLineChars="200" w:firstLine="640"/>
        <w:jc w:val="left"/>
        <w:rPr>
          <w:rFonts w:ascii="方正楷体_GBK" w:eastAsia="方正楷体_GBK" w:cs="方正楷体_GBK" w:hint="eastAsia"/>
          <w:b/>
          <w:bCs/>
          <w:sz w:val="32"/>
          <w:szCs w:val="32"/>
          <w:lang w:val="zh-CN" w:eastAsia="zh-CN" w:bidi="ar-SA"/>
          <w:highlight w:val="auto"/>
        </w:rPr>
      </w:pPr>
      <w:r>
        <w:rPr>
          <w:rFonts w:ascii="方正楷体_GBK" w:eastAsia="方正楷体_GBK" w:cs="方正楷体_GBK" w:hint="eastAsia"/>
          <w:b/>
          <w:bCs/>
          <w:sz w:val="32"/>
          <w:szCs w:val="32"/>
          <w:lang w:bidi="ar-SA"/>
          <w:highlight w:val="auto"/>
        </w:rPr>
        <w:t>（一）</w:t>
      </w:r>
      <w:r>
        <w:rPr>
          <w:rFonts w:ascii="方正楷体_GBK" w:eastAsia="方正楷体_GBK" w:cs="方正楷体_GBK" w:hint="eastAsia"/>
          <w:b/>
          <w:bCs/>
          <w:sz w:val="32"/>
          <w:szCs w:val="32"/>
          <w:lang w:val="zh-CN" w:eastAsia="zh-CN" w:bidi="ar-SA"/>
          <w:highlight w:val="auto"/>
        </w:rPr>
        <w:t>一般公共预算当年财政拨款规模变化情况。</w:t>
      </w:r>
    </w:p>
    <w:p>
      <w:pPr>
        <w:spacing w:line="560" w:lineRule="exact"/>
        <w:ind w:firstLineChars="200" w:firstLine="640"/>
        <w:rPr>
          <w:highlight w:val="auto"/>
        </w:rPr>
      </w:pPr>
      <w:r>
        <w:rPr>
          <w:rFonts w:eastAsia="方正仿宋_GBK"/>
          <w:sz w:val="32"/>
          <w:szCs w:val="32"/>
        </w:rPr>
        <w:t>集宁</w:t>
      </w:r>
      <w:r>
        <w:rPr>
          <w:rFonts w:eastAsia="方正仿宋_GBK" w:hint="eastAsia"/>
          <w:sz w:val="32"/>
          <w:szCs w:val="32"/>
          <w:highlight w:val="auto"/>
        </w:rPr>
        <w:t>海关202</w:t>
      </w:r>
      <w:r>
        <w:rPr>
          <w:rFonts w:eastAsia="方正仿宋_GBK"/>
          <w:sz w:val="32"/>
          <w:szCs w:val="32"/>
          <w:highlight w:val="auto"/>
        </w:rPr>
        <w:t>4</w:t>
      </w:r>
      <w:r>
        <w:rPr>
          <w:rFonts w:eastAsia="方正仿宋_GBK" w:hint="eastAsia"/>
          <w:sz w:val="32"/>
          <w:szCs w:val="32"/>
          <w:highlight w:val="auto"/>
        </w:rPr>
        <w:t>年一般公共预算当年财政拨款预算</w:t>
      </w:r>
      <w:r>
        <w:rPr>
          <w:rFonts w:eastAsia="方正仿宋_GBK"/>
          <w:sz w:val="32"/>
          <w:szCs w:val="32"/>
          <w:highlight w:val="auto"/>
        </w:rPr>
        <w:t>670.72</w:t>
      </w:r>
      <w:r>
        <w:rPr>
          <w:rFonts w:eastAsia="方正仿宋_GBK" w:hint="eastAsia"/>
          <w:sz w:val="32"/>
          <w:szCs w:val="32"/>
          <w:highlight w:val="auto"/>
        </w:rPr>
        <w:t>万元，比202</w:t>
      </w:r>
      <w:r>
        <w:rPr>
          <w:rFonts w:eastAsia="方正仿宋_GBK"/>
          <w:sz w:val="32"/>
          <w:szCs w:val="32"/>
          <w:highlight w:val="auto"/>
        </w:rPr>
        <w:t>3</w:t>
      </w:r>
      <w:r>
        <w:rPr>
          <w:rFonts w:eastAsia="方正仿宋_GBK" w:hint="eastAsia"/>
          <w:sz w:val="32"/>
          <w:szCs w:val="32"/>
          <w:highlight w:val="auto"/>
        </w:rPr>
        <w:t>年执行数</w:t>
      </w:r>
      <w:r>
        <w:rPr>
          <w:rFonts w:eastAsia="方正仿宋_GBK"/>
          <w:sz w:val="32"/>
          <w:szCs w:val="32"/>
          <w:highlight w:val="auto"/>
        </w:rPr>
        <w:t>增加50.13</w:t>
      </w:r>
      <w:r>
        <w:rPr>
          <w:rFonts w:eastAsia="方正仿宋_GBK" w:hint="eastAsia"/>
          <w:sz w:val="32"/>
          <w:szCs w:val="32"/>
          <w:highlight w:val="auto"/>
        </w:rPr>
        <w:t>万元，</w:t>
      </w:r>
      <w:r>
        <w:rPr>
          <w:rFonts w:eastAsia="方正仿宋_GBK"/>
          <w:sz w:val="32"/>
          <w:szCs w:val="32"/>
          <w:highlight w:val="auto"/>
        </w:rPr>
        <w:t>上涨8.08</w:t>
      </w:r>
      <w:r>
        <w:rPr>
          <w:rFonts w:eastAsia="方正仿宋_GBK" w:hint="eastAsia"/>
          <w:sz w:val="32"/>
          <w:szCs w:val="32"/>
          <w:highlight w:val="auto"/>
        </w:rPr>
        <w:t>%。</w:t>
      </w:r>
      <w:r>
        <w:rPr>
          <w:rFonts w:ascii="Times New Roman" w:eastAsia="方正仿宋_GBK" w:hAnsi="Times New Roman" w:hint="eastAsia"/>
          <w:sz w:val="32"/>
          <w:szCs w:val="32"/>
        </w:rPr>
        <w:t>202</w:t>
      </w:r>
      <w:r>
        <w:rPr>
          <w:rFonts w:ascii="Times New Roman" w:eastAsia="方正仿宋_GBK" w:hAnsi="Times New Roman"/>
          <w:sz w:val="32"/>
          <w:szCs w:val="32"/>
        </w:rPr>
        <w:t>4</w:t>
      </w:r>
      <w:r>
        <w:rPr>
          <w:rFonts w:ascii="Times New Roman" w:eastAsia="方正仿宋_GBK" w:hAnsi="Times New Roman" w:hint="eastAsia"/>
          <w:sz w:val="32"/>
          <w:szCs w:val="32"/>
        </w:rPr>
        <w:t>年，</w:t>
      </w:r>
      <w:r>
        <w:rPr>
          <w:rFonts w:ascii="Times New Roman" w:eastAsia="方正仿宋_GBK" w:hAnsi="Times New Roman"/>
          <w:sz w:val="32"/>
          <w:szCs w:val="32"/>
        </w:rPr>
        <w:t>集宁海关新考录关员1名，相应人员及公用经费增加；另外为保障海关执法工作有序进行，更新公务用车1辆，相应支出</w:t>
      </w:r>
      <w:r>
        <w:rPr>
          <w:rFonts w:ascii="Times New Roman" w:eastAsia="方正仿宋_GBK" w:hAnsi="Times New Roman" w:hint="eastAsia"/>
          <w:sz w:val="32"/>
          <w:szCs w:val="32"/>
        </w:rPr>
        <w:t>体现在有关科目中。</w:t>
      </w:r>
    </w:p>
    <w:p>
      <w:pPr>
        <w:spacing w:line="560" w:lineRule="exact"/>
        <w:ind w:firstLineChars="200" w:firstLine="640"/>
        <w:jc w:val="left"/>
        <w:rPr>
          <w:rFonts w:ascii="方正楷体_GBK" w:eastAsia="方正楷体_GBK" w:cs="方正楷体_GBK" w:hint="eastAsia"/>
          <w:b/>
          <w:bCs/>
          <w:sz w:val="32"/>
          <w:szCs w:val="32"/>
          <w:lang w:val="zh-CN" w:eastAsia="zh-CN" w:bidi="ar-SA"/>
          <w:highlight w:val="auto"/>
        </w:rPr>
      </w:pPr>
      <w:r>
        <w:rPr>
          <w:rFonts w:ascii="方正楷体_GBK" w:eastAsia="方正楷体_GBK" w:cs="方正楷体_GBK" w:hint="eastAsia"/>
          <w:b/>
          <w:bCs/>
          <w:sz w:val="32"/>
          <w:szCs w:val="32"/>
          <w:lang w:val="zh-CN" w:eastAsia="zh-CN" w:bidi="ar-SA"/>
          <w:highlight w:val="auto"/>
        </w:rPr>
        <w:t>（二）一般公共预算当年财政拨款结构情况。</w:t>
      </w:r>
    </w:p>
    <w:p>
      <w:pPr>
        <w:spacing w:line="560" w:lineRule="exact"/>
        <w:ind w:firstLineChars="200" w:firstLine="640"/>
        <w:rPr>
          <w:rFonts w:eastAsia="方正仿宋_GBK"/>
          <w:sz w:val="32"/>
          <w:szCs w:val="32"/>
          <w:highlight w:val="auto"/>
        </w:rPr>
      </w:pPr>
      <w:r>
        <w:rPr>
          <w:rFonts w:eastAsia="方正仿宋_GBK" w:hint="eastAsia"/>
          <w:sz w:val="32"/>
          <w:szCs w:val="32"/>
          <w:highlight w:val="auto"/>
        </w:rPr>
        <w:t>20</w:t>
      </w:r>
      <w:r>
        <w:rPr>
          <w:rFonts w:eastAsia="方正仿宋_GBK"/>
          <w:sz w:val="32"/>
          <w:szCs w:val="32"/>
          <w:highlight w:val="auto"/>
        </w:rPr>
        <w:t>24</w:t>
      </w:r>
      <w:r>
        <w:rPr>
          <w:rFonts w:eastAsia="方正仿宋_GBK" w:hint="eastAsia"/>
          <w:sz w:val="32"/>
          <w:szCs w:val="32"/>
          <w:highlight w:val="auto"/>
        </w:rPr>
        <w:t>年部门预算中，</w:t>
      </w:r>
      <w:r>
        <w:rPr>
          <w:rFonts w:eastAsia="方正仿宋_GBK" w:hint="eastAsia"/>
          <w:sz w:val="32"/>
          <w:szCs w:val="32"/>
          <w:lang w:val="zh-CN" w:eastAsia="zh-CN"/>
          <w:highlight w:val="auto"/>
        </w:rPr>
        <w:t>一般公共预算当年财政拨款</w:t>
      </w:r>
      <w:r>
        <w:rPr>
          <w:rFonts w:eastAsia="方正仿宋_GBK" w:hint="eastAsia"/>
          <w:sz w:val="32"/>
          <w:szCs w:val="32"/>
          <w:highlight w:val="auto"/>
        </w:rPr>
        <w:t>用于以下方面：一般公共服务（类）支</w:t>
      </w:r>
      <w:r>
        <w:rPr>
          <w:rFonts w:eastAsia="方正仿宋_GBK"/>
          <w:sz w:val="32"/>
          <w:szCs w:val="32"/>
          <w:highlight w:val="auto"/>
        </w:rPr>
        <w:t>525.43</w:t>
      </w:r>
      <w:r>
        <w:rPr>
          <w:rFonts w:eastAsia="方正仿宋_GBK" w:hint="eastAsia"/>
          <w:sz w:val="32"/>
          <w:szCs w:val="32"/>
          <w:highlight w:val="auto"/>
        </w:rPr>
        <w:t>万元，占</w:t>
      </w:r>
      <w:r>
        <w:rPr>
          <w:rFonts w:eastAsia="方正仿宋_GBK"/>
          <w:sz w:val="32"/>
          <w:szCs w:val="32"/>
          <w:highlight w:val="auto"/>
        </w:rPr>
        <w:t>78.34</w:t>
      </w:r>
      <w:r>
        <w:rPr>
          <w:rFonts w:eastAsia="方正仿宋_GBK" w:hint="eastAsia"/>
          <w:sz w:val="32"/>
          <w:szCs w:val="32"/>
          <w:highlight w:val="auto"/>
        </w:rPr>
        <w:t>%；社会保障和就业（类）支出</w:t>
      </w:r>
      <w:r>
        <w:rPr>
          <w:rFonts w:eastAsia="方正仿宋_GBK"/>
          <w:sz w:val="32"/>
          <w:szCs w:val="32"/>
          <w:highlight w:val="auto"/>
        </w:rPr>
        <w:t>62.07</w:t>
      </w:r>
      <w:r>
        <w:rPr>
          <w:rFonts w:eastAsia="方正仿宋_GBK" w:hint="eastAsia"/>
          <w:sz w:val="32"/>
          <w:szCs w:val="32"/>
          <w:highlight w:val="auto"/>
        </w:rPr>
        <w:t>万元，占</w:t>
      </w:r>
      <w:r>
        <w:rPr>
          <w:rFonts w:eastAsia="方正仿宋_GBK"/>
          <w:sz w:val="32"/>
          <w:szCs w:val="32"/>
          <w:highlight w:val="auto"/>
        </w:rPr>
        <w:t>9.25</w:t>
      </w:r>
      <w:r>
        <w:rPr>
          <w:rFonts w:eastAsia="方正仿宋_GBK" w:hint="eastAsia"/>
          <w:sz w:val="32"/>
          <w:szCs w:val="32"/>
          <w:highlight w:val="auto"/>
        </w:rPr>
        <w:t>%；卫生健康（类）支出</w:t>
      </w:r>
      <w:r>
        <w:rPr>
          <w:rFonts w:eastAsia="方正仿宋_GBK"/>
          <w:sz w:val="32"/>
          <w:szCs w:val="32"/>
          <w:highlight w:val="auto"/>
        </w:rPr>
        <w:t>18.70</w:t>
      </w:r>
      <w:r>
        <w:rPr>
          <w:rFonts w:eastAsia="方正仿宋_GBK" w:hint="eastAsia"/>
          <w:sz w:val="32"/>
          <w:szCs w:val="32"/>
          <w:highlight w:val="auto"/>
        </w:rPr>
        <w:t>万元，占</w:t>
      </w:r>
      <w:r>
        <w:rPr>
          <w:rFonts w:eastAsia="方正仿宋_GBK"/>
          <w:sz w:val="32"/>
          <w:szCs w:val="32"/>
          <w:highlight w:val="auto"/>
        </w:rPr>
        <w:t>2.79</w:t>
      </w:r>
      <w:r>
        <w:rPr>
          <w:rFonts w:eastAsia="方正仿宋_GBK" w:hint="eastAsia"/>
          <w:sz w:val="32"/>
          <w:szCs w:val="32"/>
          <w:highlight w:val="auto"/>
        </w:rPr>
        <w:t>%；住房保障（类）支出</w:t>
      </w:r>
      <w:r>
        <w:rPr>
          <w:rFonts w:eastAsia="方正仿宋_GBK"/>
          <w:sz w:val="32"/>
          <w:szCs w:val="32"/>
          <w:highlight w:val="auto"/>
        </w:rPr>
        <w:t>64.52</w:t>
      </w:r>
      <w:r>
        <w:rPr>
          <w:rFonts w:eastAsia="方正仿宋_GBK" w:hint="eastAsia"/>
          <w:sz w:val="32"/>
          <w:szCs w:val="32"/>
          <w:highlight w:val="auto"/>
        </w:rPr>
        <w:t>万元，占</w:t>
      </w:r>
      <w:r>
        <w:rPr>
          <w:rFonts w:eastAsia="方正仿宋_GBK"/>
          <w:sz w:val="32"/>
          <w:szCs w:val="32"/>
          <w:highlight w:val="auto"/>
        </w:rPr>
        <w:t>9.62</w:t>
      </w:r>
      <w:r>
        <w:rPr>
          <w:rFonts w:eastAsia="方正仿宋_GBK" w:hint="eastAsia"/>
          <w:sz w:val="32"/>
          <w:szCs w:val="32"/>
          <w:highlight w:val="auto"/>
        </w:rPr>
        <w:t>%。</w:t>
      </w:r>
    </w:p>
    <w:p>
      <w:pPr>
        <w:spacing w:line="560" w:lineRule="exact"/>
        <w:ind w:firstLineChars="200" w:firstLine="640"/>
        <w:rPr>
          <w:rFonts w:eastAsia="方正仿宋_GBK" w:hint="eastAsia"/>
          <w:sz w:val="32"/>
          <w:szCs w:val="32"/>
          <w:highlight w:val="auto"/>
        </w:rPr>
      </w:pPr>
    </w:p>
    <w:p>
      <w:pPr>
        <w:spacing w:line="560" w:lineRule="exact"/>
        <w:ind w:firstLineChars="200" w:firstLine="640"/>
        <w:rPr>
          <w:rFonts w:hint="eastAsia"/>
          <w:sz w:val="32"/>
          <w:szCs w:val="32"/>
          <w:highlight w:val="auto"/>
        </w:rPr>
      </w:pPr>
      <w:r>
        <w:rPr>
          <w:rFonts w:hint="eastAsia"/>
          <w:sz w:val="32"/>
          <w:szCs w:val="32"/>
        </w:rPr>
        <w:object>
          <v:shape id="_x0000_i3" type="#_x0000_t75" filled="f" stroked="f" style="position:absolute;margin-left:33.499973pt;margin-top:8.641211pt;width:423.79584pt;height:210.95886pt;z-index:20;mso-position-horizontal:absolute;mso-position-vertical:absolute;mso-wrap-distance-left:6.749897pt;mso-wrap-distance-right:6.749897pt;" o:ole="">
            <v:stroke color="#000000"/>
            <v:imagedata r:id="rId10" o:title="7354724181714437709483"/>
            <o:lock aspectratio="t"/>
            <w10:wrap type="square"/>
          </v:shape>
          <o:OLEObject Type="Embed" ProgID="Package" ShapeID="_x0000_i3" DrawAspect="Icon" ObjectID="_1393063353" r:id="rId11"/>
        </w:object>
      </w:r>
    </w:p>
    <w:p>
      <w:pPr>
        <w:spacing w:line="560" w:lineRule="exact"/>
        <w:ind w:left="0"/>
        <w:jc w:val="left"/>
        <w:rPr>
          <w:rFonts w:ascii="方正楷体_GBK" w:eastAsia="方正楷体_GBK" w:cs="方正楷体_GBK"/>
          <w:b/>
          <w:bCs/>
          <w:sz w:val="32"/>
          <w:szCs w:val="32"/>
          <w:lang w:val="zh-CN" w:eastAsia="zh-CN" w:bidi="ar-SA"/>
          <w:highlight w:val="auto"/>
        </w:rPr>
      </w:pPr>
    </w:p>
    <w:p>
      <w:pPr>
        <w:spacing w:line="560" w:lineRule="exact"/>
        <w:ind w:firstLineChars="200" w:firstLine="640"/>
        <w:jc w:val="left"/>
        <w:rPr>
          <w:rFonts w:ascii="方正楷体_GBK" w:eastAsia="方正楷体_GBK" w:cs="方正楷体_GBK" w:hint="eastAsia"/>
          <w:b/>
          <w:bCs/>
          <w:sz w:val="32"/>
          <w:szCs w:val="32"/>
          <w:lang w:val="zh-CN" w:eastAsia="zh-CN" w:bidi="ar-SA"/>
          <w:highlight w:val="auto"/>
        </w:rPr>
      </w:pPr>
      <w:r>
        <w:rPr>
          <w:rFonts w:ascii="方正楷体_GBK" w:eastAsia="方正楷体_GBK" w:cs="方正楷体_GBK" w:hint="eastAsia"/>
          <w:b/>
          <w:bCs/>
          <w:sz w:val="32"/>
          <w:szCs w:val="32"/>
          <w:lang w:val="zh-CN" w:eastAsia="zh-CN" w:bidi="ar-SA"/>
          <w:highlight w:val="auto"/>
        </w:rPr>
        <w:t>（三）一般公共预算当年财政拨款具体使用情况。</w:t>
      </w:r>
    </w:p>
    <w:p>
      <w:pPr>
        <w:spacing w:line="560" w:lineRule="exact"/>
        <w:ind w:firstLineChars="200" w:firstLine="640"/>
        <w:rPr>
          <w:rFonts w:eastAsia="方正仿宋_GBK" w:hint="eastAsia"/>
          <w:sz w:val="32"/>
          <w:szCs w:val="32"/>
          <w:highlight w:val="auto"/>
        </w:rPr>
      </w:pPr>
      <w:r>
        <w:rPr>
          <w:rFonts w:eastAsia="方正仿宋_GBK" w:hint="eastAsia"/>
          <w:sz w:val="32"/>
          <w:szCs w:val="32"/>
          <w:highlight w:val="auto"/>
        </w:rPr>
        <w:t>1．一般公共服务支出（类）海关事务（款）202</w:t>
      </w:r>
      <w:r>
        <w:rPr>
          <w:rFonts w:eastAsia="方正仿宋_GBK"/>
          <w:sz w:val="32"/>
          <w:szCs w:val="32"/>
          <w:highlight w:val="auto"/>
        </w:rPr>
        <w:t>4</w:t>
      </w:r>
      <w:r>
        <w:rPr>
          <w:rFonts w:eastAsia="方正仿宋_GBK" w:hint="eastAsia"/>
          <w:sz w:val="32"/>
          <w:szCs w:val="32"/>
          <w:highlight w:val="auto"/>
        </w:rPr>
        <w:t>年预算</w:t>
      </w:r>
      <w:r>
        <w:rPr>
          <w:rFonts w:eastAsia="方正仿宋_GBK"/>
          <w:sz w:val="32"/>
          <w:szCs w:val="32"/>
          <w:highlight w:val="auto"/>
        </w:rPr>
        <w:t>525.43</w:t>
      </w:r>
      <w:r>
        <w:rPr>
          <w:rFonts w:eastAsia="方正仿宋_GBK" w:hint="eastAsia"/>
          <w:sz w:val="32"/>
          <w:szCs w:val="32"/>
          <w:highlight w:val="auto"/>
        </w:rPr>
        <w:t>万元，比202</w:t>
      </w:r>
      <w:r>
        <w:rPr>
          <w:rFonts w:eastAsia="方正仿宋_GBK"/>
          <w:sz w:val="32"/>
          <w:szCs w:val="32"/>
          <w:highlight w:val="auto"/>
        </w:rPr>
        <w:t>3</w:t>
      </w:r>
      <w:r>
        <w:rPr>
          <w:rFonts w:eastAsia="方正仿宋_GBK" w:hint="eastAsia"/>
          <w:sz w:val="32"/>
          <w:szCs w:val="32"/>
          <w:highlight w:val="auto"/>
        </w:rPr>
        <w:t>年执行数</w:t>
      </w:r>
      <w:r>
        <w:rPr>
          <w:rFonts w:eastAsia="方正仿宋_GBK"/>
          <w:sz w:val="32"/>
          <w:szCs w:val="32"/>
          <w:highlight w:val="auto"/>
        </w:rPr>
        <w:t>增加34.18</w:t>
      </w:r>
      <w:r>
        <w:rPr>
          <w:rFonts w:eastAsia="方正仿宋_GBK" w:hint="eastAsia"/>
          <w:sz w:val="32"/>
          <w:szCs w:val="32"/>
          <w:highlight w:val="auto"/>
        </w:rPr>
        <w:t>万元，</w:t>
      </w:r>
      <w:r>
        <w:rPr>
          <w:rFonts w:eastAsia="方正仿宋_GBK"/>
          <w:sz w:val="32"/>
          <w:szCs w:val="32"/>
          <w:highlight w:val="auto"/>
        </w:rPr>
        <w:t>上涨6.96</w:t>
      </w:r>
      <w:r>
        <w:rPr>
          <w:rFonts w:eastAsia="方正仿宋_GBK" w:hint="eastAsia"/>
          <w:sz w:val="32"/>
          <w:szCs w:val="32"/>
          <w:highlight w:val="auto"/>
        </w:rPr>
        <w:t>%，其中：</w:t>
      </w:r>
    </w:p>
    <w:p>
      <w:pPr>
        <w:spacing w:line="560" w:lineRule="exact"/>
        <w:ind w:firstLineChars="200" w:firstLine="640"/>
        <w:rPr>
          <w:rFonts w:eastAsia="方正仿宋_GBK" w:hint="eastAsia"/>
          <w:sz w:val="32"/>
          <w:szCs w:val="32"/>
          <w:highlight w:val="auto"/>
        </w:rPr>
      </w:pPr>
      <w:r>
        <w:rPr>
          <w:rFonts w:eastAsia="方正仿宋_GBK" w:hint="eastAsia"/>
          <w:sz w:val="32"/>
          <w:szCs w:val="32"/>
          <w:highlight w:val="auto"/>
        </w:rPr>
        <w:t>（1）行政运行（项）202</w:t>
      </w:r>
      <w:r>
        <w:rPr>
          <w:rFonts w:eastAsia="方正仿宋_GBK"/>
          <w:sz w:val="32"/>
          <w:szCs w:val="32"/>
          <w:highlight w:val="auto"/>
        </w:rPr>
        <w:t>4</w:t>
      </w:r>
      <w:r>
        <w:rPr>
          <w:rFonts w:eastAsia="方正仿宋_GBK" w:hint="eastAsia"/>
          <w:sz w:val="32"/>
          <w:szCs w:val="32"/>
          <w:highlight w:val="auto"/>
        </w:rPr>
        <w:t>年预算</w:t>
      </w:r>
      <w:r>
        <w:rPr>
          <w:rFonts w:eastAsia="方正仿宋_GBK"/>
          <w:sz w:val="32"/>
          <w:szCs w:val="32"/>
          <w:highlight w:val="auto"/>
        </w:rPr>
        <w:t>432.05</w:t>
      </w:r>
      <w:r>
        <w:rPr>
          <w:rFonts w:eastAsia="方正仿宋_GBK" w:hint="eastAsia"/>
          <w:sz w:val="32"/>
          <w:szCs w:val="32"/>
          <w:highlight w:val="auto"/>
        </w:rPr>
        <w:t>万元，比202</w:t>
      </w:r>
      <w:r>
        <w:rPr>
          <w:rFonts w:eastAsia="方正仿宋_GBK"/>
          <w:sz w:val="32"/>
          <w:szCs w:val="32"/>
          <w:highlight w:val="auto"/>
        </w:rPr>
        <w:t>3</w:t>
      </w:r>
      <w:r>
        <w:rPr>
          <w:rFonts w:eastAsia="方正仿宋_GBK" w:hint="eastAsia"/>
          <w:sz w:val="32"/>
          <w:szCs w:val="32"/>
          <w:highlight w:val="auto"/>
        </w:rPr>
        <w:t>年执行数</w:t>
      </w:r>
      <w:r>
        <w:rPr>
          <w:rFonts w:eastAsia="方正仿宋_GBK"/>
          <w:sz w:val="32"/>
          <w:szCs w:val="32"/>
          <w:highlight w:val="auto"/>
        </w:rPr>
        <w:t>增加24.76</w:t>
      </w:r>
      <w:r>
        <w:rPr>
          <w:rFonts w:eastAsia="方正仿宋_GBK" w:hint="eastAsia"/>
          <w:sz w:val="32"/>
          <w:szCs w:val="32"/>
          <w:highlight w:val="auto"/>
        </w:rPr>
        <w:t>万元，</w:t>
      </w:r>
      <w:r>
        <w:rPr>
          <w:rFonts w:eastAsia="方正仿宋_GBK"/>
          <w:sz w:val="32"/>
          <w:szCs w:val="32"/>
          <w:highlight w:val="auto"/>
        </w:rPr>
        <w:t>上涨6.08</w:t>
      </w:r>
      <w:r>
        <w:rPr>
          <w:rFonts w:eastAsia="方正仿宋_GBK" w:hint="eastAsia"/>
          <w:sz w:val="32"/>
          <w:szCs w:val="32"/>
          <w:highlight w:val="auto"/>
        </w:rPr>
        <w:t>%。主要是</w:t>
      </w:r>
      <w:r>
        <w:rPr>
          <w:rFonts w:eastAsia="方正仿宋_GBK"/>
          <w:sz w:val="32"/>
          <w:szCs w:val="32"/>
          <w:highlight w:val="auto"/>
        </w:rPr>
        <w:t>新关员入职及增加调入人员，</w:t>
      </w:r>
      <w:r>
        <w:rPr>
          <w:rFonts w:eastAsia="方正仿宋_GBK" w:hint="eastAsia"/>
          <w:sz w:val="32"/>
          <w:szCs w:val="32"/>
          <w:highlight w:val="auto"/>
        </w:rPr>
        <w:t>相关经费</w:t>
      </w:r>
      <w:r>
        <w:rPr>
          <w:rFonts w:eastAsia="方正仿宋_GBK"/>
          <w:sz w:val="32"/>
          <w:szCs w:val="32"/>
          <w:highlight w:val="auto"/>
        </w:rPr>
        <w:t>增加</w:t>
      </w:r>
      <w:r>
        <w:rPr>
          <w:rFonts w:eastAsia="方正仿宋_GBK" w:hint="eastAsia"/>
          <w:sz w:val="32"/>
          <w:szCs w:val="32"/>
          <w:highlight w:val="auto"/>
        </w:rPr>
        <w:t>。</w:t>
      </w:r>
    </w:p>
    <w:p>
      <w:pPr>
        <w:spacing w:line="560" w:lineRule="exact"/>
        <w:ind w:firstLineChars="200" w:firstLine="640"/>
        <w:rPr>
          <w:rFonts w:eastAsia="方正仿宋_GBK" w:hint="eastAsia"/>
          <w:sz w:val="32"/>
          <w:szCs w:val="32"/>
          <w:highlight w:val="auto"/>
        </w:rPr>
      </w:pPr>
      <w:r>
        <w:rPr>
          <w:rFonts w:eastAsia="方正仿宋_GBK" w:hint="eastAsia"/>
          <w:sz w:val="32"/>
          <w:szCs w:val="32"/>
          <w:highlight w:val="auto"/>
        </w:rPr>
        <w:t>（</w:t>
      </w:r>
      <w:r>
        <w:rPr>
          <w:rFonts w:eastAsia="方正仿宋_GBK"/>
          <w:sz w:val="32"/>
          <w:szCs w:val="32"/>
          <w:highlight w:val="auto"/>
        </w:rPr>
        <w:t>2</w:t>
      </w:r>
      <w:r>
        <w:rPr>
          <w:rFonts w:eastAsia="方正仿宋_GBK" w:hint="eastAsia"/>
          <w:sz w:val="32"/>
          <w:szCs w:val="32"/>
          <w:highlight w:val="auto"/>
        </w:rPr>
        <w:t>）海关关务（项）202</w:t>
      </w:r>
      <w:r>
        <w:rPr>
          <w:rFonts w:eastAsia="方正仿宋_GBK"/>
          <w:sz w:val="32"/>
          <w:szCs w:val="32"/>
          <w:highlight w:val="auto"/>
        </w:rPr>
        <w:t>4</w:t>
      </w:r>
      <w:r>
        <w:rPr>
          <w:rFonts w:eastAsia="方正仿宋_GBK" w:hint="eastAsia"/>
          <w:sz w:val="32"/>
          <w:szCs w:val="32"/>
          <w:highlight w:val="auto"/>
        </w:rPr>
        <w:t>年预算</w:t>
      </w:r>
      <w:r>
        <w:rPr>
          <w:rFonts w:eastAsia="方正仿宋_GBK"/>
          <w:sz w:val="32"/>
          <w:szCs w:val="32"/>
          <w:highlight w:val="auto"/>
        </w:rPr>
        <w:t>83.73</w:t>
      </w:r>
      <w:r>
        <w:rPr>
          <w:rFonts w:eastAsia="方正仿宋_GBK" w:hint="eastAsia"/>
          <w:sz w:val="32"/>
          <w:szCs w:val="32"/>
          <w:highlight w:val="auto"/>
        </w:rPr>
        <w:t>万元，比202</w:t>
      </w:r>
      <w:r>
        <w:rPr>
          <w:rFonts w:eastAsia="方正仿宋_GBK"/>
          <w:sz w:val="32"/>
          <w:szCs w:val="32"/>
          <w:highlight w:val="auto"/>
        </w:rPr>
        <w:t>3</w:t>
      </w:r>
      <w:r>
        <w:rPr>
          <w:rFonts w:eastAsia="方正仿宋_GBK" w:hint="eastAsia"/>
          <w:sz w:val="32"/>
          <w:szCs w:val="32"/>
          <w:highlight w:val="auto"/>
        </w:rPr>
        <w:t>年执行数</w:t>
      </w:r>
      <w:r>
        <w:rPr>
          <w:rFonts w:eastAsia="方正仿宋_GBK"/>
          <w:sz w:val="32"/>
          <w:szCs w:val="32"/>
          <w:highlight w:val="auto"/>
        </w:rPr>
        <w:t>增加15.77</w:t>
      </w:r>
      <w:r>
        <w:rPr>
          <w:rFonts w:eastAsia="方正仿宋_GBK" w:hint="eastAsia"/>
          <w:sz w:val="32"/>
          <w:szCs w:val="32"/>
          <w:highlight w:val="auto"/>
        </w:rPr>
        <w:t>万元，</w:t>
      </w:r>
      <w:r>
        <w:rPr>
          <w:rFonts w:eastAsia="方正仿宋_GBK"/>
          <w:sz w:val="32"/>
          <w:szCs w:val="32"/>
          <w:highlight w:val="auto"/>
        </w:rPr>
        <w:t>上涨23.20</w:t>
      </w:r>
      <w:r>
        <w:rPr>
          <w:rFonts w:eastAsia="方正仿宋_GBK" w:hint="eastAsia"/>
          <w:sz w:val="32"/>
          <w:szCs w:val="32"/>
          <w:highlight w:val="auto"/>
        </w:rPr>
        <w:t>%。主要是安排的一次性项目支出</w:t>
      </w:r>
      <w:r>
        <w:rPr>
          <w:rFonts w:eastAsia="方正仿宋_GBK"/>
          <w:sz w:val="32"/>
          <w:szCs w:val="32"/>
          <w:lang w:eastAsia="zh-CN"/>
          <w:highlight w:val="auto"/>
        </w:rPr>
        <w:t>增加</w:t>
      </w:r>
      <w:r>
        <w:rPr>
          <w:rFonts w:eastAsia="方正仿宋_GBK" w:hint="eastAsia"/>
          <w:sz w:val="32"/>
          <w:szCs w:val="32"/>
          <w:highlight w:val="auto"/>
        </w:rPr>
        <w:t>。</w:t>
      </w:r>
    </w:p>
    <w:p>
      <w:pPr>
        <w:spacing w:line="560" w:lineRule="exact"/>
        <w:ind w:firstLineChars="200" w:firstLine="640"/>
        <w:rPr>
          <w:rFonts w:eastAsia="方正仿宋_GBK"/>
          <w:sz w:val="32"/>
          <w:szCs w:val="32"/>
          <w:highlight w:val="auto"/>
        </w:rPr>
      </w:pPr>
      <w:r>
        <w:rPr>
          <w:rFonts w:eastAsia="方正仿宋_GBK" w:hint="eastAsia"/>
          <w:sz w:val="32"/>
          <w:szCs w:val="32"/>
          <w:highlight w:val="auto"/>
        </w:rPr>
        <w:t>（</w:t>
      </w:r>
      <w:r>
        <w:rPr>
          <w:rFonts w:eastAsia="方正仿宋_GBK"/>
          <w:sz w:val="32"/>
          <w:szCs w:val="32"/>
          <w:highlight w:val="auto"/>
        </w:rPr>
        <w:t>3</w:t>
      </w:r>
      <w:r>
        <w:rPr>
          <w:rFonts w:eastAsia="方正仿宋_GBK" w:hint="eastAsia"/>
          <w:sz w:val="32"/>
          <w:szCs w:val="32"/>
          <w:highlight w:val="auto"/>
        </w:rPr>
        <w:t>）检验检疫（项）202</w:t>
      </w:r>
      <w:r>
        <w:rPr>
          <w:rFonts w:eastAsia="方正仿宋_GBK"/>
          <w:sz w:val="32"/>
          <w:szCs w:val="32"/>
          <w:highlight w:val="auto"/>
        </w:rPr>
        <w:t>4</w:t>
      </w:r>
      <w:r>
        <w:rPr>
          <w:rFonts w:eastAsia="方正仿宋_GBK" w:hint="eastAsia"/>
          <w:sz w:val="32"/>
          <w:szCs w:val="32"/>
          <w:highlight w:val="auto"/>
        </w:rPr>
        <w:t>年预算</w:t>
      </w:r>
      <w:r>
        <w:rPr>
          <w:rFonts w:eastAsia="方正仿宋_GBK"/>
          <w:sz w:val="32"/>
          <w:szCs w:val="32"/>
          <w:highlight w:val="auto"/>
        </w:rPr>
        <w:t>6</w:t>
      </w:r>
      <w:r>
        <w:rPr>
          <w:rFonts w:eastAsia="方正仿宋_GBK" w:hint="eastAsia"/>
          <w:sz w:val="32"/>
          <w:szCs w:val="32"/>
          <w:highlight w:val="auto"/>
        </w:rPr>
        <w:t>万元，比202</w:t>
      </w:r>
      <w:r>
        <w:rPr>
          <w:rFonts w:eastAsia="方正仿宋_GBK"/>
          <w:sz w:val="32"/>
          <w:szCs w:val="32"/>
          <w:highlight w:val="auto"/>
        </w:rPr>
        <w:t>3</w:t>
      </w:r>
      <w:r>
        <w:rPr>
          <w:rFonts w:eastAsia="方正仿宋_GBK" w:hint="eastAsia"/>
          <w:sz w:val="32"/>
          <w:szCs w:val="32"/>
          <w:highlight w:val="auto"/>
        </w:rPr>
        <w:t>年执行数</w:t>
      </w:r>
      <w:r>
        <w:rPr>
          <w:rFonts w:eastAsia="方正仿宋_GBK"/>
          <w:sz w:val="32"/>
          <w:szCs w:val="32"/>
          <w:highlight w:val="auto"/>
        </w:rPr>
        <w:t>减少5</w:t>
      </w:r>
      <w:r>
        <w:rPr>
          <w:rFonts w:eastAsia="方正仿宋_GBK" w:hint="eastAsia"/>
          <w:sz w:val="32"/>
          <w:szCs w:val="32"/>
          <w:highlight w:val="auto"/>
        </w:rPr>
        <w:t>万元，</w:t>
      </w:r>
      <w:r>
        <w:rPr>
          <w:rFonts w:eastAsia="方正仿宋_GBK"/>
          <w:sz w:val="32"/>
          <w:szCs w:val="32"/>
          <w:highlight w:val="auto"/>
        </w:rPr>
        <w:t>下降45.45</w:t>
      </w:r>
      <w:r>
        <w:rPr>
          <w:rFonts w:eastAsia="方正仿宋_GBK" w:hint="eastAsia"/>
          <w:sz w:val="32"/>
          <w:szCs w:val="32"/>
          <w:highlight w:val="auto"/>
        </w:rPr>
        <w:t>%。主要是检验检疫支出</w:t>
      </w:r>
      <w:r>
        <w:rPr>
          <w:rFonts w:eastAsia="方正仿宋_GBK"/>
          <w:sz w:val="32"/>
          <w:szCs w:val="32"/>
          <w:highlight w:val="auto"/>
        </w:rPr>
        <w:t>减少</w:t>
      </w:r>
      <w:r>
        <w:rPr>
          <w:rFonts w:eastAsia="方正仿宋_GBK" w:hint="eastAsia"/>
          <w:sz w:val="32"/>
          <w:szCs w:val="32"/>
          <w:highlight w:val="auto"/>
        </w:rPr>
        <w:t>。</w:t>
      </w:r>
    </w:p>
    <w:p>
      <w:pPr>
        <w:spacing w:line="560" w:lineRule="exact"/>
        <w:ind w:firstLineChars="200" w:firstLine="640"/>
        <w:rPr>
          <w:rFonts w:eastAsia="方正仿宋_GBK"/>
          <w:sz w:val="32"/>
          <w:szCs w:val="32"/>
          <w:highlight w:val="auto"/>
        </w:rPr>
      </w:pPr>
      <w:r>
        <w:rPr>
          <w:rFonts w:eastAsia="方正仿宋_GBK" w:hint="eastAsia"/>
          <w:sz w:val="32"/>
          <w:szCs w:val="32"/>
          <w:highlight w:val="auto"/>
        </w:rPr>
        <w:t>（</w:t>
      </w:r>
      <w:r>
        <w:rPr>
          <w:rFonts w:eastAsia="方正仿宋_GBK"/>
          <w:sz w:val="32"/>
          <w:szCs w:val="32"/>
          <w:highlight w:val="auto"/>
        </w:rPr>
        <w:t>4</w:t>
      </w:r>
      <w:r>
        <w:rPr>
          <w:rFonts w:eastAsia="方正仿宋_GBK" w:hint="eastAsia"/>
          <w:sz w:val="32"/>
          <w:szCs w:val="32"/>
          <w:highlight w:val="auto"/>
        </w:rPr>
        <w:t>）</w:t>
      </w:r>
      <w:r>
        <w:rPr>
          <w:rFonts w:eastAsia="方正仿宋_GBK"/>
          <w:sz w:val="32"/>
          <w:szCs w:val="32"/>
          <w:highlight w:val="auto"/>
        </w:rPr>
        <w:t>缉私办案</w:t>
      </w:r>
      <w:r>
        <w:rPr>
          <w:rFonts w:eastAsia="方正仿宋_GBK" w:hint="eastAsia"/>
          <w:sz w:val="32"/>
          <w:szCs w:val="32"/>
          <w:highlight w:val="auto"/>
        </w:rPr>
        <w:t>（项）202</w:t>
      </w:r>
      <w:r>
        <w:rPr>
          <w:rFonts w:eastAsia="方正仿宋_GBK"/>
          <w:sz w:val="32"/>
          <w:szCs w:val="32"/>
          <w:highlight w:val="auto"/>
        </w:rPr>
        <w:t>4</w:t>
      </w:r>
      <w:r>
        <w:rPr>
          <w:rFonts w:eastAsia="方正仿宋_GBK" w:hint="eastAsia"/>
          <w:sz w:val="32"/>
          <w:szCs w:val="32"/>
          <w:highlight w:val="auto"/>
        </w:rPr>
        <w:t>年预算</w:t>
      </w:r>
      <w:r>
        <w:rPr>
          <w:rFonts w:eastAsia="方正仿宋_GBK"/>
          <w:sz w:val="32"/>
          <w:szCs w:val="32"/>
          <w:highlight w:val="auto"/>
        </w:rPr>
        <w:t>1.50</w:t>
      </w:r>
      <w:r>
        <w:rPr>
          <w:rFonts w:eastAsia="方正仿宋_GBK" w:hint="eastAsia"/>
          <w:sz w:val="32"/>
          <w:szCs w:val="32"/>
          <w:highlight w:val="auto"/>
        </w:rPr>
        <w:t>万元，比202</w:t>
      </w:r>
      <w:r>
        <w:rPr>
          <w:rFonts w:eastAsia="方正仿宋_GBK"/>
          <w:sz w:val="32"/>
          <w:szCs w:val="32"/>
          <w:highlight w:val="auto"/>
        </w:rPr>
        <w:t>3</w:t>
      </w:r>
      <w:r>
        <w:rPr>
          <w:rFonts w:eastAsia="方正仿宋_GBK" w:hint="eastAsia"/>
          <w:sz w:val="32"/>
          <w:szCs w:val="32"/>
          <w:highlight w:val="auto"/>
        </w:rPr>
        <w:t>年执行数</w:t>
      </w:r>
      <w:r>
        <w:rPr>
          <w:rFonts w:eastAsia="方正仿宋_GBK"/>
          <w:sz w:val="32"/>
          <w:szCs w:val="32"/>
          <w:highlight w:val="auto"/>
        </w:rPr>
        <w:t>增加0.5</w:t>
      </w:r>
      <w:r>
        <w:rPr>
          <w:rFonts w:eastAsia="方正仿宋_GBK" w:hint="eastAsia"/>
          <w:sz w:val="32"/>
          <w:szCs w:val="32"/>
          <w:highlight w:val="auto"/>
        </w:rPr>
        <w:t>万元，</w:t>
      </w:r>
      <w:r>
        <w:rPr>
          <w:rFonts w:eastAsia="方正仿宋_GBK"/>
          <w:sz w:val="32"/>
          <w:szCs w:val="32"/>
          <w:highlight w:val="auto"/>
        </w:rPr>
        <w:t>上涨50.00</w:t>
      </w:r>
      <w:r>
        <w:rPr>
          <w:rFonts w:eastAsia="方正仿宋_GBK" w:hint="eastAsia"/>
          <w:sz w:val="32"/>
          <w:szCs w:val="32"/>
          <w:highlight w:val="auto"/>
        </w:rPr>
        <w:t>%。主要是安排的一次性项目支出</w:t>
      </w:r>
      <w:r>
        <w:rPr>
          <w:rFonts w:eastAsia="方正仿宋_GBK"/>
          <w:sz w:val="32"/>
          <w:szCs w:val="32"/>
          <w:lang w:eastAsia="zh-CN"/>
          <w:highlight w:val="auto"/>
        </w:rPr>
        <w:t>增加</w:t>
      </w:r>
      <w:r>
        <w:rPr>
          <w:rFonts w:eastAsia="方正仿宋_GBK" w:hint="eastAsia"/>
          <w:sz w:val="32"/>
          <w:szCs w:val="32"/>
          <w:highlight w:val="auto"/>
        </w:rPr>
        <w:t>。</w:t>
      </w:r>
    </w:p>
    <w:p>
      <w:pPr>
        <w:spacing w:line="560" w:lineRule="exact"/>
        <w:ind w:firstLineChars="200" w:firstLine="640"/>
        <w:rPr>
          <w:rFonts w:eastAsia="方正仿宋_GBK" w:hint="eastAsia"/>
          <w:sz w:val="32"/>
          <w:szCs w:val="32"/>
          <w:highlight w:val="auto"/>
        </w:rPr>
      </w:pPr>
      <w:r>
        <w:rPr>
          <w:rFonts w:eastAsia="方正仿宋_GBK" w:hint="eastAsia"/>
          <w:sz w:val="32"/>
          <w:szCs w:val="32"/>
          <w:highlight w:val="auto"/>
        </w:rPr>
        <w:t>（</w:t>
      </w:r>
      <w:r>
        <w:rPr>
          <w:rFonts w:eastAsia="方正仿宋_GBK"/>
          <w:sz w:val="32"/>
          <w:szCs w:val="32"/>
          <w:highlight w:val="auto"/>
        </w:rPr>
        <w:t>5</w:t>
      </w:r>
      <w:r>
        <w:rPr>
          <w:rFonts w:eastAsia="方正仿宋_GBK" w:hint="eastAsia"/>
          <w:sz w:val="32"/>
          <w:szCs w:val="32"/>
          <w:highlight w:val="auto"/>
        </w:rPr>
        <w:t>）海关</w:t>
      </w:r>
      <w:r>
        <w:rPr>
          <w:rFonts w:eastAsia="方正仿宋_GBK"/>
          <w:sz w:val="32"/>
          <w:szCs w:val="32"/>
          <w:highlight w:val="auto"/>
        </w:rPr>
        <w:t>监管</w:t>
      </w:r>
      <w:r>
        <w:rPr>
          <w:rFonts w:eastAsia="方正仿宋_GBK" w:hint="eastAsia"/>
          <w:sz w:val="32"/>
          <w:szCs w:val="32"/>
          <w:highlight w:val="auto"/>
        </w:rPr>
        <w:t>（项）202</w:t>
      </w:r>
      <w:r>
        <w:rPr>
          <w:rFonts w:eastAsia="方正仿宋_GBK"/>
          <w:sz w:val="32"/>
          <w:szCs w:val="32"/>
          <w:highlight w:val="auto"/>
        </w:rPr>
        <w:t>4</w:t>
      </w:r>
      <w:r>
        <w:rPr>
          <w:rFonts w:eastAsia="方正仿宋_GBK" w:hint="eastAsia"/>
          <w:sz w:val="32"/>
          <w:szCs w:val="32"/>
          <w:highlight w:val="auto"/>
        </w:rPr>
        <w:t>年预算</w:t>
      </w:r>
      <w:r>
        <w:rPr>
          <w:rFonts w:eastAsia="方正仿宋_GBK"/>
          <w:sz w:val="32"/>
          <w:szCs w:val="32"/>
          <w:highlight w:val="auto"/>
        </w:rPr>
        <w:t>2.15</w:t>
      </w:r>
      <w:r>
        <w:rPr>
          <w:rFonts w:eastAsia="方正仿宋_GBK" w:hint="eastAsia"/>
          <w:sz w:val="32"/>
          <w:szCs w:val="32"/>
          <w:highlight w:val="auto"/>
        </w:rPr>
        <w:t>万元，比202</w:t>
      </w:r>
      <w:r>
        <w:rPr>
          <w:rFonts w:eastAsia="方正仿宋_GBK"/>
          <w:sz w:val="32"/>
          <w:szCs w:val="32"/>
          <w:highlight w:val="auto"/>
        </w:rPr>
        <w:t>3</w:t>
      </w:r>
      <w:r>
        <w:rPr>
          <w:rFonts w:eastAsia="方正仿宋_GBK" w:hint="eastAsia"/>
          <w:sz w:val="32"/>
          <w:szCs w:val="32"/>
          <w:highlight w:val="auto"/>
        </w:rPr>
        <w:t>年执行数</w:t>
      </w:r>
      <w:r>
        <w:rPr>
          <w:rFonts w:eastAsia="方正仿宋_GBK"/>
          <w:sz w:val="32"/>
          <w:szCs w:val="32"/>
          <w:highlight w:val="auto"/>
        </w:rPr>
        <w:t>减少1.85</w:t>
      </w:r>
      <w:r>
        <w:rPr>
          <w:rFonts w:eastAsia="方正仿宋_GBK" w:hint="eastAsia"/>
          <w:sz w:val="32"/>
          <w:szCs w:val="32"/>
          <w:highlight w:val="auto"/>
        </w:rPr>
        <w:t>万元，</w:t>
      </w:r>
      <w:r>
        <w:rPr>
          <w:rFonts w:eastAsia="方正仿宋_GBK"/>
          <w:sz w:val="32"/>
          <w:szCs w:val="32"/>
          <w:highlight w:val="auto"/>
        </w:rPr>
        <w:t>下降46.25</w:t>
      </w:r>
      <w:r>
        <w:rPr>
          <w:rFonts w:eastAsia="方正仿宋_GBK" w:hint="eastAsia"/>
          <w:sz w:val="32"/>
          <w:szCs w:val="32"/>
          <w:highlight w:val="auto"/>
        </w:rPr>
        <w:t>%。主要是</w:t>
      </w:r>
      <w:r>
        <w:rPr>
          <w:rFonts w:eastAsia="方正仿宋_GBK"/>
          <w:sz w:val="32"/>
          <w:szCs w:val="32"/>
          <w:highlight w:val="auto"/>
        </w:rPr>
        <w:t>海关监管</w:t>
      </w:r>
      <w:r>
        <w:rPr>
          <w:rFonts w:eastAsia="方正仿宋_GBK" w:hint="eastAsia"/>
          <w:sz w:val="32"/>
          <w:szCs w:val="32"/>
          <w:highlight w:val="auto"/>
        </w:rPr>
        <w:t>支出</w:t>
      </w:r>
      <w:r>
        <w:rPr>
          <w:rFonts w:eastAsia="方正仿宋_GBK"/>
          <w:sz w:val="32"/>
          <w:szCs w:val="32"/>
          <w:lang w:eastAsia="zh-CN"/>
          <w:highlight w:val="auto"/>
        </w:rPr>
        <w:t>减少</w:t>
      </w:r>
      <w:r>
        <w:rPr>
          <w:rFonts w:eastAsia="方正仿宋_GBK" w:hint="eastAsia"/>
          <w:sz w:val="32"/>
          <w:szCs w:val="32"/>
          <w:highlight w:val="auto"/>
        </w:rPr>
        <w:t>。</w:t>
      </w:r>
    </w:p>
    <w:p>
      <w:pPr>
        <w:spacing w:line="560" w:lineRule="exact"/>
        <w:ind w:firstLineChars="200" w:firstLine="640"/>
        <w:rPr>
          <w:rFonts w:eastAsia="方正仿宋_GBK" w:hint="eastAsia"/>
          <w:sz w:val="32"/>
          <w:szCs w:val="32"/>
          <w:highlight w:val="auto"/>
        </w:rPr>
      </w:pPr>
      <w:r>
        <w:rPr>
          <w:rFonts w:eastAsia="方正仿宋_GBK"/>
          <w:sz w:val="32"/>
          <w:szCs w:val="32"/>
          <w:highlight w:val="auto"/>
        </w:rPr>
        <w:t>2</w:t>
      </w:r>
      <w:r>
        <w:rPr>
          <w:rFonts w:eastAsia="方正仿宋_GBK" w:hint="eastAsia"/>
          <w:sz w:val="32"/>
          <w:szCs w:val="32"/>
          <w:highlight w:val="auto"/>
        </w:rPr>
        <w:t>．社会保障和就业支出（类）行政事业单位养老支出（款）202</w:t>
      </w:r>
      <w:r>
        <w:rPr>
          <w:rFonts w:eastAsia="方正仿宋_GBK"/>
          <w:sz w:val="32"/>
          <w:szCs w:val="32"/>
          <w:highlight w:val="auto"/>
        </w:rPr>
        <w:t>4</w:t>
      </w:r>
      <w:r>
        <w:rPr>
          <w:rFonts w:eastAsia="方正仿宋_GBK" w:hint="eastAsia"/>
          <w:sz w:val="32"/>
          <w:szCs w:val="32"/>
          <w:highlight w:val="auto"/>
        </w:rPr>
        <w:t>年预算</w:t>
      </w:r>
      <w:r>
        <w:rPr>
          <w:rFonts w:eastAsia="方正仿宋_GBK"/>
          <w:sz w:val="32"/>
          <w:szCs w:val="32"/>
          <w:highlight w:val="auto"/>
        </w:rPr>
        <w:t>62.07</w:t>
      </w:r>
      <w:r>
        <w:rPr>
          <w:rFonts w:eastAsia="方正仿宋_GBK" w:hint="eastAsia"/>
          <w:sz w:val="32"/>
          <w:szCs w:val="32"/>
          <w:highlight w:val="auto"/>
        </w:rPr>
        <w:t>万元，比202</w:t>
      </w:r>
      <w:r>
        <w:rPr>
          <w:rFonts w:eastAsia="方正仿宋_GBK"/>
          <w:sz w:val="32"/>
          <w:szCs w:val="32"/>
          <w:highlight w:val="auto"/>
        </w:rPr>
        <w:t>3</w:t>
      </w:r>
      <w:r>
        <w:rPr>
          <w:rFonts w:eastAsia="方正仿宋_GBK" w:hint="eastAsia"/>
          <w:sz w:val="32"/>
          <w:szCs w:val="32"/>
          <w:highlight w:val="auto"/>
        </w:rPr>
        <w:t>年执行数</w:t>
      </w:r>
      <w:r>
        <w:rPr>
          <w:rFonts w:eastAsia="方正仿宋_GBK"/>
          <w:sz w:val="32"/>
          <w:szCs w:val="32"/>
          <w:highlight w:val="auto"/>
        </w:rPr>
        <w:t>增加7.87</w:t>
      </w:r>
      <w:r>
        <w:rPr>
          <w:rFonts w:eastAsia="方正仿宋_GBK" w:hint="eastAsia"/>
          <w:sz w:val="32"/>
          <w:szCs w:val="32"/>
          <w:highlight w:val="auto"/>
        </w:rPr>
        <w:t>万元，</w:t>
      </w:r>
      <w:r>
        <w:rPr>
          <w:rFonts w:eastAsia="方正仿宋_GBK"/>
          <w:sz w:val="32"/>
          <w:szCs w:val="32"/>
          <w:highlight w:val="auto"/>
        </w:rPr>
        <w:t>上涨14.52</w:t>
      </w:r>
      <w:r>
        <w:rPr>
          <w:rFonts w:eastAsia="方正仿宋_GBK" w:hint="eastAsia"/>
          <w:sz w:val="32"/>
          <w:szCs w:val="32"/>
          <w:highlight w:val="auto"/>
        </w:rPr>
        <w:t>%。其中：</w:t>
      </w:r>
    </w:p>
    <w:p>
      <w:pPr>
        <w:spacing w:line="560" w:lineRule="exact"/>
        <w:ind w:firstLineChars="200" w:firstLine="640"/>
        <w:rPr>
          <w:rFonts w:eastAsia="方正仿宋_GBK" w:hint="eastAsia"/>
          <w:sz w:val="32"/>
          <w:szCs w:val="32"/>
          <w:highlight w:val="auto"/>
        </w:rPr>
      </w:pPr>
      <w:r>
        <w:rPr>
          <w:rFonts w:eastAsia="方正仿宋_GBK" w:hint="eastAsia"/>
          <w:sz w:val="32"/>
          <w:szCs w:val="32"/>
          <w:highlight w:val="auto"/>
        </w:rPr>
        <w:t>（1）行政单位离退休（项）202</w:t>
      </w:r>
      <w:r>
        <w:rPr>
          <w:rFonts w:eastAsia="方正仿宋_GBK"/>
          <w:sz w:val="32"/>
          <w:szCs w:val="32"/>
          <w:highlight w:val="auto"/>
        </w:rPr>
        <w:t>4</w:t>
      </w:r>
      <w:r>
        <w:rPr>
          <w:rFonts w:eastAsia="方正仿宋_GBK" w:hint="eastAsia"/>
          <w:sz w:val="32"/>
          <w:szCs w:val="32"/>
          <w:highlight w:val="auto"/>
        </w:rPr>
        <w:t>年预算</w:t>
      </w:r>
      <w:r>
        <w:rPr>
          <w:rFonts w:eastAsia="方正仿宋_GBK"/>
          <w:sz w:val="32"/>
          <w:szCs w:val="32"/>
          <w:highlight w:val="auto"/>
        </w:rPr>
        <w:t>8.94</w:t>
      </w:r>
      <w:r>
        <w:rPr>
          <w:rFonts w:eastAsia="方正仿宋_GBK" w:hint="eastAsia"/>
          <w:sz w:val="32"/>
          <w:szCs w:val="32"/>
          <w:highlight w:val="auto"/>
        </w:rPr>
        <w:t>万元，比202</w:t>
      </w:r>
      <w:r>
        <w:rPr>
          <w:rFonts w:eastAsia="方正仿宋_GBK"/>
          <w:sz w:val="32"/>
          <w:szCs w:val="32"/>
          <w:highlight w:val="auto"/>
        </w:rPr>
        <w:t>3</w:t>
      </w:r>
      <w:r>
        <w:rPr>
          <w:rFonts w:eastAsia="方正仿宋_GBK" w:hint="eastAsia"/>
          <w:sz w:val="32"/>
          <w:szCs w:val="32"/>
          <w:highlight w:val="auto"/>
        </w:rPr>
        <w:t>年执行数增</w:t>
      </w:r>
      <w:r>
        <w:rPr>
          <w:rFonts w:eastAsia="方正仿宋_GBK"/>
          <w:sz w:val="32"/>
          <w:szCs w:val="32"/>
          <w:highlight w:val="auto"/>
        </w:rPr>
        <w:t>加3.09</w:t>
      </w:r>
      <w:r>
        <w:rPr>
          <w:rFonts w:eastAsia="方正仿宋_GBK" w:hint="eastAsia"/>
          <w:sz w:val="32"/>
          <w:szCs w:val="32"/>
          <w:highlight w:val="auto"/>
        </w:rPr>
        <w:t>万元，</w:t>
      </w:r>
      <w:r>
        <w:rPr>
          <w:rFonts w:eastAsia="方正仿宋_GBK"/>
          <w:sz w:val="32"/>
          <w:szCs w:val="32"/>
          <w:highlight w:val="auto"/>
        </w:rPr>
        <w:t>上涨52.82</w:t>
      </w:r>
      <w:r>
        <w:rPr>
          <w:rFonts w:eastAsia="方正仿宋_GBK" w:hint="eastAsia"/>
          <w:sz w:val="32"/>
          <w:szCs w:val="32"/>
          <w:highlight w:val="auto"/>
        </w:rPr>
        <w:t>%。主要是行政单位离退休经费增加。</w:t>
      </w:r>
    </w:p>
    <w:p>
      <w:pPr>
        <w:spacing w:line="560" w:lineRule="exact"/>
        <w:ind w:firstLineChars="200" w:firstLine="640"/>
        <w:rPr>
          <w:rFonts w:eastAsia="方正仿宋_GBK" w:hint="eastAsia"/>
          <w:sz w:val="32"/>
          <w:szCs w:val="32"/>
          <w:highlight w:val="auto"/>
        </w:rPr>
      </w:pPr>
      <w:r>
        <w:rPr>
          <w:rFonts w:eastAsia="方正仿宋_GBK" w:hint="eastAsia"/>
          <w:sz w:val="32"/>
          <w:szCs w:val="32"/>
          <w:highlight w:val="auto"/>
        </w:rPr>
        <w:t>（</w:t>
      </w:r>
      <w:r>
        <w:rPr>
          <w:rFonts w:eastAsia="方正仿宋_GBK"/>
          <w:sz w:val="32"/>
          <w:szCs w:val="32"/>
          <w:highlight w:val="auto"/>
        </w:rPr>
        <w:t>2</w:t>
      </w:r>
      <w:r>
        <w:rPr>
          <w:rFonts w:eastAsia="方正仿宋_GBK" w:hint="eastAsia"/>
          <w:sz w:val="32"/>
          <w:szCs w:val="32"/>
          <w:highlight w:val="auto"/>
        </w:rPr>
        <w:t>）机关事业单位基本养老保险缴费支出（项）202</w:t>
      </w:r>
      <w:r>
        <w:rPr>
          <w:rFonts w:eastAsia="方正仿宋_GBK"/>
          <w:sz w:val="32"/>
          <w:szCs w:val="32"/>
          <w:highlight w:val="auto"/>
        </w:rPr>
        <w:t>4</w:t>
      </w:r>
      <w:r>
        <w:rPr>
          <w:rFonts w:eastAsia="方正仿宋_GBK" w:hint="eastAsia"/>
          <w:sz w:val="32"/>
          <w:szCs w:val="32"/>
          <w:highlight w:val="auto"/>
        </w:rPr>
        <w:t>年预算</w:t>
      </w:r>
      <w:r>
        <w:rPr>
          <w:rFonts w:eastAsia="方正仿宋_GBK"/>
          <w:sz w:val="32"/>
          <w:szCs w:val="32"/>
          <w:highlight w:val="auto"/>
        </w:rPr>
        <w:t>35.42</w:t>
      </w:r>
      <w:r>
        <w:rPr>
          <w:rFonts w:eastAsia="方正仿宋_GBK" w:hint="eastAsia"/>
          <w:sz w:val="32"/>
          <w:szCs w:val="32"/>
          <w:highlight w:val="auto"/>
        </w:rPr>
        <w:t>万元，比202</w:t>
      </w:r>
      <w:r>
        <w:rPr>
          <w:rFonts w:eastAsia="方正仿宋_GBK"/>
          <w:sz w:val="32"/>
          <w:szCs w:val="32"/>
          <w:highlight w:val="auto"/>
        </w:rPr>
        <w:t>3</w:t>
      </w:r>
      <w:r>
        <w:rPr>
          <w:rFonts w:eastAsia="方正仿宋_GBK" w:hint="eastAsia"/>
          <w:sz w:val="32"/>
          <w:szCs w:val="32"/>
          <w:highlight w:val="auto"/>
        </w:rPr>
        <w:t>年执行数</w:t>
      </w:r>
      <w:r>
        <w:rPr>
          <w:rFonts w:eastAsia="方正仿宋_GBK"/>
          <w:sz w:val="32"/>
          <w:szCs w:val="32"/>
          <w:highlight w:val="auto"/>
        </w:rPr>
        <w:t>增加4.01</w:t>
      </w:r>
      <w:r>
        <w:rPr>
          <w:rFonts w:eastAsia="方正仿宋_GBK" w:hint="eastAsia"/>
          <w:sz w:val="32"/>
          <w:szCs w:val="32"/>
          <w:highlight w:val="auto"/>
        </w:rPr>
        <w:t>万元，</w:t>
      </w:r>
      <w:r>
        <w:rPr>
          <w:rFonts w:eastAsia="方正仿宋_GBK"/>
          <w:sz w:val="32"/>
          <w:szCs w:val="32"/>
          <w:highlight w:val="auto"/>
        </w:rPr>
        <w:t>上涨12.77</w:t>
      </w:r>
      <w:r>
        <w:rPr>
          <w:rFonts w:eastAsia="方正仿宋_GBK" w:hint="eastAsia"/>
          <w:sz w:val="32"/>
          <w:szCs w:val="32"/>
          <w:highlight w:val="auto"/>
        </w:rPr>
        <w:t>%。主要是基本养老保险单位缴费经费</w:t>
      </w:r>
      <w:r>
        <w:rPr>
          <w:rFonts w:eastAsia="方正仿宋_GBK"/>
          <w:sz w:val="32"/>
          <w:szCs w:val="32"/>
          <w:highlight w:val="auto"/>
        </w:rPr>
        <w:t>增加</w:t>
      </w:r>
      <w:r>
        <w:rPr>
          <w:rFonts w:eastAsia="方正仿宋_GBK" w:hint="eastAsia"/>
          <w:sz w:val="32"/>
          <w:szCs w:val="32"/>
          <w:highlight w:val="auto"/>
        </w:rPr>
        <w:t>。</w:t>
      </w:r>
    </w:p>
    <w:p>
      <w:pPr>
        <w:spacing w:line="560" w:lineRule="exact"/>
        <w:ind w:firstLineChars="200" w:firstLine="640"/>
        <w:rPr>
          <w:rFonts w:eastAsia="方正仿宋_GBK" w:hint="eastAsia"/>
          <w:sz w:val="32"/>
          <w:szCs w:val="32"/>
          <w:highlight w:val="auto"/>
        </w:rPr>
      </w:pPr>
      <w:r>
        <w:rPr>
          <w:rFonts w:eastAsia="方正仿宋_GBK" w:hint="eastAsia"/>
          <w:sz w:val="32"/>
          <w:szCs w:val="32"/>
          <w:highlight w:val="auto"/>
        </w:rPr>
        <w:t>（</w:t>
      </w:r>
      <w:r>
        <w:rPr>
          <w:rFonts w:eastAsia="方正仿宋_GBK"/>
          <w:sz w:val="32"/>
          <w:szCs w:val="32"/>
          <w:highlight w:val="auto"/>
        </w:rPr>
        <w:t>3</w:t>
      </w:r>
      <w:r>
        <w:rPr>
          <w:rFonts w:eastAsia="方正仿宋_GBK" w:hint="eastAsia"/>
          <w:sz w:val="32"/>
          <w:szCs w:val="32"/>
          <w:highlight w:val="auto"/>
        </w:rPr>
        <w:t>）机关事业单位职业年金缴费支出（项）202</w:t>
      </w:r>
      <w:r>
        <w:rPr>
          <w:rFonts w:eastAsia="方正仿宋_GBK"/>
          <w:sz w:val="32"/>
          <w:szCs w:val="32"/>
          <w:highlight w:val="auto"/>
        </w:rPr>
        <w:t>4</w:t>
      </w:r>
      <w:r>
        <w:rPr>
          <w:rFonts w:eastAsia="方正仿宋_GBK" w:hint="eastAsia"/>
          <w:sz w:val="32"/>
          <w:szCs w:val="32"/>
          <w:highlight w:val="auto"/>
        </w:rPr>
        <w:t>年预算</w:t>
      </w:r>
      <w:r>
        <w:rPr>
          <w:rFonts w:eastAsia="方正仿宋_GBK"/>
          <w:sz w:val="32"/>
          <w:szCs w:val="32"/>
          <w:highlight w:val="auto"/>
        </w:rPr>
        <w:t>17.71</w:t>
      </w:r>
      <w:r>
        <w:rPr>
          <w:rFonts w:eastAsia="方正仿宋_GBK" w:hint="eastAsia"/>
          <w:sz w:val="32"/>
          <w:szCs w:val="32"/>
          <w:highlight w:val="auto"/>
        </w:rPr>
        <w:t>万元，比202</w:t>
      </w:r>
      <w:r>
        <w:rPr>
          <w:rFonts w:eastAsia="方正仿宋_GBK"/>
          <w:sz w:val="32"/>
          <w:szCs w:val="32"/>
          <w:highlight w:val="auto"/>
        </w:rPr>
        <w:t>3</w:t>
      </w:r>
      <w:r>
        <w:rPr>
          <w:rFonts w:eastAsia="方正仿宋_GBK" w:hint="eastAsia"/>
          <w:sz w:val="32"/>
          <w:szCs w:val="32"/>
          <w:highlight w:val="auto"/>
        </w:rPr>
        <w:t>年执行数</w:t>
      </w:r>
      <w:r>
        <w:rPr>
          <w:rFonts w:eastAsia="方正仿宋_GBK"/>
          <w:sz w:val="32"/>
          <w:szCs w:val="32"/>
          <w:highlight w:val="auto"/>
        </w:rPr>
        <w:t>增加0.77</w:t>
      </w:r>
      <w:r>
        <w:rPr>
          <w:rFonts w:eastAsia="方正仿宋_GBK" w:hint="eastAsia"/>
          <w:sz w:val="32"/>
          <w:szCs w:val="32"/>
          <w:highlight w:val="auto"/>
        </w:rPr>
        <w:t>万元，</w:t>
      </w:r>
      <w:r>
        <w:rPr>
          <w:rFonts w:eastAsia="方正仿宋_GBK"/>
          <w:sz w:val="32"/>
          <w:szCs w:val="32"/>
          <w:highlight w:val="auto"/>
        </w:rPr>
        <w:t>上涨4.55</w:t>
      </w:r>
      <w:r>
        <w:rPr>
          <w:rFonts w:eastAsia="方正仿宋_GBK" w:hint="eastAsia"/>
          <w:sz w:val="32"/>
          <w:szCs w:val="32"/>
          <w:highlight w:val="auto"/>
        </w:rPr>
        <w:t>%。主要是职业年金单位缴费经费</w:t>
      </w:r>
      <w:r>
        <w:rPr>
          <w:rFonts w:eastAsia="方正仿宋_GBK"/>
          <w:sz w:val="32"/>
          <w:szCs w:val="32"/>
          <w:highlight w:val="auto"/>
        </w:rPr>
        <w:t>增加</w:t>
      </w:r>
      <w:r>
        <w:rPr>
          <w:rFonts w:eastAsia="方正仿宋_GBK" w:hint="eastAsia"/>
          <w:sz w:val="32"/>
          <w:szCs w:val="32"/>
          <w:highlight w:val="auto"/>
        </w:rPr>
        <w:t>。</w:t>
      </w:r>
    </w:p>
    <w:p>
      <w:pPr>
        <w:spacing w:line="560" w:lineRule="exact"/>
        <w:ind w:firstLineChars="200" w:firstLine="640"/>
        <w:rPr>
          <w:rFonts w:eastAsia="方正仿宋_GBK"/>
          <w:sz w:val="32"/>
          <w:szCs w:val="32"/>
          <w:highlight w:val="auto"/>
        </w:rPr>
      </w:pPr>
      <w:r>
        <w:rPr>
          <w:rFonts w:eastAsia="方正仿宋_GBK"/>
          <w:sz w:val="32"/>
          <w:szCs w:val="32"/>
          <w:highlight w:val="auto"/>
        </w:rPr>
        <w:t>3</w:t>
      </w:r>
      <w:r>
        <w:rPr>
          <w:rFonts w:eastAsia="方正仿宋_GBK" w:hint="eastAsia"/>
          <w:sz w:val="32"/>
          <w:szCs w:val="32"/>
          <w:highlight w:val="auto"/>
        </w:rPr>
        <w:t>．卫生健康支出（类）行政事业单位医疗（款）202</w:t>
      </w:r>
      <w:r>
        <w:rPr>
          <w:rFonts w:eastAsia="方正仿宋_GBK"/>
          <w:sz w:val="32"/>
          <w:szCs w:val="32"/>
          <w:highlight w:val="auto"/>
        </w:rPr>
        <w:t>4</w:t>
      </w:r>
      <w:r>
        <w:rPr>
          <w:rFonts w:eastAsia="方正仿宋_GBK" w:hint="eastAsia"/>
          <w:sz w:val="32"/>
          <w:szCs w:val="32"/>
          <w:highlight w:val="auto"/>
        </w:rPr>
        <w:t>年预算</w:t>
      </w:r>
      <w:r>
        <w:rPr>
          <w:rFonts w:eastAsia="方正仿宋_GBK"/>
          <w:sz w:val="32"/>
          <w:szCs w:val="32"/>
          <w:highlight w:val="auto"/>
        </w:rPr>
        <w:t>18.7</w:t>
      </w:r>
      <w:r>
        <w:rPr>
          <w:rFonts w:eastAsia="方正仿宋_GBK" w:hint="eastAsia"/>
          <w:sz w:val="32"/>
          <w:szCs w:val="32"/>
          <w:highlight w:val="auto"/>
        </w:rPr>
        <w:t>万元，比202</w:t>
      </w:r>
      <w:r>
        <w:rPr>
          <w:rFonts w:eastAsia="方正仿宋_GBK"/>
          <w:sz w:val="32"/>
          <w:szCs w:val="32"/>
          <w:highlight w:val="auto"/>
        </w:rPr>
        <w:t>3</w:t>
      </w:r>
      <w:r>
        <w:rPr>
          <w:rFonts w:eastAsia="方正仿宋_GBK" w:hint="eastAsia"/>
          <w:sz w:val="32"/>
          <w:szCs w:val="32"/>
          <w:highlight w:val="auto"/>
        </w:rPr>
        <w:t>年执行数</w:t>
      </w:r>
      <w:r>
        <w:rPr>
          <w:rFonts w:eastAsia="方正仿宋_GBK"/>
          <w:sz w:val="32"/>
          <w:szCs w:val="32"/>
          <w:highlight w:val="auto"/>
        </w:rPr>
        <w:t>增加1.25</w:t>
      </w:r>
      <w:r>
        <w:rPr>
          <w:rFonts w:eastAsia="方正仿宋_GBK" w:hint="eastAsia"/>
          <w:sz w:val="32"/>
          <w:szCs w:val="32"/>
          <w:highlight w:val="auto"/>
        </w:rPr>
        <w:t>万元，</w:t>
      </w:r>
      <w:r>
        <w:rPr>
          <w:rFonts w:eastAsia="方正仿宋_GBK"/>
          <w:sz w:val="32"/>
          <w:szCs w:val="32"/>
          <w:highlight w:val="auto"/>
        </w:rPr>
        <w:t>上涨7.16</w:t>
      </w:r>
      <w:r>
        <w:rPr>
          <w:rFonts w:eastAsia="方正仿宋_GBK" w:hint="eastAsia"/>
          <w:sz w:val="32"/>
          <w:szCs w:val="32"/>
          <w:highlight w:val="auto"/>
        </w:rPr>
        <w:t>%。其中：行政单</w:t>
      </w:r>
    </w:p>
    <w:p>
      <w:pPr>
        <w:spacing w:line="560" w:lineRule="exact"/>
        <w:ind w:left="0"/>
        <w:rPr>
          <w:rFonts w:eastAsia="方正仿宋_GBK"/>
          <w:sz w:val="32"/>
          <w:szCs w:val="32"/>
          <w:highlight w:val="auto"/>
        </w:rPr>
      </w:pPr>
      <w:r>
        <w:rPr>
          <w:rFonts w:eastAsia="方正仿宋_GBK" w:hint="eastAsia"/>
          <w:sz w:val="32"/>
          <w:szCs w:val="32"/>
          <w:highlight w:val="auto"/>
        </w:rPr>
        <w:t>位医疗（项）202</w:t>
      </w:r>
      <w:r>
        <w:rPr>
          <w:rFonts w:eastAsia="方正仿宋_GBK"/>
          <w:sz w:val="32"/>
          <w:szCs w:val="32"/>
          <w:highlight w:val="auto"/>
        </w:rPr>
        <w:t>4</w:t>
      </w:r>
      <w:r>
        <w:rPr>
          <w:rFonts w:eastAsia="方正仿宋_GBK" w:hint="eastAsia"/>
          <w:sz w:val="32"/>
          <w:szCs w:val="32"/>
          <w:highlight w:val="auto"/>
        </w:rPr>
        <w:t>年预算</w:t>
      </w:r>
      <w:r>
        <w:rPr>
          <w:rFonts w:eastAsia="方正仿宋_GBK"/>
          <w:sz w:val="32"/>
          <w:szCs w:val="32"/>
          <w:highlight w:val="auto"/>
        </w:rPr>
        <w:t>18.28</w:t>
      </w:r>
      <w:r>
        <w:rPr>
          <w:rFonts w:eastAsia="方正仿宋_GBK" w:hint="eastAsia"/>
          <w:sz w:val="32"/>
          <w:szCs w:val="32"/>
          <w:highlight w:val="auto"/>
        </w:rPr>
        <w:t>万元，比202</w:t>
      </w:r>
      <w:r>
        <w:rPr>
          <w:rFonts w:eastAsia="方正仿宋_GBK"/>
          <w:sz w:val="32"/>
          <w:szCs w:val="32"/>
          <w:highlight w:val="auto"/>
        </w:rPr>
        <w:t>3</w:t>
      </w:r>
      <w:r>
        <w:rPr>
          <w:rFonts w:eastAsia="方正仿宋_GBK" w:hint="eastAsia"/>
          <w:sz w:val="32"/>
          <w:szCs w:val="32"/>
          <w:highlight w:val="auto"/>
        </w:rPr>
        <w:t>年执行数</w:t>
      </w:r>
      <w:r>
        <w:rPr>
          <w:rFonts w:eastAsia="方正仿宋_GBK"/>
          <w:sz w:val="32"/>
          <w:szCs w:val="32"/>
          <w:highlight w:val="auto"/>
        </w:rPr>
        <w:t>增加1.28</w:t>
      </w:r>
      <w:r>
        <w:rPr>
          <w:rFonts w:eastAsia="方正仿宋_GBK" w:hint="eastAsia"/>
          <w:sz w:val="32"/>
          <w:szCs w:val="32"/>
          <w:highlight w:val="auto"/>
        </w:rPr>
        <w:t>万元，</w:t>
      </w:r>
      <w:r>
        <w:rPr>
          <w:rFonts w:eastAsia="方正仿宋_GBK"/>
          <w:sz w:val="32"/>
          <w:szCs w:val="32"/>
          <w:highlight w:val="auto"/>
        </w:rPr>
        <w:t>上涨7.53</w:t>
      </w:r>
      <w:r>
        <w:rPr>
          <w:rFonts w:eastAsia="方正仿宋_GBK" w:hint="eastAsia"/>
          <w:sz w:val="32"/>
          <w:szCs w:val="32"/>
          <w:highlight w:val="auto"/>
        </w:rPr>
        <w:t>%</w:t>
      </w:r>
      <w:r>
        <w:rPr>
          <w:rFonts w:eastAsia="方正仿宋_GBK"/>
          <w:sz w:val="32"/>
          <w:szCs w:val="32"/>
          <w:highlight w:val="auto"/>
        </w:rPr>
        <w:t>；其他行政事业单位医疗支出</w:t>
      </w:r>
      <w:r>
        <w:rPr>
          <w:rFonts w:eastAsia="方正仿宋_GBK" w:hint="eastAsia"/>
          <w:sz w:val="32"/>
          <w:szCs w:val="32"/>
          <w:highlight w:val="auto"/>
        </w:rPr>
        <w:t>（项）202</w:t>
      </w:r>
      <w:r>
        <w:rPr>
          <w:rFonts w:eastAsia="方正仿宋_GBK"/>
          <w:sz w:val="32"/>
          <w:szCs w:val="32"/>
          <w:highlight w:val="auto"/>
        </w:rPr>
        <w:t>4</w:t>
      </w:r>
      <w:r>
        <w:rPr>
          <w:rFonts w:eastAsia="方正仿宋_GBK" w:hint="eastAsia"/>
          <w:sz w:val="32"/>
          <w:szCs w:val="32"/>
          <w:highlight w:val="auto"/>
        </w:rPr>
        <w:t>年预算</w:t>
      </w:r>
      <w:r>
        <w:rPr>
          <w:rFonts w:eastAsia="方正仿宋_GBK"/>
          <w:sz w:val="32"/>
          <w:szCs w:val="32"/>
          <w:highlight w:val="auto"/>
        </w:rPr>
        <w:t>0.42</w:t>
      </w:r>
      <w:r>
        <w:rPr>
          <w:rFonts w:eastAsia="方正仿宋_GBK" w:hint="eastAsia"/>
          <w:sz w:val="32"/>
          <w:szCs w:val="32"/>
          <w:highlight w:val="auto"/>
        </w:rPr>
        <w:t>万元，比202</w:t>
      </w:r>
      <w:r>
        <w:rPr>
          <w:rFonts w:eastAsia="方正仿宋_GBK"/>
          <w:sz w:val="32"/>
          <w:szCs w:val="32"/>
          <w:highlight w:val="auto"/>
        </w:rPr>
        <w:t>3</w:t>
      </w:r>
      <w:r>
        <w:rPr>
          <w:rFonts w:eastAsia="方正仿宋_GBK" w:hint="eastAsia"/>
          <w:sz w:val="32"/>
          <w:szCs w:val="32"/>
          <w:highlight w:val="auto"/>
        </w:rPr>
        <w:t>年执行数</w:t>
      </w:r>
      <w:r>
        <w:rPr>
          <w:rFonts w:eastAsia="方正仿宋_GBK"/>
          <w:sz w:val="32"/>
          <w:szCs w:val="32"/>
          <w:highlight w:val="auto"/>
        </w:rPr>
        <w:t>减少0.03</w:t>
      </w:r>
      <w:r>
        <w:rPr>
          <w:rFonts w:eastAsia="方正仿宋_GBK" w:hint="eastAsia"/>
          <w:sz w:val="32"/>
          <w:szCs w:val="32"/>
          <w:highlight w:val="auto"/>
        </w:rPr>
        <w:t>万元，</w:t>
      </w:r>
      <w:r>
        <w:rPr>
          <w:rFonts w:eastAsia="方正仿宋_GBK"/>
          <w:sz w:val="32"/>
          <w:szCs w:val="32"/>
          <w:highlight w:val="auto"/>
        </w:rPr>
        <w:t>下降6.67</w:t>
      </w:r>
      <w:r>
        <w:rPr>
          <w:rFonts w:eastAsia="方正仿宋_GBK" w:hint="eastAsia"/>
          <w:sz w:val="32"/>
          <w:szCs w:val="32"/>
          <w:highlight w:val="auto"/>
        </w:rPr>
        <w:t>%。</w:t>
      </w:r>
    </w:p>
    <w:p>
      <w:pPr>
        <w:spacing w:line="560" w:lineRule="exact"/>
        <w:ind w:firstLineChars="200" w:firstLine="640"/>
        <w:rPr>
          <w:rFonts w:eastAsia="方正仿宋_GBK" w:hint="eastAsia"/>
          <w:sz w:val="32"/>
          <w:szCs w:val="32"/>
          <w:highlight w:val="auto"/>
        </w:rPr>
      </w:pPr>
      <w:r>
        <w:rPr>
          <w:rFonts w:eastAsia="方正仿宋_GBK"/>
          <w:sz w:val="32"/>
          <w:szCs w:val="32"/>
          <w:highlight w:val="auto"/>
        </w:rPr>
        <w:t>4</w:t>
      </w:r>
      <w:r>
        <w:rPr>
          <w:rFonts w:eastAsia="方正仿宋_GBK" w:hint="eastAsia"/>
          <w:sz w:val="32"/>
          <w:szCs w:val="32"/>
          <w:highlight w:val="auto"/>
        </w:rPr>
        <w:t>．住房保障支出（类）住房改革支出（款）202</w:t>
      </w:r>
      <w:r>
        <w:rPr>
          <w:rFonts w:eastAsia="方正仿宋_GBK"/>
          <w:sz w:val="32"/>
          <w:szCs w:val="32"/>
          <w:highlight w:val="auto"/>
        </w:rPr>
        <w:t>4</w:t>
      </w:r>
      <w:r>
        <w:rPr>
          <w:rFonts w:eastAsia="方正仿宋_GBK" w:hint="eastAsia"/>
          <w:sz w:val="32"/>
          <w:szCs w:val="32"/>
          <w:highlight w:val="auto"/>
        </w:rPr>
        <w:t>年预算</w:t>
      </w:r>
      <w:r>
        <w:rPr>
          <w:rFonts w:eastAsia="方正仿宋_GBK"/>
          <w:sz w:val="32"/>
          <w:szCs w:val="32"/>
          <w:highlight w:val="auto"/>
        </w:rPr>
        <w:t>62.96</w:t>
      </w:r>
      <w:r>
        <w:rPr>
          <w:rFonts w:eastAsia="方正仿宋_GBK" w:hint="eastAsia"/>
          <w:sz w:val="32"/>
          <w:szCs w:val="32"/>
          <w:highlight w:val="auto"/>
        </w:rPr>
        <w:t>万元，比202</w:t>
      </w:r>
      <w:r>
        <w:rPr>
          <w:rFonts w:eastAsia="方正仿宋_GBK"/>
          <w:sz w:val="32"/>
          <w:szCs w:val="32"/>
          <w:highlight w:val="auto"/>
        </w:rPr>
        <w:t>3</w:t>
      </w:r>
      <w:r>
        <w:rPr>
          <w:rFonts w:eastAsia="方正仿宋_GBK" w:hint="eastAsia"/>
          <w:sz w:val="32"/>
          <w:szCs w:val="32"/>
          <w:highlight w:val="auto"/>
        </w:rPr>
        <w:t>年执行数</w:t>
      </w:r>
      <w:r>
        <w:rPr>
          <w:rFonts w:eastAsia="方正仿宋_GBK"/>
          <w:sz w:val="32"/>
          <w:szCs w:val="32"/>
          <w:highlight w:val="auto"/>
        </w:rPr>
        <w:t>增加5.27</w:t>
      </w:r>
      <w:r>
        <w:rPr>
          <w:rFonts w:eastAsia="方正仿宋_GBK" w:hint="eastAsia"/>
          <w:sz w:val="32"/>
          <w:szCs w:val="32"/>
          <w:highlight w:val="auto"/>
        </w:rPr>
        <w:t>万元，</w:t>
      </w:r>
      <w:r>
        <w:rPr>
          <w:rFonts w:eastAsia="方正仿宋_GBK"/>
          <w:sz w:val="32"/>
          <w:szCs w:val="32"/>
          <w:highlight w:val="auto"/>
        </w:rPr>
        <w:t>上涨9.14</w:t>
      </w:r>
      <w:r>
        <w:rPr>
          <w:rFonts w:eastAsia="方正仿宋_GBK" w:hint="eastAsia"/>
          <w:sz w:val="32"/>
          <w:szCs w:val="32"/>
          <w:highlight w:val="auto"/>
        </w:rPr>
        <w:t>%。</w:t>
      </w:r>
      <w:r>
        <w:rPr>
          <w:rFonts w:eastAsia="方正仿宋_GBK" w:hint="eastAsia"/>
          <w:sz w:val="32"/>
          <w:szCs w:val="32"/>
          <w:lang w:eastAsia="zh-CN"/>
          <w:highlight w:val="auto"/>
        </w:rPr>
        <w:t>主要是缴存基数调整和职务职级变动相应</w:t>
      </w:r>
      <w:r>
        <w:rPr>
          <w:rFonts w:eastAsia="方正仿宋_GBK"/>
          <w:sz w:val="32"/>
          <w:szCs w:val="32"/>
          <w:lang w:eastAsia="zh-CN"/>
          <w:highlight w:val="auto"/>
        </w:rPr>
        <w:t>增加</w:t>
      </w:r>
      <w:r>
        <w:rPr>
          <w:rFonts w:eastAsia="方正仿宋_GBK" w:hint="eastAsia"/>
          <w:sz w:val="32"/>
          <w:szCs w:val="32"/>
          <w:lang w:eastAsia="zh-CN"/>
          <w:highlight w:val="auto"/>
        </w:rPr>
        <w:t>经费支出。</w:t>
      </w:r>
      <w:r>
        <w:rPr>
          <w:rFonts w:eastAsia="方正仿宋_GBK" w:hint="eastAsia"/>
          <w:sz w:val="32"/>
          <w:szCs w:val="32"/>
          <w:highlight w:val="auto"/>
        </w:rPr>
        <w:t>其中：</w:t>
      </w:r>
    </w:p>
    <w:p>
      <w:pPr>
        <w:spacing w:line="560" w:lineRule="exact"/>
        <w:ind w:firstLineChars="200" w:firstLine="640"/>
        <w:rPr>
          <w:rFonts w:eastAsia="方正仿宋_GBK" w:hint="eastAsia"/>
          <w:sz w:val="32"/>
          <w:szCs w:val="32"/>
          <w:highlight w:val="auto"/>
        </w:rPr>
      </w:pPr>
      <w:r>
        <w:rPr>
          <w:rFonts w:eastAsia="方正仿宋_GBK" w:hint="eastAsia"/>
          <w:sz w:val="32"/>
          <w:szCs w:val="32"/>
          <w:highlight w:val="auto"/>
        </w:rPr>
        <w:t>（1）住房公积金（项）202</w:t>
      </w:r>
      <w:r>
        <w:rPr>
          <w:rFonts w:eastAsia="方正仿宋_GBK"/>
          <w:sz w:val="32"/>
          <w:szCs w:val="32"/>
          <w:highlight w:val="auto"/>
        </w:rPr>
        <w:t>4</w:t>
      </w:r>
      <w:r>
        <w:rPr>
          <w:rFonts w:eastAsia="方正仿宋_GBK" w:hint="eastAsia"/>
          <w:sz w:val="32"/>
          <w:szCs w:val="32"/>
          <w:highlight w:val="auto"/>
        </w:rPr>
        <w:t>年预算</w:t>
      </w:r>
      <w:r>
        <w:rPr>
          <w:rFonts w:eastAsia="方正仿宋_GBK"/>
          <w:sz w:val="32"/>
          <w:szCs w:val="32"/>
          <w:highlight w:val="auto"/>
        </w:rPr>
        <w:t>37.24</w:t>
      </w:r>
      <w:r>
        <w:rPr>
          <w:rFonts w:eastAsia="方正仿宋_GBK" w:hint="eastAsia"/>
          <w:sz w:val="32"/>
          <w:szCs w:val="32"/>
          <w:highlight w:val="auto"/>
        </w:rPr>
        <w:t>万元，比202</w:t>
      </w:r>
      <w:r>
        <w:rPr>
          <w:rFonts w:eastAsia="方正仿宋_GBK"/>
          <w:sz w:val="32"/>
          <w:szCs w:val="32"/>
          <w:highlight w:val="auto"/>
        </w:rPr>
        <w:t>3</w:t>
      </w:r>
      <w:r>
        <w:rPr>
          <w:rFonts w:eastAsia="方正仿宋_GBK" w:hint="eastAsia"/>
          <w:sz w:val="32"/>
          <w:szCs w:val="32"/>
          <w:highlight w:val="auto"/>
        </w:rPr>
        <w:t>年执行数</w:t>
      </w:r>
      <w:r>
        <w:rPr>
          <w:rFonts w:eastAsia="方正仿宋_GBK"/>
          <w:sz w:val="32"/>
          <w:szCs w:val="32"/>
          <w:highlight w:val="auto"/>
        </w:rPr>
        <w:t>增加4.5</w:t>
      </w:r>
      <w:r>
        <w:rPr>
          <w:rFonts w:eastAsia="方正仿宋_GBK" w:hint="eastAsia"/>
          <w:sz w:val="32"/>
          <w:szCs w:val="32"/>
          <w:highlight w:val="auto"/>
        </w:rPr>
        <w:t>万元，</w:t>
      </w:r>
      <w:r>
        <w:rPr>
          <w:rFonts w:eastAsia="方正仿宋_GBK"/>
          <w:sz w:val="32"/>
          <w:szCs w:val="32"/>
          <w:highlight w:val="auto"/>
        </w:rPr>
        <w:t>上涨13.74</w:t>
      </w:r>
      <w:r>
        <w:rPr>
          <w:rFonts w:eastAsia="方正仿宋_GBK" w:hint="eastAsia"/>
          <w:sz w:val="32"/>
          <w:szCs w:val="32"/>
          <w:highlight w:val="auto"/>
        </w:rPr>
        <w:t>%。</w:t>
      </w:r>
    </w:p>
    <w:p>
      <w:pPr>
        <w:spacing w:line="560" w:lineRule="exact"/>
        <w:ind w:firstLineChars="200" w:firstLine="640"/>
        <w:rPr>
          <w:rFonts w:eastAsia="方正仿宋_GBK" w:hint="eastAsia"/>
          <w:sz w:val="32"/>
          <w:szCs w:val="32"/>
          <w:highlight w:val="auto"/>
        </w:rPr>
      </w:pPr>
      <w:r>
        <w:rPr>
          <w:rFonts w:eastAsia="方正仿宋_GBK" w:hint="eastAsia"/>
          <w:sz w:val="32"/>
          <w:szCs w:val="32"/>
          <w:highlight w:val="auto"/>
        </w:rPr>
        <w:t>（2）购房补贴（项）202</w:t>
      </w:r>
      <w:r>
        <w:rPr>
          <w:rFonts w:eastAsia="方正仿宋_GBK"/>
          <w:sz w:val="32"/>
          <w:szCs w:val="32"/>
          <w:highlight w:val="auto"/>
        </w:rPr>
        <w:t>4</w:t>
      </w:r>
      <w:r>
        <w:rPr>
          <w:rFonts w:eastAsia="方正仿宋_GBK" w:hint="eastAsia"/>
          <w:sz w:val="32"/>
          <w:szCs w:val="32"/>
          <w:highlight w:val="auto"/>
        </w:rPr>
        <w:t>年预算</w:t>
      </w:r>
      <w:r>
        <w:rPr>
          <w:rFonts w:eastAsia="方正仿宋_GBK"/>
          <w:sz w:val="32"/>
          <w:szCs w:val="32"/>
          <w:highlight w:val="auto"/>
        </w:rPr>
        <w:t>25.72</w:t>
      </w:r>
      <w:r>
        <w:rPr>
          <w:rFonts w:eastAsia="方正仿宋_GBK" w:hint="eastAsia"/>
          <w:sz w:val="32"/>
          <w:szCs w:val="32"/>
          <w:highlight w:val="auto"/>
        </w:rPr>
        <w:t>万元，</w:t>
      </w:r>
      <w:r>
        <w:rPr>
          <w:rFonts w:eastAsia="方正仿宋_GBK"/>
          <w:sz w:val="32"/>
          <w:szCs w:val="32"/>
          <w:highlight w:val="auto"/>
        </w:rPr>
        <w:t>比</w:t>
      </w:r>
      <w:r>
        <w:rPr>
          <w:rFonts w:eastAsia="方正仿宋_GBK" w:hint="eastAsia"/>
          <w:sz w:val="32"/>
          <w:szCs w:val="32"/>
          <w:highlight w:val="auto"/>
        </w:rPr>
        <w:t>202</w:t>
      </w:r>
      <w:r>
        <w:rPr>
          <w:rFonts w:eastAsia="方正仿宋_GBK"/>
          <w:sz w:val="32"/>
          <w:szCs w:val="32"/>
          <w:highlight w:val="auto"/>
        </w:rPr>
        <w:t>3</w:t>
      </w:r>
      <w:r>
        <w:rPr>
          <w:rFonts w:eastAsia="方正仿宋_GBK" w:hint="eastAsia"/>
          <w:sz w:val="32"/>
          <w:szCs w:val="32"/>
          <w:highlight w:val="auto"/>
        </w:rPr>
        <w:t>年执行数</w:t>
      </w:r>
      <w:r>
        <w:rPr>
          <w:rFonts w:eastAsia="方正仿宋_GBK"/>
          <w:sz w:val="32"/>
          <w:szCs w:val="32"/>
          <w:highlight w:val="auto"/>
        </w:rPr>
        <w:t>增加0.77万元，上涨3.09%</w:t>
      </w:r>
      <w:r>
        <w:rPr>
          <w:rFonts w:eastAsia="方正仿宋_GBK" w:hint="eastAsia"/>
          <w:sz w:val="32"/>
          <w:szCs w:val="32"/>
          <w:highlight w:val="auto"/>
        </w:rPr>
        <w:t>。</w:t>
      </w:r>
    </w:p>
    <w:p>
      <w:pPr>
        <w:pStyle w:val="30"/>
        <w:spacing w:line="560" w:lineRule="exact"/>
        <w:ind w:firstLineChars="200" w:firstLine="640"/>
        <w:rPr>
          <w:rFonts w:eastAsia="方正黑体_GBK" w:hint="eastAsia"/>
          <w:sz w:val="32"/>
          <w:szCs w:val="32"/>
          <w:highlight w:val="auto"/>
        </w:rPr>
      </w:pPr>
      <w:r>
        <w:rPr>
          <w:rFonts w:eastAsia="方正黑体_GBK" w:hint="eastAsia"/>
          <w:sz w:val="32"/>
          <w:szCs w:val="32"/>
          <w:highlight w:val="auto"/>
        </w:rPr>
        <w:t>六、关于202</w:t>
      </w:r>
      <w:r>
        <w:rPr>
          <w:rFonts w:eastAsia="方正黑体_GBK"/>
          <w:sz w:val="32"/>
          <w:szCs w:val="32"/>
          <w:highlight w:val="auto"/>
        </w:rPr>
        <w:t>4</w:t>
      </w:r>
      <w:r>
        <w:rPr>
          <w:rFonts w:eastAsia="方正黑体_GBK" w:hint="eastAsia"/>
          <w:sz w:val="32"/>
          <w:szCs w:val="32"/>
          <w:highlight w:val="auto"/>
        </w:rPr>
        <w:t>年一般公共预算基本支出情况说明</w:t>
      </w:r>
    </w:p>
    <w:p>
      <w:pPr>
        <w:spacing w:line="560" w:lineRule="exact"/>
        <w:ind w:firstLineChars="200" w:firstLine="640"/>
        <w:rPr>
          <w:rFonts w:eastAsia="方正仿宋_GBK" w:hint="eastAsia"/>
          <w:sz w:val="32"/>
          <w:szCs w:val="32"/>
          <w:highlight w:val="auto"/>
        </w:rPr>
      </w:pPr>
      <w:r>
        <w:rPr>
          <w:rFonts w:eastAsia="方正仿宋_GBK" w:hint="eastAsia"/>
          <w:sz w:val="32"/>
          <w:szCs w:val="32"/>
          <w:highlight w:val="auto"/>
        </w:rPr>
        <w:t>海关202</w:t>
      </w:r>
      <w:r>
        <w:rPr>
          <w:rFonts w:eastAsia="方正仿宋_GBK"/>
          <w:sz w:val="32"/>
          <w:szCs w:val="32"/>
          <w:highlight w:val="auto"/>
        </w:rPr>
        <w:t>4</w:t>
      </w:r>
      <w:r>
        <w:rPr>
          <w:rFonts w:eastAsia="方正仿宋_GBK" w:hint="eastAsia"/>
          <w:sz w:val="32"/>
          <w:szCs w:val="32"/>
          <w:highlight w:val="auto"/>
        </w:rPr>
        <w:t>年一般公共预算基本支出</w:t>
      </w:r>
      <w:r>
        <w:rPr>
          <w:rFonts w:eastAsia="方正仿宋_GBK"/>
          <w:sz w:val="32"/>
          <w:szCs w:val="32"/>
          <w:highlight w:val="auto"/>
        </w:rPr>
        <w:t>575.78</w:t>
      </w:r>
      <w:r>
        <w:rPr>
          <w:rFonts w:eastAsia="方正仿宋_GBK" w:hint="eastAsia"/>
          <w:sz w:val="32"/>
          <w:szCs w:val="32"/>
          <w:highlight w:val="auto"/>
        </w:rPr>
        <w:t>万元，其中：</w:t>
      </w:r>
    </w:p>
    <w:p>
      <w:pPr>
        <w:spacing w:line="560" w:lineRule="exact"/>
        <w:ind w:firstLineChars="200" w:firstLine="640"/>
        <w:rPr>
          <w:rFonts w:eastAsia="方正仿宋_GBK" w:hint="eastAsia"/>
          <w:sz w:val="32"/>
          <w:szCs w:val="32"/>
          <w:highlight w:val="auto"/>
        </w:rPr>
      </w:pPr>
      <w:r>
        <w:rPr>
          <w:rFonts w:eastAsia="方正仿宋_GBK" w:hint="eastAsia"/>
          <w:sz w:val="32"/>
          <w:szCs w:val="32"/>
          <w:highlight w:val="auto"/>
        </w:rPr>
        <w:t>人员经费</w:t>
      </w:r>
      <w:r>
        <w:rPr>
          <w:rFonts w:eastAsia="方正仿宋_GBK"/>
          <w:sz w:val="32"/>
          <w:szCs w:val="32"/>
          <w:highlight w:val="auto"/>
        </w:rPr>
        <w:t>413.37</w:t>
      </w:r>
      <w:r>
        <w:rPr>
          <w:rFonts w:eastAsia="方正仿宋_GBK" w:hint="eastAsia"/>
          <w:sz w:val="32"/>
          <w:szCs w:val="32"/>
          <w:highlight w:val="auto"/>
        </w:rPr>
        <w:t>万元，主要包括：基本工资、津贴补贴、奖金、机关事业单位基本养老保险缴费、职业年金缴费、职工基本医疗保险缴费、住房公积金、退休费、其他对个人和家庭的补助；</w:t>
      </w:r>
    </w:p>
    <w:p>
      <w:pPr>
        <w:spacing w:line="560" w:lineRule="exact"/>
        <w:ind w:firstLineChars="200" w:firstLine="640"/>
        <w:rPr>
          <w:rFonts w:eastAsia="方正仿宋_GBK" w:hint="eastAsia"/>
          <w:sz w:val="32"/>
          <w:szCs w:val="32"/>
          <w:highlight w:val="auto"/>
        </w:rPr>
      </w:pPr>
      <w:r>
        <w:rPr>
          <w:rFonts w:eastAsia="方正仿宋_GBK" w:hint="eastAsia"/>
          <w:sz w:val="32"/>
          <w:szCs w:val="32"/>
          <w:highlight w:val="auto"/>
        </w:rPr>
        <w:t>日常公用经费</w:t>
      </w:r>
      <w:r>
        <w:rPr>
          <w:rFonts w:eastAsia="方正仿宋_GBK"/>
          <w:sz w:val="32"/>
          <w:szCs w:val="32"/>
          <w:highlight w:val="auto"/>
        </w:rPr>
        <w:t>162.41</w:t>
      </w:r>
      <w:r>
        <w:rPr>
          <w:rFonts w:eastAsia="方正仿宋_GBK" w:hint="eastAsia"/>
          <w:sz w:val="32"/>
          <w:szCs w:val="32"/>
          <w:highlight w:val="auto"/>
        </w:rPr>
        <w:t>万元，主要包括：办公费、印刷费、咨询费、手续费、水费、电费、邮电费、取暖费、物业管理费、差旅费、维修（护）费、租赁费、培训费、专用材料费、被装购置费、劳务费、委托业务费、工会经费、福利费、其他交通费用、其他商品和服务支出、办公设备购置。</w:t>
      </w:r>
    </w:p>
    <w:p>
      <w:pPr>
        <w:pStyle w:val="30"/>
        <w:spacing w:line="560" w:lineRule="exact"/>
        <w:ind w:firstLineChars="200" w:firstLine="640"/>
        <w:rPr>
          <w:rFonts w:eastAsia="方正黑体_GBK" w:hint="eastAsia"/>
          <w:sz w:val="32"/>
          <w:szCs w:val="32"/>
          <w:highlight w:val="auto"/>
        </w:rPr>
      </w:pPr>
      <w:r>
        <w:rPr>
          <w:rFonts w:eastAsia="方正黑体_GBK" w:hint="eastAsia"/>
          <w:sz w:val="32"/>
          <w:szCs w:val="32"/>
          <w:highlight w:val="auto"/>
        </w:rPr>
        <w:t>七、关于202</w:t>
      </w:r>
      <w:r>
        <w:rPr>
          <w:rFonts w:eastAsia="方正黑体_GBK"/>
          <w:sz w:val="32"/>
          <w:szCs w:val="32"/>
          <w:highlight w:val="auto"/>
        </w:rPr>
        <w:t>4</w:t>
      </w:r>
      <w:r>
        <w:rPr>
          <w:rFonts w:eastAsia="方正黑体_GBK" w:hint="eastAsia"/>
          <w:sz w:val="32"/>
          <w:szCs w:val="32"/>
          <w:highlight w:val="auto"/>
        </w:rPr>
        <w:t>年“三公”经费预算情况说明</w:t>
      </w:r>
    </w:p>
    <w:p>
      <w:pPr>
        <w:spacing w:line="560" w:lineRule="exact"/>
        <w:ind w:firstLineChars="200" w:firstLine="640"/>
        <w:rPr>
          <w:rFonts w:eastAsia="方正仿宋_GBK"/>
          <w:sz w:val="32"/>
          <w:szCs w:val="32"/>
        </w:rPr>
      </w:pPr>
      <w:r>
        <w:rPr>
          <w:rFonts w:eastAsia="方正仿宋_GBK"/>
          <w:sz w:val="32"/>
          <w:szCs w:val="32"/>
        </w:rPr>
        <w:t>集宁</w:t>
      </w:r>
      <w:r>
        <w:rPr>
          <w:rFonts w:eastAsia="方正仿宋_GBK" w:hint="eastAsia"/>
          <w:sz w:val="32"/>
          <w:szCs w:val="32"/>
          <w:highlight w:val="auto"/>
        </w:rPr>
        <w:t>海关202</w:t>
      </w:r>
      <w:r>
        <w:rPr>
          <w:rFonts w:eastAsia="方正仿宋_GBK"/>
          <w:sz w:val="32"/>
          <w:szCs w:val="32"/>
          <w:highlight w:val="auto"/>
        </w:rPr>
        <w:t>4</w:t>
      </w:r>
      <w:r>
        <w:rPr>
          <w:rFonts w:eastAsia="方正仿宋_GBK" w:hint="eastAsia"/>
          <w:sz w:val="32"/>
          <w:szCs w:val="32"/>
          <w:highlight w:val="auto"/>
        </w:rPr>
        <w:t>年“三公”经费预算</w:t>
      </w:r>
      <w:r>
        <w:rPr>
          <w:rFonts w:eastAsia="方正仿宋_GBK"/>
          <w:sz w:val="32"/>
          <w:szCs w:val="32"/>
          <w:highlight w:val="auto"/>
        </w:rPr>
        <w:t>收支</w:t>
      </w:r>
      <w:r>
        <w:rPr>
          <w:rFonts w:eastAsia="方正仿宋_GBK" w:hint="eastAsia"/>
          <w:sz w:val="32"/>
          <w:szCs w:val="32"/>
          <w:highlight w:val="auto"/>
        </w:rPr>
        <w:t>数为</w:t>
      </w:r>
      <w:r>
        <w:rPr>
          <w:rFonts w:eastAsia="方正仿宋_GBK"/>
          <w:sz w:val="32"/>
          <w:szCs w:val="32"/>
          <w:highlight w:val="auto"/>
        </w:rPr>
        <w:t>33.52</w:t>
      </w:r>
      <w:r>
        <w:rPr>
          <w:rFonts w:eastAsia="方正仿宋_GBK" w:hint="eastAsia"/>
          <w:sz w:val="32"/>
          <w:szCs w:val="32"/>
          <w:highlight w:val="auto"/>
        </w:rPr>
        <w:t>万元，</w:t>
      </w:r>
      <w:r>
        <w:rPr>
          <w:rFonts w:eastAsia="方正仿宋_GBK"/>
          <w:sz w:val="32"/>
          <w:szCs w:val="32"/>
          <w:highlight w:val="auto"/>
        </w:rPr>
        <w:t>与</w:t>
      </w:r>
      <w:r>
        <w:rPr>
          <w:rFonts w:eastAsia="方正仿宋_GBK" w:hint="eastAsia"/>
          <w:sz w:val="32"/>
          <w:szCs w:val="32"/>
          <w:highlight w:val="auto"/>
        </w:rPr>
        <w:t>202</w:t>
      </w:r>
      <w:r>
        <w:rPr>
          <w:rFonts w:eastAsia="方正仿宋_GBK"/>
          <w:sz w:val="32"/>
          <w:szCs w:val="32"/>
          <w:highlight w:val="auto"/>
        </w:rPr>
        <w:t>3</w:t>
      </w:r>
      <w:r>
        <w:rPr>
          <w:rFonts w:eastAsia="方正仿宋_GBK" w:hint="eastAsia"/>
          <w:sz w:val="32"/>
          <w:szCs w:val="32"/>
          <w:highlight w:val="auto"/>
        </w:rPr>
        <w:t>年预算数</w:t>
      </w:r>
      <w:r>
        <w:rPr>
          <w:rFonts w:eastAsia="方正仿宋_GBK"/>
          <w:sz w:val="32"/>
          <w:szCs w:val="32"/>
          <w:highlight w:val="auto"/>
        </w:rPr>
        <w:t>相比增加了17.02万元</w:t>
      </w:r>
      <w:r>
        <w:rPr>
          <w:rFonts w:eastAsia="方正仿宋_GBK" w:hint="eastAsia"/>
          <w:sz w:val="32"/>
          <w:szCs w:val="32"/>
          <w:highlight w:val="auto"/>
        </w:rPr>
        <w:t>。其中：</w:t>
      </w:r>
      <w:r>
        <w:rPr>
          <w:rFonts w:eastAsia="方正仿宋_GBK"/>
          <w:sz w:val="32"/>
          <w:szCs w:val="32"/>
          <w:highlight w:val="auto"/>
        </w:rPr>
        <w:t>公务用车购置费18万元，</w:t>
      </w:r>
      <w:r>
        <w:rPr>
          <w:rFonts w:eastAsia="方正仿宋_GBK" w:hint="eastAsia"/>
          <w:sz w:val="32"/>
          <w:szCs w:val="32"/>
          <w:highlight w:val="auto"/>
        </w:rPr>
        <w:t>与202</w:t>
      </w:r>
      <w:r>
        <w:rPr>
          <w:rFonts w:eastAsia="方正仿宋_GBK"/>
          <w:sz w:val="32"/>
          <w:szCs w:val="32"/>
          <w:highlight w:val="auto"/>
        </w:rPr>
        <w:t>3</w:t>
      </w:r>
      <w:r>
        <w:rPr>
          <w:rFonts w:eastAsia="方正仿宋_GBK" w:hint="eastAsia"/>
          <w:sz w:val="32"/>
          <w:szCs w:val="32"/>
          <w:highlight w:val="auto"/>
        </w:rPr>
        <w:t>年预算数</w:t>
      </w:r>
      <w:r>
        <w:rPr>
          <w:rFonts w:eastAsia="方正仿宋_GBK"/>
          <w:sz w:val="32"/>
          <w:szCs w:val="32"/>
          <w:highlight w:val="auto"/>
        </w:rPr>
        <w:t>相比增加了18万元</w:t>
      </w:r>
      <w:r>
        <w:rPr>
          <w:rFonts w:eastAsia="方正仿宋_GBK" w:hint="eastAsia"/>
          <w:sz w:val="32"/>
          <w:szCs w:val="32"/>
          <w:highlight w:val="auto"/>
        </w:rPr>
        <w:t>。公务用车运行费</w:t>
      </w:r>
      <w:r>
        <w:rPr>
          <w:rFonts w:eastAsia="方正仿宋_GBK"/>
          <w:sz w:val="32"/>
          <w:szCs w:val="32"/>
          <w:highlight w:val="auto"/>
        </w:rPr>
        <w:t>15.52</w:t>
      </w:r>
      <w:r>
        <w:rPr>
          <w:rFonts w:eastAsia="方正仿宋_GBK" w:hint="eastAsia"/>
          <w:sz w:val="32"/>
          <w:szCs w:val="32"/>
          <w:highlight w:val="auto"/>
        </w:rPr>
        <w:t>万元，与202</w:t>
      </w:r>
      <w:r>
        <w:rPr>
          <w:rFonts w:eastAsia="方正仿宋_GBK"/>
          <w:sz w:val="32"/>
          <w:szCs w:val="32"/>
          <w:highlight w:val="auto"/>
        </w:rPr>
        <w:t>3</w:t>
      </w:r>
      <w:r>
        <w:rPr>
          <w:rFonts w:eastAsia="方正仿宋_GBK" w:hint="eastAsia"/>
          <w:sz w:val="32"/>
          <w:szCs w:val="32"/>
          <w:highlight w:val="auto"/>
        </w:rPr>
        <w:t>年预算数</w:t>
      </w:r>
      <w:r>
        <w:rPr>
          <w:rFonts w:eastAsia="方正仿宋_GBK"/>
          <w:sz w:val="32"/>
          <w:szCs w:val="32"/>
          <w:highlight w:val="auto"/>
        </w:rPr>
        <w:t>相比减少了0.98万元</w:t>
      </w:r>
      <w:r>
        <w:rPr>
          <w:rFonts w:eastAsia="方正仿宋_GBK" w:hint="eastAsia"/>
          <w:sz w:val="32"/>
          <w:szCs w:val="32"/>
          <w:highlight w:val="auto"/>
        </w:rPr>
        <w:t>。</w:t>
      </w:r>
    </w:p>
    <w:p>
      <w:pPr>
        <w:pStyle w:val="30"/>
        <w:spacing w:line="560" w:lineRule="exact"/>
        <w:ind w:firstLineChars="200" w:firstLine="640"/>
        <w:rPr>
          <w:rFonts w:eastAsia="方正黑体_GBK" w:hint="eastAsia"/>
          <w:sz w:val="32"/>
          <w:szCs w:val="32"/>
        </w:rPr>
      </w:pPr>
      <w:r>
        <w:rPr>
          <w:rFonts w:eastAsia="方正黑体_GBK" w:hint="eastAsia"/>
          <w:sz w:val="32"/>
          <w:szCs w:val="32"/>
          <w:highlight w:val="auto"/>
        </w:rPr>
        <w:t>八、关于202</w:t>
      </w:r>
      <w:r>
        <w:rPr>
          <w:rFonts w:eastAsia="方正黑体_GBK"/>
          <w:sz w:val="32"/>
          <w:szCs w:val="32"/>
          <w:highlight w:val="auto"/>
        </w:rPr>
        <w:t>4</w:t>
      </w:r>
      <w:r>
        <w:rPr>
          <w:rFonts w:eastAsia="方正黑体_GBK" w:hint="eastAsia"/>
          <w:sz w:val="32"/>
          <w:szCs w:val="32"/>
          <w:highlight w:val="auto"/>
        </w:rPr>
        <w:t>年政府性基金预算收支情况说明</w:t>
      </w:r>
    </w:p>
    <w:p>
      <w:pPr>
        <w:spacing w:line="560" w:lineRule="exact"/>
        <w:ind w:firstLineChars="200" w:firstLine="640"/>
        <w:rPr>
          <w:sz w:val="32"/>
          <w:szCs w:val="32"/>
          <w:highlight w:val="auto"/>
        </w:rPr>
      </w:pPr>
      <w:r>
        <w:rPr>
          <w:rFonts w:eastAsia="方正仿宋_GBK"/>
          <w:sz w:val="32"/>
          <w:szCs w:val="32"/>
        </w:rPr>
        <w:t>集宁</w:t>
      </w:r>
      <w:r>
        <w:rPr>
          <w:rFonts w:eastAsia="方正仿宋_GBK" w:hint="eastAsia"/>
          <w:sz w:val="32"/>
          <w:szCs w:val="32"/>
          <w:highlight w:val="auto"/>
        </w:rPr>
        <w:t>海关202</w:t>
      </w:r>
      <w:r>
        <w:rPr>
          <w:rFonts w:eastAsia="方正仿宋_GBK"/>
          <w:sz w:val="32"/>
          <w:szCs w:val="32"/>
          <w:highlight w:val="auto"/>
        </w:rPr>
        <w:t>4</w:t>
      </w:r>
      <w:r>
        <w:rPr>
          <w:rFonts w:eastAsia="方正仿宋_GBK" w:hint="eastAsia"/>
          <w:sz w:val="32"/>
          <w:szCs w:val="32"/>
          <w:highlight w:val="auto"/>
        </w:rPr>
        <w:t>年无政府性基金预算收支。</w:t>
      </w:r>
    </w:p>
    <w:p>
      <w:pPr>
        <w:pStyle w:val="30"/>
        <w:spacing w:line="560" w:lineRule="exact"/>
        <w:ind w:firstLineChars="200" w:firstLine="640"/>
        <w:rPr>
          <w:rFonts w:eastAsia="方正黑体_GBK" w:hint="eastAsia"/>
          <w:sz w:val="32"/>
          <w:szCs w:val="32"/>
          <w:highlight w:val="auto"/>
        </w:rPr>
      </w:pPr>
      <w:r>
        <w:rPr>
          <w:rFonts w:eastAsia="方正黑体_GBK" w:hint="eastAsia"/>
          <w:sz w:val="32"/>
          <w:szCs w:val="32"/>
          <w:highlight w:val="auto"/>
        </w:rPr>
        <w:t>九、关于202</w:t>
      </w:r>
      <w:r>
        <w:rPr>
          <w:rFonts w:eastAsia="方正黑体_GBK"/>
          <w:sz w:val="32"/>
          <w:szCs w:val="32"/>
          <w:highlight w:val="auto"/>
        </w:rPr>
        <w:t>4</w:t>
      </w:r>
      <w:r>
        <w:rPr>
          <w:rFonts w:eastAsia="方正黑体_GBK" w:hint="eastAsia"/>
          <w:sz w:val="32"/>
          <w:szCs w:val="32"/>
          <w:highlight w:val="auto"/>
        </w:rPr>
        <w:t>年国有资本经营预算收支情况说明</w:t>
      </w:r>
    </w:p>
    <w:p>
      <w:pPr>
        <w:spacing w:line="560" w:lineRule="exact"/>
        <w:ind w:firstLineChars="200" w:firstLine="640"/>
        <w:rPr>
          <w:rFonts w:eastAsia="方正仿宋_GBK" w:hint="eastAsia"/>
          <w:sz w:val="32"/>
          <w:szCs w:val="32"/>
          <w:highlight w:val="auto"/>
        </w:rPr>
      </w:pPr>
      <w:r>
        <w:rPr>
          <w:rFonts w:eastAsia="方正仿宋_GBK"/>
          <w:sz w:val="32"/>
          <w:szCs w:val="32"/>
        </w:rPr>
        <w:t>集宁</w:t>
      </w:r>
      <w:r>
        <w:rPr>
          <w:rFonts w:eastAsia="方正仿宋_GBK" w:hint="eastAsia"/>
          <w:sz w:val="32"/>
          <w:szCs w:val="32"/>
          <w:highlight w:val="auto"/>
        </w:rPr>
        <w:t>海关202</w:t>
      </w:r>
      <w:r>
        <w:rPr>
          <w:rFonts w:eastAsia="方正仿宋_GBK"/>
          <w:sz w:val="32"/>
          <w:szCs w:val="32"/>
          <w:highlight w:val="auto"/>
        </w:rPr>
        <w:t>4</w:t>
      </w:r>
      <w:r>
        <w:rPr>
          <w:rFonts w:eastAsia="方正仿宋_GBK" w:hint="eastAsia"/>
          <w:sz w:val="32"/>
          <w:szCs w:val="32"/>
          <w:highlight w:val="auto"/>
        </w:rPr>
        <w:t>年无国有</w:t>
      </w:r>
      <w:r>
        <w:rPr>
          <w:rFonts w:eastAsia="方正仿宋_GBK" w:hint="eastAsia"/>
          <w:sz w:val="32"/>
          <w:szCs w:val="32"/>
          <w:lang w:eastAsia="zh-CN"/>
          <w:highlight w:val="auto"/>
        </w:rPr>
        <w:t>资本</w:t>
      </w:r>
      <w:r>
        <w:rPr>
          <w:rFonts w:eastAsia="方正仿宋_GBK" w:hint="eastAsia"/>
          <w:sz w:val="32"/>
          <w:szCs w:val="32"/>
          <w:highlight w:val="auto"/>
        </w:rPr>
        <w:t>经营预算收支。</w:t>
      </w:r>
    </w:p>
    <w:p>
      <w:pPr>
        <w:pStyle w:val="30"/>
        <w:spacing w:line="560" w:lineRule="exact"/>
        <w:ind w:firstLineChars="200" w:firstLine="640"/>
        <w:rPr>
          <w:rFonts w:eastAsia="方正黑体_GBK" w:hint="eastAsia"/>
          <w:sz w:val="32"/>
          <w:szCs w:val="32"/>
          <w:highlight w:val="auto"/>
        </w:rPr>
      </w:pPr>
      <w:r>
        <w:rPr>
          <w:rFonts w:eastAsia="方正黑体_GBK" w:hint="eastAsia"/>
          <w:sz w:val="32"/>
          <w:szCs w:val="32"/>
          <w:highlight w:val="auto"/>
        </w:rPr>
        <w:t>十、其他重要事项情况说明</w:t>
      </w:r>
    </w:p>
    <w:p>
      <w:pPr>
        <w:spacing w:line="560" w:lineRule="exact"/>
        <w:ind w:firstLineChars="200" w:firstLine="640"/>
        <w:jc w:val="left"/>
        <w:rPr>
          <w:rFonts w:ascii="方正楷体_GBK" w:eastAsia="方正楷体_GBK" w:cs="方正楷体_GBK" w:hint="eastAsia"/>
          <w:b/>
          <w:bCs/>
          <w:sz w:val="32"/>
          <w:szCs w:val="32"/>
          <w:lang w:val="zh-CN" w:eastAsia="zh-CN" w:bidi="ar-SA"/>
          <w:highlight w:val="auto"/>
        </w:rPr>
      </w:pPr>
      <w:r>
        <w:rPr>
          <w:rFonts w:ascii="方正楷体_GBK" w:eastAsia="方正楷体_GBK" w:cs="方正楷体_GBK" w:hint="eastAsia"/>
          <w:b/>
          <w:bCs/>
          <w:sz w:val="32"/>
          <w:szCs w:val="32"/>
          <w:lang w:val="zh-CN" w:eastAsia="zh-CN" w:bidi="ar-SA"/>
          <w:highlight w:val="auto"/>
        </w:rPr>
        <w:t>（一）机关运行经费。</w:t>
      </w:r>
    </w:p>
    <w:p>
      <w:pPr>
        <w:spacing w:line="560" w:lineRule="exact"/>
        <w:ind w:firstLineChars="200" w:firstLine="640"/>
        <w:rPr>
          <w:rFonts w:eastAsia="方正仿宋_GBK" w:hint="eastAsia"/>
          <w:color w:val="FF0000"/>
          <w:sz w:val="32"/>
          <w:szCs w:val="32"/>
          <w:highlight w:val="auto"/>
        </w:rPr>
      </w:pPr>
      <w:r>
        <w:rPr>
          <w:rFonts w:eastAsia="方正仿宋_GBK" w:hint="eastAsia"/>
          <w:sz w:val="32"/>
          <w:szCs w:val="32"/>
          <w:highlight w:val="auto"/>
        </w:rPr>
        <w:t>202</w:t>
      </w:r>
      <w:r>
        <w:rPr>
          <w:rFonts w:eastAsia="方正仿宋_GBK"/>
          <w:sz w:val="32"/>
          <w:szCs w:val="32"/>
          <w:highlight w:val="auto"/>
        </w:rPr>
        <w:t>4</w:t>
      </w:r>
      <w:r>
        <w:rPr>
          <w:rFonts w:eastAsia="方正仿宋_GBK" w:hint="eastAsia"/>
          <w:sz w:val="32"/>
          <w:szCs w:val="32"/>
          <w:highlight w:val="auto"/>
        </w:rPr>
        <w:t>年</w:t>
      </w:r>
      <w:r>
        <w:rPr>
          <w:rFonts w:eastAsia="方正仿宋_GBK"/>
          <w:sz w:val="32"/>
          <w:szCs w:val="32"/>
        </w:rPr>
        <w:t>集宁</w:t>
      </w:r>
      <w:r>
        <w:rPr>
          <w:rFonts w:eastAsia="方正仿宋_GBK"/>
          <w:sz w:val="32"/>
          <w:szCs w:val="32"/>
          <w:highlight w:val="auto"/>
        </w:rPr>
        <w:t>海关</w:t>
      </w:r>
      <w:r>
        <w:rPr>
          <w:rFonts w:eastAsia="方正仿宋_GBK" w:hint="eastAsia"/>
          <w:sz w:val="32"/>
          <w:szCs w:val="32"/>
          <w:highlight w:val="auto"/>
        </w:rPr>
        <w:t>机关运行经费财政拨款预</w:t>
      </w:r>
      <w:r>
        <w:rPr>
          <w:rFonts w:eastAsia="方正仿宋_GBK" w:hint="eastAsia"/>
          <w:color w:val="000000"/>
          <w:sz w:val="32"/>
          <w:szCs w:val="32"/>
          <w:highlight w:val="auto"/>
        </w:rPr>
        <w:t>算</w:t>
      </w:r>
      <w:r>
        <w:rPr>
          <w:rFonts w:eastAsia="方正仿宋_GBK"/>
          <w:sz w:val="32"/>
          <w:szCs w:val="32"/>
          <w:highlight w:val="auto"/>
        </w:rPr>
        <w:t>161.4</w:t>
      </w:r>
      <w:r>
        <w:rPr>
          <w:rFonts w:eastAsia="方正仿宋_GBK" w:hint="eastAsia"/>
          <w:sz w:val="32"/>
          <w:szCs w:val="32"/>
          <w:highlight w:val="auto"/>
        </w:rPr>
        <w:t>万元，较202</w:t>
      </w:r>
      <w:r>
        <w:rPr>
          <w:rFonts w:eastAsia="方正仿宋_GBK"/>
          <w:sz w:val="32"/>
          <w:szCs w:val="32"/>
          <w:highlight w:val="auto"/>
        </w:rPr>
        <w:t>3</w:t>
      </w:r>
      <w:r>
        <w:rPr>
          <w:rFonts w:eastAsia="方正仿宋_GBK" w:hint="eastAsia"/>
          <w:sz w:val="32"/>
          <w:szCs w:val="32"/>
          <w:highlight w:val="auto"/>
        </w:rPr>
        <w:t>年执行预</w:t>
      </w:r>
      <w:r>
        <w:rPr>
          <w:rFonts w:eastAsia="方正仿宋_GBK" w:hint="eastAsia"/>
          <w:color w:val="000000"/>
          <w:sz w:val="32"/>
          <w:szCs w:val="32"/>
          <w:highlight w:val="auto"/>
        </w:rPr>
        <w:t>算</w:t>
      </w:r>
      <w:r>
        <w:rPr>
          <w:rFonts w:eastAsia="方正仿宋_GBK"/>
          <w:color w:val="000000"/>
          <w:sz w:val="32"/>
          <w:szCs w:val="32"/>
          <w:highlight w:val="auto"/>
        </w:rPr>
        <w:t>增加了3</w:t>
      </w:r>
      <w:r>
        <w:rPr>
          <w:rFonts w:eastAsia="方正仿宋_GBK" w:hint="eastAsia"/>
          <w:color w:val="000000"/>
          <w:sz w:val="32"/>
          <w:szCs w:val="32"/>
          <w:highlight w:val="auto"/>
        </w:rPr>
        <w:t>万元，</w:t>
      </w:r>
      <w:r>
        <w:rPr>
          <w:rFonts w:eastAsia="方正仿宋_GBK"/>
          <w:color w:val="000000"/>
          <w:sz w:val="32"/>
          <w:szCs w:val="32"/>
          <w:highlight w:val="auto"/>
        </w:rPr>
        <w:t>上涨1.89</w:t>
      </w:r>
      <w:r>
        <w:rPr>
          <w:rFonts w:eastAsia="方正仿宋_GBK" w:hint="eastAsia"/>
          <w:color w:val="000000"/>
          <w:sz w:val="32"/>
          <w:szCs w:val="32"/>
          <w:highlight w:val="auto"/>
        </w:rPr>
        <w:t>%。</w:t>
      </w:r>
    </w:p>
    <w:p>
      <w:pPr>
        <w:spacing w:line="560" w:lineRule="exact"/>
        <w:ind w:firstLineChars="200" w:firstLine="640"/>
        <w:jc w:val="left"/>
        <w:rPr>
          <w:rFonts w:ascii="方正楷体_GBK" w:eastAsia="方正楷体_GBK" w:cs="方正楷体_GBK" w:hint="eastAsia"/>
          <w:b/>
          <w:bCs/>
          <w:sz w:val="32"/>
          <w:szCs w:val="32"/>
          <w:lang w:val="zh-CN" w:eastAsia="zh-CN" w:bidi="ar-SA"/>
          <w:highlight w:val="auto"/>
        </w:rPr>
      </w:pPr>
      <w:r>
        <w:rPr>
          <w:rFonts w:ascii="方正楷体_GBK" w:eastAsia="方正楷体_GBK" w:cs="方正楷体_GBK" w:hint="eastAsia"/>
          <w:b/>
          <w:bCs/>
          <w:sz w:val="32"/>
          <w:szCs w:val="32"/>
          <w:lang w:val="zh-CN" w:eastAsia="zh-CN" w:bidi="ar-SA"/>
          <w:highlight w:val="auto"/>
        </w:rPr>
        <w:t>（二）政府采购情况。</w:t>
      </w:r>
    </w:p>
    <w:p>
      <w:pPr>
        <w:spacing w:line="560" w:lineRule="exact"/>
        <w:ind w:firstLineChars="200" w:firstLine="640"/>
        <w:rPr>
          <w:rFonts w:ascii="方正仿宋_GBK" w:eastAsia="方正仿宋_GBK" w:hint="eastAsia"/>
          <w:sz w:val="32"/>
          <w:szCs w:val="32"/>
          <w:highlight w:val="auto"/>
        </w:rPr>
      </w:pPr>
      <w:r>
        <w:rPr>
          <w:rFonts w:ascii="方正仿宋_GBK" w:eastAsia="方正仿宋_GBK" w:hint="eastAsia"/>
          <w:sz w:val="32"/>
          <w:szCs w:val="32"/>
          <w:highlight w:val="auto"/>
        </w:rPr>
        <w:t>本年政府采购无批复金额。</w:t>
      </w:r>
    </w:p>
    <w:p>
      <w:pPr>
        <w:spacing w:line="560" w:lineRule="exact"/>
        <w:ind w:firstLineChars="200" w:firstLine="640"/>
        <w:jc w:val="left"/>
        <w:rPr>
          <w:rFonts w:ascii="方正楷体_GBK" w:eastAsia="方正楷体_GBK" w:cs="方正楷体_GBK" w:hint="eastAsia"/>
          <w:b/>
          <w:bCs/>
          <w:sz w:val="32"/>
          <w:szCs w:val="32"/>
          <w:lang w:val="zh-CN" w:eastAsia="zh-CN" w:bidi="ar-SA"/>
          <w:highlight w:val="auto"/>
        </w:rPr>
      </w:pPr>
      <w:r>
        <w:rPr>
          <w:rFonts w:ascii="方正楷体_GBK" w:eastAsia="方正楷体_GBK" w:cs="方正楷体_GBK" w:hint="eastAsia"/>
          <w:b/>
          <w:bCs/>
          <w:sz w:val="32"/>
          <w:szCs w:val="32"/>
          <w:lang w:val="zh-CN" w:eastAsia="zh-CN" w:bidi="ar-SA"/>
          <w:highlight w:val="auto"/>
        </w:rPr>
        <w:t>（三）国有资产占有使用情况。</w:t>
      </w:r>
    </w:p>
    <w:p>
      <w:pPr>
        <w:spacing w:line="560" w:lineRule="exact"/>
        <w:ind w:firstLineChars="200" w:firstLine="640"/>
        <w:rPr>
          <w:rFonts w:eastAsia="方正仿宋_GBK" w:hint="eastAsia"/>
          <w:color w:val="000000"/>
          <w:sz w:val="32"/>
          <w:szCs w:val="32"/>
          <w:highlight w:val="auto"/>
        </w:rPr>
      </w:pPr>
      <w:r>
        <w:rPr>
          <w:rFonts w:eastAsia="方正仿宋_GBK" w:hint="eastAsia"/>
          <w:color w:val="000000"/>
          <w:sz w:val="32"/>
          <w:szCs w:val="32"/>
          <w:highlight w:val="auto"/>
        </w:rPr>
        <w:t>截至202</w:t>
      </w:r>
      <w:r>
        <w:rPr>
          <w:rFonts w:eastAsia="方正仿宋_GBK"/>
          <w:color w:val="000000"/>
          <w:sz w:val="32"/>
          <w:szCs w:val="32"/>
          <w:highlight w:val="auto"/>
        </w:rPr>
        <w:t>4</w:t>
      </w:r>
      <w:r>
        <w:rPr>
          <w:rFonts w:eastAsia="方正仿宋_GBK" w:hint="eastAsia"/>
          <w:color w:val="000000"/>
          <w:sz w:val="32"/>
          <w:szCs w:val="32"/>
          <w:highlight w:val="auto"/>
        </w:rPr>
        <w:t>年</w:t>
      </w:r>
      <w:r>
        <w:rPr>
          <w:rFonts w:eastAsia="方正仿宋_GBK"/>
          <w:color w:val="000000"/>
          <w:sz w:val="32"/>
          <w:szCs w:val="32"/>
          <w:highlight w:val="auto"/>
        </w:rPr>
        <w:t>4</w:t>
      </w:r>
      <w:r>
        <w:rPr>
          <w:rFonts w:eastAsia="方正仿宋_GBK" w:hint="eastAsia"/>
          <w:color w:val="000000"/>
          <w:sz w:val="32"/>
          <w:szCs w:val="32"/>
          <w:highlight w:val="auto"/>
        </w:rPr>
        <w:t>月3</w:t>
      </w:r>
      <w:r>
        <w:rPr>
          <w:rFonts w:eastAsia="方正仿宋_GBK"/>
          <w:color w:val="000000"/>
          <w:sz w:val="32"/>
          <w:szCs w:val="32"/>
          <w:highlight w:val="auto"/>
        </w:rPr>
        <w:t>0</w:t>
      </w:r>
      <w:r>
        <w:rPr>
          <w:rFonts w:eastAsia="方正仿宋_GBK" w:hint="eastAsia"/>
          <w:color w:val="000000"/>
          <w:sz w:val="32"/>
          <w:szCs w:val="32"/>
          <w:highlight w:val="auto"/>
        </w:rPr>
        <w:t>日，</w:t>
      </w:r>
      <w:r>
        <w:rPr>
          <w:rFonts w:eastAsia="方正仿宋_GBK"/>
          <w:color w:val="000000"/>
          <w:sz w:val="32"/>
          <w:szCs w:val="32"/>
        </w:rPr>
        <w:t>集宁</w:t>
      </w:r>
      <w:r>
        <w:rPr>
          <w:rFonts w:eastAsia="方正仿宋_GBK" w:hint="eastAsia"/>
          <w:color w:val="000000"/>
          <w:sz w:val="32"/>
          <w:szCs w:val="32"/>
          <w:highlight w:val="auto"/>
        </w:rPr>
        <w:t>海关共有车辆</w:t>
      </w:r>
      <w:r>
        <w:rPr>
          <w:rFonts w:eastAsia="方正仿宋_GBK"/>
          <w:color w:val="000000"/>
          <w:sz w:val="32"/>
          <w:szCs w:val="32"/>
          <w:lang w:val="en-US" w:eastAsia="zh-CN"/>
          <w:highlight w:val="auto"/>
        </w:rPr>
        <w:t>3</w:t>
      </w:r>
      <w:r>
        <w:rPr>
          <w:rFonts w:eastAsia="方正仿宋_GBK" w:hint="eastAsia"/>
          <w:color w:val="000000"/>
          <w:sz w:val="32"/>
          <w:szCs w:val="32"/>
          <w:highlight w:val="auto"/>
        </w:rPr>
        <w:t>辆，其中，机要通信用车</w:t>
      </w:r>
      <w:r>
        <w:rPr>
          <w:rFonts w:eastAsia="方正仿宋_GBK"/>
          <w:color w:val="000000"/>
          <w:sz w:val="32"/>
          <w:szCs w:val="32"/>
          <w:highlight w:val="auto"/>
        </w:rPr>
        <w:t>2</w:t>
      </w:r>
      <w:r>
        <w:rPr>
          <w:rFonts w:eastAsia="方正仿宋_GBK" w:hint="eastAsia"/>
          <w:color w:val="000000"/>
          <w:sz w:val="32"/>
          <w:szCs w:val="32"/>
          <w:highlight w:val="auto"/>
        </w:rPr>
        <w:t>辆、执法执勤用车</w:t>
      </w:r>
      <w:r>
        <w:rPr>
          <w:rFonts w:eastAsia="方正仿宋_GBK"/>
          <w:color w:val="000000"/>
          <w:sz w:val="32"/>
          <w:szCs w:val="32"/>
          <w:highlight w:val="auto"/>
        </w:rPr>
        <w:t>1</w:t>
      </w:r>
      <w:r>
        <w:rPr>
          <w:rFonts w:eastAsia="方正仿宋_GBK" w:hint="eastAsia"/>
          <w:color w:val="000000"/>
          <w:sz w:val="32"/>
          <w:szCs w:val="32"/>
          <w:highlight w:val="auto"/>
        </w:rPr>
        <w:t>辆。</w:t>
      </w:r>
    </w:p>
    <w:p>
      <w:pPr>
        <w:spacing w:line="560" w:lineRule="exact"/>
        <w:ind w:firstLineChars="200" w:firstLine="640"/>
        <w:jc w:val="left"/>
        <w:rPr>
          <w:rFonts w:ascii="方正楷体_GBK" w:eastAsia="方正楷体_GBK" w:cs="方正楷体_GBK" w:hint="eastAsia"/>
          <w:b/>
          <w:bCs/>
          <w:sz w:val="32"/>
          <w:szCs w:val="32"/>
          <w:lang w:val="zh-CN" w:eastAsia="zh-CN" w:bidi="ar-SA"/>
          <w:highlight w:val="auto"/>
        </w:rPr>
      </w:pPr>
      <w:r>
        <w:rPr>
          <w:rFonts w:ascii="方正楷体_GBK" w:eastAsia="方正楷体_GBK" w:cs="方正楷体_GBK" w:hint="eastAsia"/>
          <w:b/>
          <w:bCs/>
          <w:sz w:val="32"/>
          <w:szCs w:val="32"/>
          <w:lang w:val="zh-CN" w:eastAsia="zh-CN" w:bidi="ar-SA"/>
          <w:highlight w:val="auto"/>
        </w:rPr>
        <w:t>（四）预算绩效情况说明。</w:t>
      </w:r>
    </w:p>
    <w:p>
      <w:pPr>
        <w:spacing w:line="560" w:lineRule="exact"/>
        <w:ind w:firstLineChars="200" w:firstLine="640"/>
        <w:rPr>
          <w:b/>
          <w:bCs/>
          <w:sz w:val="32"/>
          <w:szCs w:val="32"/>
          <w:highlight w:val="auto"/>
        </w:rPr>
      </w:pPr>
      <w:r>
        <w:rPr>
          <w:rFonts w:eastAsia="方正仿宋_GBK" w:hint="eastAsia"/>
          <w:sz w:val="32"/>
          <w:szCs w:val="32"/>
          <w:highlight w:val="auto"/>
        </w:rPr>
        <w:t>202</w:t>
      </w:r>
      <w:r>
        <w:rPr>
          <w:rFonts w:eastAsia="方正仿宋_GBK"/>
          <w:sz w:val="32"/>
          <w:szCs w:val="32"/>
          <w:highlight w:val="auto"/>
        </w:rPr>
        <w:t>4</w:t>
      </w:r>
      <w:r>
        <w:rPr>
          <w:rFonts w:eastAsia="方正仿宋_GBK" w:hint="eastAsia"/>
          <w:sz w:val="32"/>
          <w:szCs w:val="32"/>
          <w:highlight w:val="auto"/>
        </w:rPr>
        <w:t>年</w:t>
      </w:r>
      <w:r>
        <w:rPr>
          <w:rFonts w:eastAsia="方正仿宋_GBK"/>
          <w:sz w:val="32"/>
          <w:szCs w:val="32"/>
        </w:rPr>
        <w:t>集宁</w:t>
      </w:r>
      <w:r>
        <w:rPr>
          <w:rFonts w:eastAsia="方正仿宋_GBK" w:hint="eastAsia"/>
          <w:sz w:val="32"/>
          <w:szCs w:val="32"/>
          <w:highlight w:val="auto"/>
        </w:rPr>
        <w:t>海关对一般公共预算拨款项目全面实施绩效目标管理，一般公共预算当年拨款</w:t>
      </w:r>
      <w:r>
        <w:rPr>
          <w:rFonts w:eastAsia="方正仿宋_GBK"/>
          <w:sz w:val="32"/>
          <w:szCs w:val="32"/>
        </w:rPr>
        <w:t>93.38</w:t>
      </w:r>
      <w:r>
        <w:rPr>
          <w:rFonts w:eastAsia="方正仿宋_GBK" w:hint="eastAsia"/>
          <w:sz w:val="32"/>
          <w:szCs w:val="32"/>
          <w:highlight w:val="auto"/>
        </w:rPr>
        <w:t>万元，二级项目</w:t>
      </w:r>
      <w:r>
        <w:rPr>
          <w:rFonts w:eastAsia="方正仿宋_GBK"/>
          <w:sz w:val="32"/>
          <w:szCs w:val="32"/>
        </w:rPr>
        <w:t>8</w:t>
      </w:r>
      <w:r>
        <w:rPr>
          <w:rFonts w:eastAsia="方正仿宋_GBK" w:hint="eastAsia"/>
          <w:sz w:val="32"/>
          <w:szCs w:val="32"/>
          <w:highlight w:val="auto"/>
        </w:rPr>
        <w:t>个。</w:t>
      </w:r>
    </w:p>
    <w:p>
      <w:pPr>
        <w:spacing w:line="560" w:lineRule="exact"/>
        <w:ind w:firstLineChars="200" w:firstLine="640"/>
        <w:rPr>
          <w:b/>
          <w:bCs/>
          <w:sz w:val="32"/>
          <w:szCs w:val="32"/>
          <w:highlight w:val="auto"/>
        </w:rPr>
      </w:pPr>
    </w:p>
    <w:p>
      <w:pPr>
        <w:rPr>
          <w:b/>
          <w:sz w:val="32"/>
          <w:szCs w:val="32"/>
          <w:highlight w:val="auto"/>
        </w:rPr>
      </w:pPr>
    </w:p>
    <w:p>
      <w:pPr>
        <w:rPr>
          <w:b/>
          <w:sz w:val="32"/>
          <w:szCs w:val="32"/>
          <w:highlight w:val="auto"/>
        </w:rPr>
      </w:pPr>
    </w:p>
    <w:p>
      <w:pPr>
        <w:rPr>
          <w:b/>
          <w:sz w:val="32"/>
          <w:szCs w:val="32"/>
          <w:highlight w:val="auto"/>
        </w:rPr>
      </w:pPr>
    </w:p>
    <w:p>
      <w:pPr>
        <w:rPr>
          <w:b/>
          <w:sz w:val="32"/>
          <w:szCs w:val="32"/>
          <w:highlight w:val="auto"/>
        </w:rPr>
      </w:pPr>
    </w:p>
    <w:p>
      <w:pPr>
        <w:rPr>
          <w:b/>
          <w:sz w:val="32"/>
          <w:szCs w:val="32"/>
          <w:highlight w:val="auto"/>
        </w:rPr>
      </w:pPr>
    </w:p>
    <w:p>
      <w:pPr>
        <w:rPr>
          <w:b/>
          <w:sz w:val="84"/>
          <w:szCs w:val="84"/>
          <w:highlight w:val="auto"/>
        </w:rPr>
      </w:pPr>
    </w:p>
    <w:p>
      <w:pPr>
        <w:jc w:val="center"/>
        <w:rPr>
          <w:b/>
          <w:sz w:val="84"/>
          <w:szCs w:val="84"/>
          <w:highlight w:val="auto"/>
        </w:rPr>
      </w:pPr>
    </w:p>
    <w:p>
      <w:pPr>
        <w:jc w:val="center"/>
        <w:rPr>
          <w:b/>
          <w:sz w:val="84"/>
          <w:szCs w:val="84"/>
          <w:highlight w:val="auto"/>
        </w:rPr>
      </w:pPr>
    </w:p>
    <w:p>
      <w:pPr>
        <w:jc w:val="center"/>
        <w:rPr>
          <w:b/>
          <w:sz w:val="84"/>
          <w:szCs w:val="84"/>
          <w:highlight w:val="auto"/>
        </w:rPr>
      </w:pPr>
    </w:p>
    <w:p>
      <w:pPr>
        <w:jc w:val="center"/>
        <w:rPr>
          <w:b/>
          <w:sz w:val="84"/>
          <w:szCs w:val="84"/>
          <w:highlight w:val="auto"/>
        </w:rPr>
      </w:pPr>
    </w:p>
    <w:p>
      <w:pPr>
        <w:jc w:val="center"/>
        <w:rPr>
          <w:b/>
          <w:sz w:val="84"/>
          <w:szCs w:val="84"/>
          <w:highlight w:val="auto"/>
        </w:rPr>
      </w:pPr>
    </w:p>
    <w:p>
      <w:pPr>
        <w:jc w:val="center"/>
        <w:rPr>
          <w:b/>
          <w:sz w:val="84"/>
          <w:szCs w:val="84"/>
          <w:highlight w:val="auto"/>
        </w:rPr>
      </w:pPr>
      <w:r>
        <w:rPr>
          <w:rFonts w:hint="eastAsia"/>
          <w:b/>
          <w:sz w:val="84"/>
          <w:szCs w:val="84"/>
          <w:highlight w:val="auto"/>
        </w:rPr>
        <w:t>第四部分</w:t>
      </w:r>
      <w:r>
        <w:rPr>
          <w:b/>
          <w:sz w:val="84"/>
          <w:szCs w:val="84"/>
          <w:highlight w:val="auto"/>
        </w:rPr>
        <w:t xml:space="preserve">  </w:t>
      </w:r>
    </w:p>
    <w:p>
      <w:pPr>
        <w:jc w:val="center"/>
        <w:rPr>
          <w:b/>
          <w:sz w:val="84"/>
          <w:szCs w:val="84"/>
          <w:highlight w:val="auto"/>
        </w:rPr>
      </w:pPr>
      <w:r>
        <w:rPr>
          <w:rFonts w:hint="eastAsia"/>
          <w:b/>
          <w:sz w:val="84"/>
          <w:szCs w:val="84"/>
          <w:highlight w:val="auto"/>
        </w:rPr>
        <w:t>名词解释</w:t>
      </w:r>
    </w:p>
    <w:p>
      <w:pPr>
        <w:rPr>
          <w:b/>
          <w:sz w:val="32"/>
          <w:szCs w:val="84"/>
          <w:highlight w:val="auto"/>
        </w:rPr>
      </w:pPr>
      <w:r>
        <w:rPr>
          <w:b/>
          <w:sz w:val="84"/>
          <w:szCs w:val="84"/>
          <w:highlight w:val="auto"/>
        </w:rPr>
        <w:br w:type="page"/>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一、一般公共预算拨款收入</w:t>
      </w:r>
      <w:r>
        <w:rPr>
          <w:rFonts w:eastAsia="方正仿宋_GBK" w:hint="eastAsia"/>
          <w:sz w:val="32"/>
          <w:szCs w:val="32"/>
          <w:highlight w:val="auto"/>
        </w:rPr>
        <w:t>：指中央财政当年拨付的资金。</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二、事业收入</w:t>
      </w:r>
      <w:r>
        <w:rPr>
          <w:rFonts w:eastAsia="方正仿宋_GBK" w:hint="eastAsia"/>
          <w:sz w:val="32"/>
          <w:szCs w:val="32"/>
          <w:highlight w:val="auto"/>
        </w:rPr>
        <w:t>：指海关系统所属事业单位开展专业业务活动及辅助活动取得的收入。</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三、事业单位经营收入</w:t>
      </w:r>
      <w:r>
        <w:rPr>
          <w:rFonts w:eastAsia="方正仿宋_GBK" w:hint="eastAsia"/>
          <w:sz w:val="32"/>
          <w:szCs w:val="32"/>
          <w:highlight w:val="auto"/>
        </w:rPr>
        <w:t>：指海关系统所属事业单位在专业业务活动及辅助活动之外，开展非独立核算经营活动取得的收入。</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四、其他收入</w:t>
      </w:r>
      <w:r>
        <w:rPr>
          <w:rFonts w:eastAsia="方正仿宋_GBK" w:hint="eastAsia"/>
          <w:sz w:val="32"/>
          <w:szCs w:val="32"/>
          <w:highlight w:val="auto"/>
        </w:rPr>
        <w:t>：指海关系统取得的除上述财政拨款收入、事业收入、事业单位经营收入等以外的收入。</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五、使用非财政拨款结余</w:t>
      </w:r>
      <w:r>
        <w:rPr>
          <w:rFonts w:eastAsia="方正仿宋_GBK" w:hint="eastAsia"/>
          <w:sz w:val="32"/>
          <w:szCs w:val="32"/>
          <w:highlight w:val="auto"/>
        </w:rPr>
        <w:t>：指海关系统所属事业单位预计收入小于支出时，用非财政拨款结余弥补本年度收支差额的数额。</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六、上年结转</w:t>
      </w:r>
      <w:r>
        <w:rPr>
          <w:rFonts w:eastAsia="方正仿宋_GBK" w:hint="eastAsia"/>
          <w:sz w:val="32"/>
          <w:szCs w:val="32"/>
          <w:highlight w:val="auto"/>
        </w:rPr>
        <w:t>：指以前年度尚未完成、结转到本年仍按原规定用途继续使用的资金等。</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七、一般公共服务支出（类）海关事务（款）</w:t>
      </w:r>
      <w:r>
        <w:rPr>
          <w:rFonts w:eastAsia="方正仿宋_GBK" w:hint="eastAsia"/>
          <w:sz w:val="32"/>
          <w:szCs w:val="32"/>
          <w:highlight w:val="auto"/>
        </w:rPr>
        <w:t>：反映海关用于系统行政和事业单位的基本支出及完成专项业务工作的项目支出。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（一）行政运行（项）</w:t>
      </w:r>
      <w:r>
        <w:rPr>
          <w:rFonts w:eastAsia="方正仿宋_GBK" w:hint="eastAsia"/>
          <w:sz w:val="32"/>
          <w:szCs w:val="32"/>
          <w:highlight w:val="auto"/>
        </w:rPr>
        <w:t>：反映海关系统行政单位（包括实行公务员管理的事业单位）的基本支出。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（二）一般行政管理事务（项）</w:t>
      </w:r>
      <w:r>
        <w:rPr>
          <w:rFonts w:eastAsia="方正仿宋_GBK" w:hint="eastAsia"/>
          <w:sz w:val="32"/>
          <w:szCs w:val="32"/>
          <w:highlight w:val="auto"/>
        </w:rPr>
        <w:t>：反映海关系统行政单位（包括实行公务员管理的事业单位）未单独设置项级科目的其他项目支出。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（三）机关服务（项）</w:t>
      </w:r>
      <w:r>
        <w:rPr>
          <w:rFonts w:eastAsia="方正仿宋_GBK" w:hint="eastAsia"/>
          <w:sz w:val="32"/>
          <w:szCs w:val="32"/>
          <w:highlight w:val="auto"/>
        </w:rPr>
        <w:t>：反映海关系统为行政单位（包括实行公务员管理的事业单位）提供后勤服务的各类后勤服务中心、医务室等附属事业单位的支出。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（四）缉私办案（项）</w:t>
      </w:r>
      <w:r>
        <w:rPr>
          <w:rFonts w:eastAsia="方正仿宋_GBK" w:hint="eastAsia"/>
          <w:sz w:val="32"/>
          <w:szCs w:val="32"/>
          <w:highlight w:val="auto"/>
        </w:rPr>
        <w:t>：反映海关用于缉私办案方面的支出。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（五）口岸管理（项）</w:t>
      </w:r>
      <w:r>
        <w:rPr>
          <w:rFonts w:eastAsia="方正仿宋_GBK" w:hint="eastAsia"/>
          <w:sz w:val="32"/>
          <w:szCs w:val="32"/>
          <w:highlight w:val="auto"/>
        </w:rPr>
        <w:t>：反映口岸业务管理及电子口岸建设、运行维护方面的支出。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（六）信息化建设（项）</w:t>
      </w:r>
      <w:r>
        <w:rPr>
          <w:rFonts w:eastAsia="方正仿宋_GBK" w:hint="eastAsia"/>
          <w:sz w:val="32"/>
          <w:szCs w:val="32"/>
          <w:highlight w:val="auto"/>
        </w:rPr>
        <w:t>：反映海关系统用于信息化建设及运行维护等方面的支出。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（七）海关关务（项）</w:t>
      </w:r>
      <w:r>
        <w:rPr>
          <w:rFonts w:eastAsia="方正仿宋_GBK" w:hint="eastAsia"/>
          <w:sz w:val="32"/>
          <w:szCs w:val="32"/>
          <w:highlight w:val="auto"/>
        </w:rPr>
        <w:t>：反映为海关行政执法提供业务保障、支持能力以及基础设施建设、设备设施运维等方面的支出。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（八）关税征管（项）</w:t>
      </w:r>
      <w:r>
        <w:rPr>
          <w:rFonts w:eastAsia="方正仿宋_GBK" w:hint="eastAsia"/>
          <w:sz w:val="32"/>
          <w:szCs w:val="32"/>
          <w:highlight w:val="auto"/>
        </w:rPr>
        <w:t>：反映海关系统用于关税及其他税费征管方面的支出。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（九）海关监管（项）</w:t>
      </w:r>
      <w:r>
        <w:rPr>
          <w:rFonts w:eastAsia="方正仿宋_GBK" w:hint="eastAsia"/>
          <w:sz w:val="32"/>
          <w:szCs w:val="32"/>
          <w:highlight w:val="auto"/>
        </w:rPr>
        <w:t>：反映海关系统用于监管执法、业务管理及相关设备、技术支持方面的支出。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（十）检验检疫（项）</w:t>
      </w:r>
      <w:r>
        <w:rPr>
          <w:rFonts w:eastAsia="方正仿宋_GBK" w:hint="eastAsia"/>
          <w:sz w:val="32"/>
          <w:szCs w:val="32"/>
          <w:highlight w:val="auto"/>
        </w:rPr>
        <w:t>：反映海关系统用于出入境检验检疫行政执法、业务管理及相关技术支持方面的支出。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（十一）事业运行（项）</w:t>
      </w:r>
      <w:r>
        <w:rPr>
          <w:rFonts w:eastAsia="方正仿宋_GBK" w:hint="eastAsia"/>
          <w:sz w:val="32"/>
          <w:szCs w:val="32"/>
          <w:highlight w:val="auto"/>
        </w:rPr>
        <w:t>：反映海关事业单位的基本支出，不包括行政单位（包括实行公务员管理的事业单位）后勤服务中心、医务室等附属事业单位。</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（十二）其他海关事务支出（项）</w:t>
      </w:r>
      <w:r>
        <w:rPr>
          <w:rFonts w:eastAsia="方正仿宋_GBK" w:hint="eastAsia"/>
          <w:sz w:val="32"/>
          <w:szCs w:val="32"/>
          <w:highlight w:val="auto"/>
        </w:rPr>
        <w:t>：反映除上述项目以外其他海关事务方面的支出。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（十三）派驻派出机构（项）</w:t>
      </w:r>
      <w:r>
        <w:rPr>
          <w:rFonts w:eastAsia="方正仿宋_GBK" w:hint="eastAsia"/>
          <w:sz w:val="32"/>
          <w:szCs w:val="32"/>
          <w:highlight w:val="auto"/>
        </w:rPr>
        <w:t>：指中央纪委国家监委驻海关总署开展工作的专项业务支出。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八、外交支出（类）对外援助（款）对外援助（项）</w:t>
      </w:r>
      <w:r>
        <w:rPr>
          <w:rFonts w:eastAsia="方正仿宋_GBK" w:hint="eastAsia"/>
          <w:sz w:val="32"/>
          <w:szCs w:val="32"/>
          <w:highlight w:val="auto"/>
        </w:rPr>
        <w:t>：指对外国政府（地区）提供的各种援助和技术合作支出。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九、外交支出（类）驻外机构（款）其他驻外机构支出（项）</w:t>
      </w:r>
      <w:r>
        <w:rPr>
          <w:rFonts w:eastAsia="方正仿宋_GBK" w:hint="eastAsia"/>
          <w:sz w:val="32"/>
          <w:szCs w:val="32"/>
          <w:highlight w:val="auto"/>
        </w:rPr>
        <w:t>：反映用于保障海关系统驻外机构正常运行的支出。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十、外交支出（类）国际组织（款）国际组织会费（项）</w:t>
      </w:r>
      <w:r>
        <w:rPr>
          <w:rFonts w:eastAsia="方正仿宋_GBK" w:hint="eastAsia"/>
          <w:sz w:val="32"/>
          <w:szCs w:val="32"/>
          <w:highlight w:val="auto"/>
        </w:rPr>
        <w:t>：反映海关经批准参加国际组织，按国际组织规定缴纳的会费。</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十一、外交支出（类）国际组织（款）国际组织捐赠（项）</w:t>
      </w:r>
      <w:r>
        <w:rPr>
          <w:rFonts w:eastAsia="方正仿宋_GBK" w:hint="eastAsia"/>
          <w:sz w:val="32"/>
          <w:szCs w:val="32"/>
          <w:highlight w:val="auto"/>
        </w:rPr>
        <w:t>：反映以我国政府或海关总署名义，向国际组织的认捐、救灾、馈赠等支出。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十二、外交支出（类）对外合作与交流（款）对外合作活动（项）</w:t>
      </w:r>
      <w:r>
        <w:rPr>
          <w:rFonts w:eastAsia="方正仿宋_GBK" w:hint="eastAsia"/>
          <w:sz w:val="32"/>
          <w:szCs w:val="32"/>
          <w:highlight w:val="auto"/>
        </w:rPr>
        <w:t>：反映海关用于外交目的的对外合作方面支出。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十三、外交支出（类）其他外交支出（款）其他外交支出（项）</w:t>
      </w:r>
      <w:r>
        <w:rPr>
          <w:rFonts w:eastAsia="方正仿宋_GBK" w:hint="eastAsia"/>
          <w:sz w:val="32"/>
          <w:szCs w:val="32"/>
          <w:highlight w:val="auto"/>
        </w:rPr>
        <w:t>：反映除上述项目以外其他用于外交方面的支出。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十四、公共安全支出（类）缉私警察（款）</w:t>
      </w:r>
      <w:r>
        <w:rPr>
          <w:rFonts w:eastAsia="方正仿宋_GBK" w:hint="eastAsia"/>
          <w:sz w:val="32"/>
          <w:szCs w:val="32"/>
          <w:highlight w:val="auto"/>
        </w:rPr>
        <w:t>：反映海关缉私警察的基本支出及完成专项业务工作的项目支出。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十五、教育支出（类）普通教育（款）高等教育（项）</w:t>
      </w:r>
      <w:r>
        <w:rPr>
          <w:rFonts w:eastAsia="方正仿宋_GBK" w:hint="eastAsia"/>
          <w:sz w:val="32"/>
          <w:szCs w:val="32"/>
          <w:highlight w:val="auto"/>
        </w:rPr>
        <w:t>：反映海关所属院校教学等方面的支出。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十六、教育支出（类）进修及培训（款）培训支出（项）</w:t>
      </w:r>
      <w:r>
        <w:rPr>
          <w:rFonts w:eastAsia="方正仿宋_GBK" w:hint="eastAsia"/>
          <w:sz w:val="32"/>
          <w:szCs w:val="32"/>
          <w:highlight w:val="auto"/>
        </w:rPr>
        <w:t>：反映海关安排的用于培训的支出。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十七、社会保障和就业支出（类）行政事业单位养老支出（款）</w:t>
      </w:r>
      <w:r>
        <w:rPr>
          <w:rFonts w:eastAsia="方正仿宋_GBK" w:hint="eastAsia"/>
          <w:sz w:val="32"/>
          <w:szCs w:val="32"/>
          <w:highlight w:val="auto"/>
        </w:rPr>
        <w:t>：反映用于海关行政事业单位离退休方面的支出。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（一）行政单位离退休（项）</w:t>
      </w:r>
      <w:r>
        <w:rPr>
          <w:rFonts w:eastAsia="方正仿宋_GBK" w:hint="eastAsia"/>
          <w:sz w:val="32"/>
          <w:szCs w:val="32"/>
          <w:highlight w:val="auto"/>
        </w:rPr>
        <w:t>：反映海关系统行政单位（包括实行公务员管理的事业单位）开支的离退休支出。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（二）事业单位离退休（项）</w:t>
      </w:r>
      <w:r>
        <w:rPr>
          <w:rFonts w:eastAsia="方正仿宋_GBK" w:hint="eastAsia"/>
          <w:sz w:val="32"/>
          <w:szCs w:val="32"/>
          <w:highlight w:val="auto"/>
        </w:rPr>
        <w:t>：反映海关系统事业单位开支的离退休经费。</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（三）离退休人员管理机构（项）</w:t>
      </w:r>
      <w:r>
        <w:rPr>
          <w:rFonts w:eastAsia="方正仿宋_GBK" w:hint="eastAsia"/>
          <w:sz w:val="32"/>
          <w:szCs w:val="32"/>
          <w:highlight w:val="auto"/>
        </w:rPr>
        <w:t>：反映海关系统为离退休人员提供管理服务的离退休管理机构的支出。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（四）机关事业单位基本养老保险缴费支出（项）</w:t>
      </w:r>
      <w:r>
        <w:rPr>
          <w:rFonts w:eastAsia="方正仿宋_GBK" w:hint="eastAsia"/>
          <w:sz w:val="32"/>
          <w:szCs w:val="32"/>
          <w:highlight w:val="auto"/>
        </w:rPr>
        <w:t>：反映已参加当地社保的在职人员的基本养老保险支出。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（五）机关事业单位职业年金缴费支出（项）</w:t>
      </w:r>
      <w:r>
        <w:rPr>
          <w:rFonts w:eastAsia="方正仿宋_GBK" w:hint="eastAsia"/>
          <w:sz w:val="32"/>
          <w:szCs w:val="32"/>
          <w:highlight w:val="auto"/>
        </w:rPr>
        <w:t>：反映已参加当地社保的在职人员的职业年金支出。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十八、住房保障支出（类）住房改革支出（款）</w:t>
      </w:r>
      <w:r>
        <w:rPr>
          <w:rFonts w:eastAsia="方正仿宋_GBK" w:hint="eastAsia"/>
          <w:sz w:val="32"/>
          <w:szCs w:val="32"/>
          <w:highlight w:val="auto"/>
        </w:rPr>
        <w:t>：反映海关系统按照国家政策规定为职工发放的住房公积金、提租补贴和购房补贴等支出。住房改革支出包括三项：</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（一）住房公积金（项）</w:t>
      </w:r>
      <w:r>
        <w:rPr>
          <w:rFonts w:eastAsia="方正仿宋_GBK" w:hint="eastAsia"/>
          <w:sz w:val="32"/>
          <w:szCs w:val="32"/>
          <w:highlight w:val="auto"/>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（二）提租补贴（项）</w:t>
      </w:r>
      <w:r>
        <w:rPr>
          <w:rFonts w:eastAsia="方正仿宋_GBK" w:hint="eastAsia"/>
          <w:sz w:val="32"/>
          <w:szCs w:val="32"/>
          <w:highlight w:val="auto"/>
        </w:rPr>
        <w:t>：提租补贴是经国务院批准，于2000年开始针对在京中央单位公有住房租金标准提高发放的补贴，中央在京单位按照在职在编职工人数和离退休人数以及相应职级的补贴标准确定，人均月补贴90元。</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（三）购房补贴（项）</w:t>
      </w:r>
      <w:r>
        <w:rPr>
          <w:rFonts w:eastAsia="方正仿宋_GBK" w:hint="eastAsia"/>
          <w:sz w:val="32"/>
          <w:szCs w:val="32"/>
          <w:highlight w:val="auto"/>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lt;关于完善在京中央和国家机关住房制度的若干意见&gt;的通知》（厅字〔2005〕8号）规定的标准执行，京外中央单位按照所在地人民政府住房分配货币化改革的政策规定和标准执行。</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十九、卫生健康支出（类）行政事业单位医疗（款）</w:t>
      </w:r>
      <w:r>
        <w:rPr>
          <w:rFonts w:eastAsia="方正仿宋_GBK" w:hint="eastAsia"/>
          <w:sz w:val="32"/>
          <w:szCs w:val="32"/>
          <w:highlight w:val="auto"/>
        </w:rPr>
        <w:t>：反映已参加当地医保的海关单位用于向地方社保部门缴纳的基本医疗保险和公务员医疗补助支出。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（一）行政单位医疗（项）</w:t>
      </w:r>
      <w:r>
        <w:rPr>
          <w:rFonts w:eastAsia="方正仿宋_GBK" w:hint="eastAsia"/>
          <w:sz w:val="32"/>
          <w:szCs w:val="32"/>
          <w:highlight w:val="auto"/>
        </w:rPr>
        <w:t>：指中央财政集中安排的驻各地海关单位基本医疗保险缴费经费。</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（二）公务员医疗补助（项）</w:t>
      </w:r>
      <w:r>
        <w:rPr>
          <w:rFonts w:eastAsia="方正仿宋_GBK" w:hint="eastAsia"/>
          <w:sz w:val="32"/>
          <w:szCs w:val="32"/>
          <w:highlight w:val="auto"/>
        </w:rPr>
        <w:t>：指中央财政集中安排的驻各地海关单位公务员医疗补助经费。</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二十、“三公”经费</w:t>
      </w:r>
      <w:r>
        <w:rPr>
          <w:rFonts w:eastAsia="方正仿宋_GBK" w:hint="eastAsia"/>
          <w:sz w:val="32"/>
          <w:szCs w:val="32"/>
          <w:highlight w:val="auto"/>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二十一、机关运行经费</w:t>
      </w:r>
      <w:r>
        <w:rPr>
          <w:rFonts w:eastAsia="方正仿宋_GBK" w:hint="eastAsia"/>
          <w:sz w:val="32"/>
          <w:szCs w:val="32"/>
          <w:highlight w:val="auto"/>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Chars="200" w:firstLine="640"/>
        <w:rPr>
          <w:rFonts w:eastAsia="方正仿宋_GBK" w:hint="eastAsia"/>
          <w:sz w:val="32"/>
          <w:szCs w:val="32"/>
          <w:highlight w:val="auto"/>
        </w:rPr>
      </w:pPr>
    </w:p>
    <w:p>
      <w:pPr>
        <w:spacing w:line="560" w:lineRule="exact"/>
        <w:ind w:firstLineChars="200" w:firstLine="640"/>
        <w:rPr>
          <w:sz w:val="32"/>
          <w:highlight w:val="auto"/>
        </w:rPr>
      </w:pPr>
    </w:p>
    <w:p>
      <w:pPr>
        <w:spacing w:line="560" w:lineRule="exact"/>
        <w:ind w:firstLineChars="200" w:firstLine="640"/>
        <w:rPr>
          <w:sz w:val="32"/>
          <w:highlight w:val="auto"/>
        </w:rPr>
      </w:pPr>
    </w:p>
    <w:p>
      <w:pPr>
        <w:rPr>
          <w:rFonts w:hint="eastAsia"/>
          <w:b/>
          <w:sz w:val="84"/>
          <w:szCs w:val="84"/>
          <w:highlight w:val="auto"/>
        </w:rPr>
      </w:pPr>
    </w:p>
    <w:p>
      <w:pPr>
        <w:jc w:val="center"/>
        <w:rPr>
          <w:rFonts w:hint="eastAsia"/>
          <w:b/>
          <w:sz w:val="84"/>
          <w:szCs w:val="84"/>
          <w:highlight w:val="auto"/>
        </w:rPr>
      </w:pPr>
    </w:p>
    <w:p>
      <w:pPr>
        <w:jc w:val="center"/>
        <w:rPr>
          <w:rFonts w:hint="eastAsia"/>
          <w:b/>
          <w:sz w:val="84"/>
          <w:szCs w:val="84"/>
          <w:highlight w:val="auto"/>
        </w:rPr>
      </w:pPr>
    </w:p>
    <w:p>
      <w:pPr>
        <w:jc w:val="center"/>
        <w:rPr>
          <w:rFonts w:hint="eastAsia"/>
          <w:b/>
          <w:sz w:val="84"/>
          <w:szCs w:val="84"/>
          <w:highlight w:val="auto"/>
        </w:rPr>
      </w:pPr>
    </w:p>
    <w:p>
      <w:pPr>
        <w:rPr>
          <w:rFonts w:hint="eastAsia"/>
          <w:b/>
          <w:sz w:val="84"/>
          <w:szCs w:val="84"/>
          <w:highlight w:val="auto"/>
        </w:rPr>
      </w:pPr>
      <w:r>
        <w:rPr>
          <w:b/>
          <w:sz w:val="84"/>
          <w:szCs w:val="84"/>
          <w:highlight w:val="auto"/>
        </w:rPr>
        <w:t xml:space="preserve"> </w:t>
      </w:r>
    </w:p>
    <w:p>
      <w:pPr>
        <w:jc w:val="center"/>
        <w:rPr>
          <w:rFonts w:hint="eastAsia"/>
          <w:b/>
          <w:sz w:val="84"/>
          <w:szCs w:val="84"/>
          <w:highlight w:val="auto"/>
        </w:rPr>
      </w:pPr>
      <w:r>
        <w:rPr>
          <w:rFonts w:hint="eastAsia"/>
          <w:b/>
          <w:sz w:val="84"/>
          <w:szCs w:val="84"/>
          <w:highlight w:val="auto"/>
        </w:rPr>
        <w:t>第五部分</w:t>
      </w:r>
    </w:p>
    <w:p>
      <w:pPr>
        <w:jc w:val="center"/>
        <w:rPr>
          <w:b/>
          <w:sz w:val="84"/>
          <w:szCs w:val="84"/>
          <w:highlight w:val="auto"/>
        </w:rPr>
      </w:pPr>
      <w:r>
        <w:rPr>
          <w:rFonts w:hint="eastAsia"/>
          <w:b/>
          <w:sz w:val="84"/>
          <w:szCs w:val="84"/>
          <w:highlight w:val="auto"/>
        </w:rPr>
        <w:t>附件</w:t>
      </w:r>
    </w:p>
    <w:p>
      <w:pPr>
        <w:rPr>
          <w:b/>
          <w:sz w:val="84"/>
          <w:szCs w:val="84"/>
          <w:highlight w:val="auto"/>
        </w:rPr>
      </w:pPr>
    </w:p>
    <w:p>
      <w:pPr>
        <w:rPr>
          <w:rFonts w:hint="eastAsia"/>
          <w:b/>
          <w:sz w:val="84"/>
          <w:szCs w:val="84"/>
          <w:highlight w:val="auto"/>
        </w:rPr>
      </w:pPr>
    </w:p>
    <w:p>
      <w:pPr>
        <w:rPr>
          <w:rFonts w:hint="eastAsia"/>
          <w:b/>
          <w:sz w:val="84"/>
          <w:szCs w:val="84"/>
          <w:highlight w:val="auto"/>
        </w:rPr>
      </w:pPr>
    </w:p>
    <w:p>
      <w:pPr>
        <w:rPr>
          <w:b/>
          <w:sz w:val="84"/>
          <w:szCs w:val="84"/>
          <w:highlight w:val="auto"/>
        </w:rPr>
      </w:pPr>
    </w:p>
    <w:p>
      <w:pPr>
        <w:rPr>
          <w:b/>
          <w:sz w:val="84"/>
          <w:szCs w:val="84"/>
          <w:highlight w:val="auto"/>
        </w:rPr>
      </w:pPr>
    </w:p>
    <w:p>
      <w:pPr>
        <w:rPr>
          <w:rFonts w:hint="eastAsia"/>
          <w:b/>
          <w:sz w:val="84"/>
          <w:szCs w:val="84"/>
          <w:highlight w:val="auto"/>
        </w:rPr>
      </w:pPr>
    </w:p>
    <w:tbl>
      <w:tblPr>
        <w:jc w:val="left"/>
        <w:tblInd w:w="-588" w:type="dxa"/>
        <w:tblW w:w="1102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0"/>
        <w:gridCol w:w="1350"/>
        <w:gridCol w:w="2310"/>
        <w:gridCol w:w="1110"/>
        <w:gridCol w:w="2310"/>
        <w:gridCol w:w="2310"/>
        <w:gridCol w:w="1002"/>
      </w:tblGrid>
      <w:tr>
        <w:trPr>
          <w:trHeight w:val="704"/>
        </w:trPr>
        <w:tc>
          <w:tcPr>
            <w:tcW w:w="11022" w:type="dxa"/>
            <w:gridSpan w:val="7"/>
            <w:tcBorders>
              <w:top w:val="nil"/>
              <w:left w:val="nil"/>
              <w:bottom w:val="nil"/>
              <w:right w:val="nil"/>
              <w:tl2br w:val="nil"/>
              <w:tr2bl w:val="nil"/>
            </w:tcBorders>
            <w:noWrap/>
            <w:vAlign w:val="center"/>
          </w:tcPr>
          <w:p>
            <w:pPr>
              <w:jc w:val="center"/>
              <w:rPr>
                <w:rFonts w:ascii="黑体" w:eastAsia="黑体" w:cs="Times New Roman"/>
                <w:sz w:val="32"/>
              </w:rPr>
            </w:pPr>
            <w:r>
              <w:rPr>
                <w:rFonts w:ascii="黑体" w:eastAsia="黑体" w:cs="Times New Roman"/>
                <w:sz w:val="32"/>
              </w:rPr>
              <w:t>进出口商品质量安全检验监管专项项目绩效目标表</w:t>
            </w:r>
          </w:p>
        </w:tc>
      </w:tr>
      <w:tr>
        <w:trPr>
          <w:trHeight w:val="494"/>
        </w:trPr>
        <w:tc>
          <w:tcPr>
            <w:tcW w:w="11022" w:type="dxa"/>
            <w:gridSpan w:val="7"/>
            <w:tcBorders>
              <w:top w:val="nil"/>
              <w:left w:val="nil"/>
              <w:bottom w:val="nil"/>
              <w:right w:val="nil"/>
              <w:tl2br w:val="nil"/>
              <w:tr2bl w:val="nil"/>
            </w:tcBorders>
            <w:noWrap/>
          </w:tcPr>
          <w:p>
            <w:pPr>
              <w:jc w:val="center"/>
              <w:rPr>
                <w:rFonts w:ascii="宋体" w:eastAsia="宋体" w:cs="Times New Roman"/>
                <w:sz w:val="24"/>
              </w:rPr>
            </w:pPr>
            <w:r>
              <w:rPr>
                <w:rFonts w:ascii="宋体" w:eastAsia="宋体" w:cs="Times New Roman"/>
                <w:sz w:val="24"/>
              </w:rPr>
              <w:t>（2024年度）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项目名称</w:t>
            </w:r>
          </w:p>
        </w:tc>
        <w:tc>
          <w:tcPr>
            <w:tcW w:w="9042"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进出口商品质量安全检验监管专项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主管部门及代码</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实施单位</w:t>
            </w:r>
          </w:p>
        </w:tc>
        <w:tc>
          <w:tcPr>
            <w:tcW w:w="331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中华人民共和国集宁海关</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项目资金</w:t>
            </w:r>
          </w:p>
          <w:p>
            <w:pPr>
              <w:jc w:val="center"/>
              <w:rPr>
                <w:rFonts w:ascii="宋体" w:eastAsia="宋体" w:cs="Times New Roman"/>
                <w:sz w:val="22"/>
              </w:rPr>
            </w:pPr>
            <w:r>
              <w:rPr>
                <w:rFonts w:ascii="宋体" w:eastAsia="宋体" w:cs="Times New Roman"/>
                <w:sz w:val="22"/>
              </w:rPr>
              <w:t>（万元）</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 xml:space="preserve"> 年度资金总额：</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Times New Roman"/>
                <w:sz w:val="22"/>
              </w:rPr>
            </w:pPr>
            <w:r>
              <w:rPr>
                <w:rFonts w:ascii="宋体" w:eastAsia="宋体" w:cs="Times New Roman"/>
                <w:sz w:val="22"/>
              </w:rPr>
              <w:t>3.00</w:t>
            </w:r>
          </w:p>
        </w:tc>
        <w:tc>
          <w:tcPr>
            <w:tcW w:w="1002"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Times New Roman"/>
                <w:sz w:val="22"/>
              </w:rPr>
            </w:pPr>
            <w:r>
              <w:rPr>
                <w:rFonts w:ascii="宋体" w:eastAsia="宋体" w:cs="Times New Roman"/>
                <w:sz w:val="22"/>
              </w:rPr>
              <w:t>执行率</w:t>
            </w:r>
          </w:p>
          <w:p>
            <w:pPr>
              <w:jc w:val="center"/>
              <w:rPr>
                <w:rFonts w:ascii="宋体" w:eastAsia="宋体" w:cs="Times New Roman"/>
                <w:sz w:val="22"/>
              </w:rPr>
            </w:pPr>
            <w:r>
              <w:rPr>
                <w:rFonts w:ascii="宋体" w:eastAsia="宋体" w:cs="Times New Roman"/>
                <w:sz w:val="22"/>
              </w:rPr>
              <w:t>分值（10）</w:t>
            </w:r>
          </w:p>
        </w:tc>
      </w:tr>
      <w:tr>
        <w:trPr>
          <w:trHeight w:val="434"/>
        </w:trPr>
        <w:tc>
          <w:tcPr>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其中：财政拨款</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Times New Roman"/>
                <w:sz w:val="22"/>
              </w:rPr>
            </w:pPr>
            <w:r>
              <w:rPr>
                <w:rFonts w:ascii="宋体" w:eastAsia="宋体" w:cs="Times New Roman"/>
                <w:sz w:val="22"/>
              </w:rPr>
              <w:t>3.00</w:t>
            </w:r>
          </w:p>
        </w:tc>
        <w:tc>
          <w:tcPr>
            <w:vMerge/>
            <w:tcBorders>
              <w:top w:val="nil"/>
              <w:left w:val="single" w:sz="6" w:space="0" w:color="auto"/>
              <w:bottom w:val="nil"/>
              <w:right w:val="single" w:sz="6" w:space="0" w:color="auto"/>
              <w:tl2br w:val="nil"/>
              <w:tr2bl w:val="nil"/>
            </w:tcBorders>
            <w:noWrap/>
            <w:vAlign w:val="center"/>
          </w:tcPr>
          <w:p/>
        </w:tc>
      </w:tr>
      <w:tr>
        <w:trPr>
          <w:trHeight w:val="434"/>
        </w:trPr>
        <w:tc>
          <w:tcPr>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 xml:space="preserve">     上年结转</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Times New Roman"/>
                <w:sz w:val="22"/>
              </w:rPr>
            </w:pPr>
            <w:r>
              <w:rPr>
                <w:rFonts w:ascii="宋体" w:eastAsia="宋体" w:cs="Times New Roman"/>
                <w:sz w:val="22"/>
              </w:rPr>
              <w:t>-</w:t>
            </w:r>
          </w:p>
        </w:tc>
        <w:tc>
          <w:tcPr>
            <w:vMerge/>
            <w:tcBorders>
              <w:top w:val="nil"/>
              <w:left w:val="single" w:sz="6" w:space="0" w:color="auto"/>
              <w:bottom w:val="nil"/>
              <w:right w:val="single" w:sz="6" w:space="0" w:color="auto"/>
              <w:tl2br w:val="nil"/>
              <w:tr2bl w:val="nil"/>
            </w:tcBorders>
            <w:noWrap/>
            <w:vAlign w:val="center"/>
          </w:tcPr>
          <w:p/>
        </w:tc>
      </w:tr>
      <w:tr>
        <w:trPr>
          <w:trHeight w:val="434"/>
        </w:trPr>
        <w:tc>
          <w:tcPr>
            <w:gridSpan w:val="2"/>
            <w:vMerge/>
            <w:tcBorders>
              <w:top w:val="nil"/>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 xml:space="preserve">      其他资金</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Times New Roman"/>
                <w:sz w:val="22"/>
              </w:rPr>
            </w:pPr>
            <w:r>
              <w:rPr>
                <w:rFonts w:ascii="宋体" w:eastAsia="宋体" w:cs="Times New Roman"/>
                <w:sz w:val="22"/>
              </w:rPr>
              <w:t>-</w:t>
            </w:r>
          </w:p>
        </w:tc>
        <w:tc>
          <w:tcPr>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年</w:t>
            </w:r>
          </w:p>
          <w:p>
            <w:pPr>
              <w:jc w:val="center"/>
              <w:rPr>
                <w:rFonts w:ascii="宋体" w:eastAsia="宋体" w:cs="Times New Roman"/>
                <w:sz w:val="22"/>
              </w:rPr>
            </w:pPr>
            <w:r>
              <w:rPr>
                <w:rFonts w:ascii="宋体" w:eastAsia="宋体" w:cs="Times New Roman"/>
                <w:sz w:val="22"/>
              </w:rPr>
              <w:t>度</w:t>
            </w:r>
          </w:p>
          <w:p>
            <w:pPr>
              <w:jc w:val="center"/>
              <w:rPr>
                <w:rFonts w:ascii="宋体" w:eastAsia="宋体" w:cs="Times New Roman"/>
                <w:sz w:val="22"/>
              </w:rPr>
            </w:pPr>
            <w:r>
              <w:rPr>
                <w:rFonts w:ascii="宋体" w:eastAsia="宋体" w:cs="Times New Roman"/>
                <w:sz w:val="22"/>
              </w:rPr>
              <w:t>总</w:t>
            </w:r>
          </w:p>
          <w:p>
            <w:pPr>
              <w:jc w:val="center"/>
              <w:rPr>
                <w:rFonts w:ascii="宋体" w:eastAsia="宋体" w:cs="Times New Roman"/>
                <w:sz w:val="22"/>
              </w:rPr>
            </w:pPr>
            <w:r>
              <w:rPr>
                <w:rFonts w:ascii="宋体" w:eastAsia="宋体" w:cs="Times New Roman"/>
                <w:sz w:val="22"/>
              </w:rPr>
              <w:t>体</w:t>
            </w:r>
          </w:p>
          <w:p>
            <w:pPr>
              <w:jc w:val="center"/>
              <w:rPr>
                <w:rFonts w:ascii="宋体" w:eastAsia="宋体" w:cs="Times New Roman"/>
                <w:sz w:val="22"/>
              </w:rPr>
            </w:pPr>
            <w:r>
              <w:rPr>
                <w:rFonts w:ascii="宋体" w:eastAsia="宋体" w:cs="Times New Roman"/>
                <w:sz w:val="22"/>
              </w:rPr>
              <w:t>目</w:t>
            </w:r>
          </w:p>
          <w:p>
            <w:pPr>
              <w:jc w:val="center"/>
              <w:rPr>
                <w:rFonts w:ascii="宋体" w:eastAsia="宋体" w:cs="Times New Roman"/>
                <w:sz w:val="22"/>
              </w:rPr>
            </w:pPr>
            <w:r>
              <w:rPr>
                <w:rFonts w:ascii="宋体" w:eastAsia="宋体" w:cs="Times New Roman"/>
                <w:sz w:val="22"/>
              </w:rPr>
              <w:t>标</w:t>
            </w:r>
          </w:p>
        </w:tc>
        <w:tc>
          <w:tcPr>
            <w:tcW w:w="10392"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Times New Roman"/>
                <w:sz w:val="22"/>
              </w:rPr>
            </w:pPr>
            <w:r>
              <w:rPr>
                <w:rFonts w:ascii="宋体" w:eastAsia="宋体" w:cs="Times New Roman"/>
                <w:sz w:val="22"/>
              </w:rPr>
              <w:t>依据《中华人民共和国进出口商品检验法》及其实施条例等法律法规，保障海关履行进出口商品检验监管职能，完善进出口商品质量安全监管制度和做好进出口商品检验监管工作，着力提升进口商品质量安全保障水平和出口商品质量竞争水平，服务地方经济发展。</w:t>
              <w:tab/>
            </w: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绩</w:t>
            </w:r>
          </w:p>
          <w:p>
            <w:pPr>
              <w:jc w:val="center"/>
              <w:rPr>
                <w:rFonts w:ascii="宋体" w:eastAsia="宋体" w:cs="Times New Roman"/>
                <w:sz w:val="22"/>
              </w:rPr>
            </w:pPr>
            <w:r>
              <w:rPr>
                <w:rFonts w:ascii="宋体" w:eastAsia="宋体" w:cs="Times New Roman"/>
                <w:sz w:val="22"/>
              </w:rPr>
              <w:t>效</w:t>
            </w:r>
          </w:p>
          <w:p>
            <w:pPr>
              <w:jc w:val="center"/>
              <w:rPr>
                <w:rFonts w:ascii="宋体" w:eastAsia="宋体" w:cs="Times New Roman"/>
                <w:sz w:val="22"/>
              </w:rPr>
            </w:pPr>
            <w:r>
              <w:rPr>
                <w:rFonts w:ascii="宋体" w:eastAsia="宋体" w:cs="Times New Roman"/>
                <w:sz w:val="22"/>
              </w:rPr>
              <w:t>指</w:t>
            </w:r>
          </w:p>
          <w:p>
            <w:pPr>
              <w:jc w:val="center"/>
              <w:rPr>
                <w:rFonts w:ascii="宋体" w:eastAsia="宋体" w:cs="Times New Roman"/>
                <w:sz w:val="22"/>
              </w:rPr>
            </w:pPr>
            <w:r>
              <w:rPr>
                <w:rFonts w:ascii="宋体" w:eastAsia="宋体" w:cs="Times New Roman"/>
                <w:sz w:val="22"/>
              </w:rPr>
              <w:t>标</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一级</w:t>
            </w:r>
          </w:p>
          <w:p>
            <w:pPr>
              <w:jc w:val="center"/>
              <w:rPr>
                <w:rFonts w:ascii="宋体" w:eastAsia="宋体" w:cs="Times New Roman"/>
                <w:sz w:val="22"/>
              </w:rPr>
            </w:pPr>
            <w:r>
              <w:rPr>
                <w:rFonts w:ascii="宋体" w:eastAsia="宋体" w:cs="Times New Roman"/>
                <w:sz w:val="22"/>
              </w:rPr>
              <w:t>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二级指标</w:t>
            </w:r>
          </w:p>
        </w:tc>
        <w:tc>
          <w:tcPr>
            <w:tcW w:w="3420"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三级指标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指标值</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分值</w:t>
            </w:r>
          </w:p>
          <w:p>
            <w:pPr>
              <w:jc w:val="center"/>
              <w:rPr>
                <w:rFonts w:ascii="宋体" w:eastAsia="宋体" w:cs="Times New Roman"/>
                <w:sz w:val="22"/>
              </w:rPr>
            </w:pPr>
            <w:r>
              <w:rPr>
                <w:rFonts w:ascii="宋体" w:eastAsia="宋体" w:cs="Times New Roman"/>
                <w:sz w:val="22"/>
              </w:rPr>
              <w:t>（90）</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产出指标</w:t>
            </w: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数量指标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进出口法检商品检验批次数量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≥100批</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15</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风险监测获取的有效信息数量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≥100项</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15</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质量指标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执法人员执法规范性</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≥90%</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20</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效益指标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社会效益指标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保障人民生命健康安全有力有效</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是</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10</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生态效益指标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对进出口危险化学品及包装检验不合格处置率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≥95%</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20</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满意度指标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服务对象满意度指标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服务企业满意度</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≥95%</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10</w:t>
            </w:r>
          </w:p>
        </w:tc>
      </w:tr>
    </w:tbl>
    <w:p>
      <w:pPr>
        <w:rPr>
          <w:b/>
          <w:sz w:val="40"/>
          <w:szCs w:val="40"/>
          <w:highlight w:val="auto"/>
        </w:rPr>
      </w:pPr>
    </w:p>
    <w:p>
      <w:pPr>
        <w:rPr>
          <w:b/>
          <w:sz w:val="40"/>
          <w:szCs w:val="40"/>
          <w:highlight w:val="auto"/>
        </w:rPr>
      </w:pPr>
    </w:p>
    <w:p>
      <w:pPr>
        <w:rPr>
          <w:b/>
          <w:sz w:val="40"/>
          <w:szCs w:val="40"/>
          <w:highlight w:val="auto"/>
        </w:rPr>
      </w:pPr>
    </w:p>
    <w:p>
      <w:pPr>
        <w:rPr>
          <w:b/>
          <w:sz w:val="40"/>
          <w:szCs w:val="40"/>
          <w:highlight w:val="auto"/>
        </w:rPr>
      </w:pPr>
    </w:p>
    <w:p>
      <w:pPr>
        <w:rPr>
          <w:b/>
          <w:sz w:val="40"/>
          <w:szCs w:val="40"/>
          <w:highlight w:val="auto"/>
        </w:rPr>
      </w:pPr>
    </w:p>
    <w:tbl>
      <w:tblPr>
        <w:jc w:val="left"/>
        <w:tblInd w:w="-588" w:type="dxa"/>
        <w:tblW w:w="1102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0"/>
        <w:gridCol w:w="1350"/>
        <w:gridCol w:w="2310"/>
        <w:gridCol w:w="1110"/>
        <w:gridCol w:w="2310"/>
        <w:gridCol w:w="2310"/>
        <w:gridCol w:w="1002"/>
      </w:tblGrid>
      <w:tr>
        <w:trPr>
          <w:trHeight w:val="704"/>
        </w:trPr>
        <w:tc>
          <w:tcPr>
            <w:tcW w:w="11022" w:type="dxa"/>
            <w:gridSpan w:val="7"/>
            <w:tcBorders>
              <w:top w:val="nil"/>
              <w:left w:val="nil"/>
              <w:bottom w:val="nil"/>
              <w:right w:val="nil"/>
              <w:tl2br w:val="nil"/>
              <w:tr2bl w:val="nil"/>
            </w:tcBorders>
            <w:noWrap/>
            <w:vAlign w:val="center"/>
          </w:tcPr>
          <w:p>
            <w:pPr>
              <w:jc w:val="center"/>
              <w:rPr>
                <w:rFonts w:ascii="黑体" w:eastAsia="黑体" w:cs="Times New Roman"/>
                <w:sz w:val="32"/>
              </w:rPr>
            </w:pPr>
          </w:p>
          <w:p>
            <w:pPr>
              <w:jc w:val="center"/>
              <w:rPr>
                <w:rFonts w:ascii="黑体" w:eastAsia="黑体" w:cs="Times New Roman"/>
                <w:sz w:val="32"/>
              </w:rPr>
            </w:pPr>
          </w:p>
          <w:p>
            <w:pPr>
              <w:jc w:val="center"/>
              <w:rPr>
                <w:rFonts w:ascii="黑体" w:eastAsia="黑体" w:cs="Times New Roman"/>
                <w:sz w:val="32"/>
              </w:rPr>
            </w:pPr>
          </w:p>
          <w:p>
            <w:pPr>
              <w:jc w:val="center"/>
              <w:rPr>
                <w:rFonts w:ascii="黑体" w:eastAsia="黑体" w:cs="Times New Roman"/>
                <w:sz w:val="32"/>
              </w:rPr>
            </w:pPr>
          </w:p>
          <w:p>
            <w:pPr>
              <w:jc w:val="center"/>
              <w:rPr>
                <w:rFonts w:ascii="黑体" w:eastAsia="黑体" w:cs="Times New Roman"/>
                <w:sz w:val="32"/>
              </w:rPr>
            </w:pPr>
          </w:p>
          <w:p>
            <w:pPr>
              <w:jc w:val="center"/>
              <w:rPr>
                <w:rFonts w:ascii="黑体" w:eastAsia="黑体" w:cs="Times New Roman"/>
                <w:sz w:val="32"/>
              </w:rPr>
            </w:pPr>
          </w:p>
          <w:p>
            <w:pPr>
              <w:jc w:val="center"/>
              <w:rPr>
                <w:rFonts w:ascii="黑体" w:eastAsia="黑体" w:cs="Times New Roman"/>
                <w:sz w:val="32"/>
              </w:rPr>
            </w:pPr>
            <w:r>
              <w:rPr>
                <w:rFonts w:ascii="黑体" w:eastAsia="黑体" w:cs="Times New Roman"/>
                <w:sz w:val="32"/>
              </w:rPr>
              <w:t>国门生物安全专项项目绩效目标表</w:t>
            </w:r>
          </w:p>
        </w:tc>
      </w:tr>
      <w:tr>
        <w:trPr>
          <w:trHeight w:val="494"/>
        </w:trPr>
        <w:tc>
          <w:tcPr>
            <w:tcW w:w="11022" w:type="dxa"/>
            <w:gridSpan w:val="7"/>
            <w:tcBorders>
              <w:top w:val="nil"/>
              <w:left w:val="nil"/>
              <w:bottom w:val="nil"/>
              <w:right w:val="nil"/>
              <w:tl2br w:val="nil"/>
              <w:tr2bl w:val="nil"/>
            </w:tcBorders>
            <w:noWrap/>
          </w:tcPr>
          <w:p>
            <w:pPr>
              <w:jc w:val="center"/>
              <w:rPr>
                <w:rFonts w:ascii="宋体" w:eastAsia="宋体" w:cs="Times New Roman"/>
                <w:sz w:val="24"/>
              </w:rPr>
            </w:pPr>
            <w:r>
              <w:rPr>
                <w:rFonts w:ascii="宋体" w:eastAsia="宋体" w:cs="Times New Roman"/>
                <w:sz w:val="24"/>
              </w:rPr>
              <w:t>（2024年度）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项目名称</w:t>
            </w:r>
          </w:p>
        </w:tc>
        <w:tc>
          <w:tcPr>
            <w:tcW w:w="9042"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国门生物安全专项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主管部门及代码</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实施单位</w:t>
            </w:r>
          </w:p>
        </w:tc>
        <w:tc>
          <w:tcPr>
            <w:tcW w:w="331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中华人民共和国集宁海关</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项目资金</w:t>
            </w:r>
          </w:p>
          <w:p>
            <w:pPr>
              <w:jc w:val="center"/>
              <w:rPr>
                <w:rFonts w:ascii="宋体" w:eastAsia="宋体" w:cs="Times New Roman"/>
                <w:sz w:val="22"/>
              </w:rPr>
            </w:pPr>
            <w:r>
              <w:rPr>
                <w:rFonts w:ascii="宋体" w:eastAsia="宋体" w:cs="Times New Roman"/>
                <w:sz w:val="22"/>
              </w:rPr>
              <w:t>（万元）</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 xml:space="preserve"> 年度资金总额：</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Times New Roman"/>
                <w:sz w:val="22"/>
              </w:rPr>
            </w:pPr>
            <w:r>
              <w:rPr>
                <w:rFonts w:ascii="宋体" w:eastAsia="宋体" w:cs="Times New Roman"/>
                <w:sz w:val="22"/>
              </w:rPr>
              <w:t>1.00</w:t>
            </w:r>
          </w:p>
        </w:tc>
        <w:tc>
          <w:tcPr>
            <w:tcW w:w="1002"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Times New Roman"/>
                <w:sz w:val="22"/>
              </w:rPr>
            </w:pPr>
            <w:r>
              <w:rPr>
                <w:rFonts w:ascii="宋体" w:eastAsia="宋体" w:cs="Times New Roman"/>
                <w:sz w:val="22"/>
              </w:rPr>
              <w:t>执行率</w:t>
            </w:r>
          </w:p>
          <w:p>
            <w:pPr>
              <w:jc w:val="center"/>
              <w:rPr>
                <w:rFonts w:ascii="宋体" w:eastAsia="宋体" w:cs="Times New Roman"/>
                <w:sz w:val="22"/>
              </w:rPr>
            </w:pPr>
            <w:r>
              <w:rPr>
                <w:rFonts w:ascii="宋体" w:eastAsia="宋体" w:cs="Times New Roman"/>
                <w:sz w:val="22"/>
              </w:rPr>
              <w:t>分值（10）</w:t>
            </w:r>
          </w:p>
        </w:tc>
      </w:tr>
      <w:tr>
        <w:trPr>
          <w:trHeight w:val="434"/>
        </w:trPr>
        <w:tc>
          <w:tcPr>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其中：财政拨款</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Times New Roman"/>
                <w:sz w:val="22"/>
              </w:rPr>
            </w:pPr>
            <w:r>
              <w:rPr>
                <w:rFonts w:ascii="宋体" w:eastAsia="宋体" w:cs="Times New Roman"/>
                <w:sz w:val="22"/>
              </w:rPr>
              <w:t>1.00</w:t>
            </w:r>
          </w:p>
        </w:tc>
        <w:tc>
          <w:tcPr>
            <w:vMerge/>
            <w:tcBorders>
              <w:top w:val="nil"/>
              <w:left w:val="single" w:sz="6" w:space="0" w:color="auto"/>
              <w:bottom w:val="nil"/>
              <w:right w:val="single" w:sz="6" w:space="0" w:color="auto"/>
              <w:tl2br w:val="nil"/>
              <w:tr2bl w:val="nil"/>
            </w:tcBorders>
            <w:noWrap/>
            <w:vAlign w:val="center"/>
          </w:tcPr>
          <w:p/>
        </w:tc>
      </w:tr>
      <w:tr>
        <w:trPr>
          <w:trHeight w:val="434"/>
        </w:trPr>
        <w:tc>
          <w:tcPr>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 xml:space="preserve">     上年结转</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ind w:left="-1076" w:firstLine="27"/>
              <w:jc w:val="right"/>
              <w:rPr>
                <w:rFonts w:ascii="宋体" w:eastAsia="宋体" w:cs="Times New Roman"/>
                <w:sz w:val="22"/>
              </w:rPr>
            </w:pPr>
            <w:r>
              <w:rPr>
                <w:rFonts w:ascii="宋体" w:eastAsia="宋体" w:cs="Times New Roman"/>
                <w:sz w:val="22"/>
              </w:rPr>
              <w:t>-</w:t>
            </w:r>
          </w:p>
        </w:tc>
        <w:tc>
          <w:tcPr>
            <w:vMerge/>
            <w:tcBorders>
              <w:top w:val="nil"/>
              <w:left w:val="single" w:sz="6" w:space="0" w:color="auto"/>
              <w:bottom w:val="nil"/>
              <w:right w:val="single" w:sz="6" w:space="0" w:color="auto"/>
              <w:tl2br w:val="nil"/>
              <w:tr2bl w:val="nil"/>
            </w:tcBorders>
            <w:noWrap/>
            <w:vAlign w:val="center"/>
          </w:tcPr>
          <w:p/>
        </w:tc>
      </w:tr>
      <w:tr>
        <w:trPr>
          <w:trHeight w:val="434"/>
        </w:trPr>
        <w:tc>
          <w:tcPr>
            <w:gridSpan w:val="2"/>
            <w:vMerge/>
            <w:tcBorders>
              <w:top w:val="nil"/>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 xml:space="preserve">     其他资金</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Times New Roman"/>
                <w:sz w:val="22"/>
              </w:rPr>
            </w:pPr>
            <w:r>
              <w:rPr>
                <w:rFonts w:ascii="宋体" w:eastAsia="宋体" w:cs="Times New Roman"/>
                <w:sz w:val="22"/>
              </w:rPr>
              <w:t>-</w:t>
            </w:r>
          </w:p>
        </w:tc>
        <w:tc>
          <w:tcPr>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年</w:t>
            </w:r>
          </w:p>
          <w:p>
            <w:pPr>
              <w:jc w:val="center"/>
              <w:rPr>
                <w:rFonts w:ascii="宋体" w:eastAsia="宋体" w:cs="Times New Roman"/>
                <w:sz w:val="22"/>
              </w:rPr>
            </w:pPr>
            <w:r>
              <w:rPr>
                <w:rFonts w:ascii="宋体" w:eastAsia="宋体" w:cs="Times New Roman"/>
                <w:sz w:val="22"/>
              </w:rPr>
              <w:t>度</w:t>
            </w:r>
          </w:p>
          <w:p>
            <w:pPr>
              <w:jc w:val="center"/>
              <w:rPr>
                <w:rFonts w:ascii="宋体" w:eastAsia="宋体" w:cs="Times New Roman"/>
                <w:sz w:val="22"/>
              </w:rPr>
            </w:pPr>
            <w:r>
              <w:rPr>
                <w:rFonts w:ascii="宋体" w:eastAsia="宋体" w:cs="Times New Roman"/>
                <w:sz w:val="22"/>
              </w:rPr>
              <w:t>总</w:t>
            </w:r>
          </w:p>
          <w:p>
            <w:pPr>
              <w:jc w:val="center"/>
              <w:rPr>
                <w:rFonts w:ascii="宋体" w:eastAsia="宋体" w:cs="Times New Roman"/>
                <w:sz w:val="22"/>
              </w:rPr>
            </w:pPr>
            <w:r>
              <w:rPr>
                <w:rFonts w:ascii="宋体" w:eastAsia="宋体" w:cs="Times New Roman"/>
                <w:sz w:val="22"/>
              </w:rPr>
              <w:t>体</w:t>
            </w:r>
          </w:p>
          <w:p>
            <w:pPr>
              <w:jc w:val="center"/>
              <w:rPr>
                <w:rFonts w:ascii="宋体" w:eastAsia="宋体" w:cs="Times New Roman"/>
                <w:sz w:val="22"/>
              </w:rPr>
            </w:pPr>
            <w:r>
              <w:rPr>
                <w:rFonts w:ascii="宋体" w:eastAsia="宋体" w:cs="Times New Roman"/>
                <w:sz w:val="22"/>
              </w:rPr>
              <w:t>目</w:t>
            </w:r>
          </w:p>
          <w:p>
            <w:pPr>
              <w:jc w:val="center"/>
              <w:rPr>
                <w:rFonts w:ascii="宋体" w:eastAsia="宋体" w:cs="Times New Roman"/>
                <w:sz w:val="22"/>
              </w:rPr>
            </w:pPr>
            <w:r>
              <w:rPr>
                <w:rFonts w:ascii="宋体" w:eastAsia="宋体" w:cs="Times New Roman"/>
                <w:sz w:val="22"/>
              </w:rPr>
              <w:t>标</w:t>
            </w:r>
          </w:p>
        </w:tc>
        <w:tc>
          <w:tcPr>
            <w:tcW w:w="10392"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Times New Roman"/>
                <w:sz w:val="22"/>
              </w:rPr>
            </w:pPr>
            <w:r>
              <w:rPr>
                <w:rFonts w:ascii="宋体" w:eastAsia="宋体" w:cs="Times New Roman"/>
                <w:sz w:val="22"/>
              </w:rPr>
              <w:t>目标1．进一步夯实国门生物安全保障能力基础。</w:t>
            </w:r>
          </w:p>
          <w:p>
            <w:pPr>
              <w:rPr>
                <w:rFonts w:ascii="宋体" w:eastAsia="宋体" w:cs="Times New Roman"/>
                <w:sz w:val="22"/>
              </w:rPr>
            </w:pPr>
            <w:r>
              <w:rPr>
                <w:rFonts w:ascii="宋体" w:eastAsia="宋体" w:cs="Times New Roman"/>
                <w:sz w:val="22"/>
              </w:rPr>
              <w:t>目标2．完成年度进出境动植物检验检疫常规工作任务，稳步推进各项业务。</w:t>
              <w:tab/>
              <w:tab/>
            </w: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绩</w:t>
            </w:r>
          </w:p>
          <w:p>
            <w:pPr>
              <w:jc w:val="center"/>
              <w:rPr>
                <w:rFonts w:ascii="宋体" w:eastAsia="宋体" w:cs="Times New Roman"/>
                <w:sz w:val="22"/>
              </w:rPr>
            </w:pPr>
            <w:r>
              <w:rPr>
                <w:rFonts w:ascii="宋体" w:eastAsia="宋体" w:cs="Times New Roman"/>
                <w:sz w:val="22"/>
              </w:rPr>
              <w:t>效</w:t>
            </w:r>
          </w:p>
          <w:p>
            <w:pPr>
              <w:jc w:val="center"/>
              <w:rPr>
                <w:rFonts w:ascii="宋体" w:eastAsia="宋体" w:cs="Times New Roman"/>
                <w:sz w:val="22"/>
              </w:rPr>
            </w:pPr>
            <w:r>
              <w:rPr>
                <w:rFonts w:ascii="宋体" w:eastAsia="宋体" w:cs="Times New Roman"/>
                <w:sz w:val="22"/>
              </w:rPr>
              <w:t>指</w:t>
            </w:r>
          </w:p>
          <w:p>
            <w:pPr>
              <w:jc w:val="center"/>
              <w:rPr>
                <w:rFonts w:ascii="宋体" w:eastAsia="宋体" w:cs="Times New Roman"/>
                <w:sz w:val="22"/>
              </w:rPr>
            </w:pPr>
            <w:r>
              <w:rPr>
                <w:rFonts w:ascii="宋体" w:eastAsia="宋体" w:cs="Times New Roman"/>
                <w:sz w:val="22"/>
              </w:rPr>
              <w:t>标</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一级</w:t>
            </w:r>
          </w:p>
          <w:p>
            <w:pPr>
              <w:jc w:val="center"/>
              <w:rPr>
                <w:rFonts w:ascii="宋体" w:eastAsia="宋体" w:cs="Times New Roman"/>
                <w:sz w:val="22"/>
              </w:rPr>
            </w:pPr>
            <w:r>
              <w:rPr>
                <w:rFonts w:ascii="宋体" w:eastAsia="宋体" w:cs="Times New Roman"/>
                <w:sz w:val="22"/>
              </w:rPr>
              <w:t>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二级指标</w:t>
            </w:r>
          </w:p>
        </w:tc>
        <w:tc>
          <w:tcPr>
            <w:tcW w:w="3420"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三级指标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指标值</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分值</w:t>
            </w:r>
          </w:p>
          <w:p>
            <w:pPr>
              <w:jc w:val="center"/>
              <w:rPr>
                <w:rFonts w:ascii="宋体" w:eastAsia="宋体" w:cs="Times New Roman"/>
                <w:sz w:val="22"/>
              </w:rPr>
            </w:pPr>
            <w:r>
              <w:rPr>
                <w:rFonts w:ascii="宋体" w:eastAsia="宋体" w:cs="Times New Roman"/>
                <w:sz w:val="22"/>
              </w:rPr>
              <w:t>（90）</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产出指标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数量指标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完成进境动植物检验批次</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≥3次/年</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20</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质量指标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外来有害生物监测至少完成监测计划</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≥95%</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10</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培训合格率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≥95%</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10</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进出口食用农产品和饲料安全风险监控计划完成率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≥95%</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5</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进出境动物疫病监测计划完成率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≥95%</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5</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效益指标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经济效益指标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防控进口种畜造成外来动物疫病爆发概率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≤5%</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15</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社会效益指标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重大突发检验检疫问题处理案件处理率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≥95%</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15</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满意度指标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服务对象满意度指标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服务企业满意度</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≥95%</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10</w:t>
            </w:r>
          </w:p>
        </w:tc>
      </w:tr>
    </w:tbl>
    <w:p>
      <w:pPr>
        <w:rPr>
          <w:highlight w:val="auto"/>
        </w:rPr>
      </w:pPr>
    </w:p>
    <w:p>
      <w:pPr>
        <w:rPr>
          <w:highlight w:val="auto"/>
        </w:rPr>
      </w:pPr>
    </w:p>
    <w:p>
      <w:pPr>
        <w:rPr>
          <w:highlight w:val="auto"/>
        </w:rPr>
      </w:pPr>
    </w:p>
    <w:p>
      <w:pPr>
        <w:rPr>
          <w:highlight w:val="auto"/>
        </w:rPr>
      </w:pPr>
    </w:p>
    <w:p>
      <w:pPr>
        <w:rPr>
          <w:highlight w:val="auto"/>
        </w:rPr>
      </w:pPr>
    </w:p>
    <w:tbl>
      <w:tblPr>
        <w:jc w:val="left"/>
        <w:tblInd w:w="-588" w:type="dxa"/>
        <w:tblW w:w="1102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0"/>
        <w:gridCol w:w="1350"/>
        <w:gridCol w:w="2310"/>
        <w:gridCol w:w="1110"/>
        <w:gridCol w:w="2310"/>
        <w:gridCol w:w="2310"/>
        <w:gridCol w:w="1002"/>
      </w:tblGrid>
      <w:tr>
        <w:trPr>
          <w:trHeight w:val="704"/>
        </w:trPr>
        <w:tc>
          <w:tcPr>
            <w:tcW w:w="11022" w:type="dxa"/>
            <w:gridSpan w:val="7"/>
            <w:tcBorders>
              <w:top w:val="nil"/>
              <w:left w:val="nil"/>
              <w:bottom w:val="nil"/>
              <w:right w:val="nil"/>
              <w:tl2br w:val="nil"/>
              <w:tr2bl w:val="nil"/>
            </w:tcBorders>
            <w:noWrap/>
            <w:vAlign w:val="center"/>
          </w:tcPr>
          <w:p>
            <w:pPr>
              <w:jc w:val="center"/>
              <w:rPr>
                <w:rFonts w:ascii="黑体" w:eastAsia="黑体" w:cs="Times New Roman"/>
                <w:sz w:val="32"/>
              </w:rPr>
            </w:pPr>
          </w:p>
          <w:p>
            <w:pPr>
              <w:jc w:val="center"/>
              <w:rPr>
                <w:rFonts w:ascii="黑体" w:eastAsia="黑体" w:cs="Times New Roman"/>
                <w:sz w:val="32"/>
              </w:rPr>
            </w:pPr>
          </w:p>
          <w:p>
            <w:pPr>
              <w:jc w:val="center"/>
              <w:rPr>
                <w:rFonts w:ascii="黑体" w:eastAsia="黑体" w:cs="Times New Roman"/>
                <w:sz w:val="32"/>
              </w:rPr>
            </w:pPr>
          </w:p>
          <w:p>
            <w:pPr>
              <w:jc w:val="center"/>
              <w:rPr>
                <w:rFonts w:ascii="黑体" w:eastAsia="黑体" w:cs="Times New Roman"/>
                <w:sz w:val="32"/>
              </w:rPr>
            </w:pPr>
          </w:p>
          <w:p>
            <w:pPr>
              <w:jc w:val="center"/>
              <w:rPr>
                <w:rFonts w:ascii="黑体" w:eastAsia="黑体" w:cs="Times New Roman"/>
                <w:sz w:val="32"/>
              </w:rPr>
            </w:pPr>
          </w:p>
          <w:p>
            <w:pPr>
              <w:jc w:val="center"/>
              <w:rPr>
                <w:rFonts w:ascii="黑体" w:eastAsia="黑体" w:cs="Times New Roman"/>
                <w:sz w:val="32"/>
              </w:rPr>
            </w:pPr>
            <w:r>
              <w:rPr>
                <w:rFonts w:ascii="黑体" w:eastAsia="黑体" w:cs="Times New Roman"/>
                <w:sz w:val="32"/>
              </w:rPr>
              <w:t>海关缉私办案费项目绩效目标表</w:t>
            </w:r>
          </w:p>
        </w:tc>
      </w:tr>
      <w:tr>
        <w:trPr>
          <w:trHeight w:val="494"/>
        </w:trPr>
        <w:tc>
          <w:tcPr>
            <w:tcW w:w="11022" w:type="dxa"/>
            <w:gridSpan w:val="7"/>
            <w:tcBorders>
              <w:top w:val="nil"/>
              <w:left w:val="nil"/>
              <w:bottom w:val="nil"/>
              <w:right w:val="nil"/>
              <w:tl2br w:val="nil"/>
              <w:tr2bl w:val="nil"/>
            </w:tcBorders>
            <w:noWrap/>
          </w:tcPr>
          <w:p>
            <w:pPr>
              <w:jc w:val="center"/>
              <w:rPr>
                <w:rFonts w:ascii="宋体" w:eastAsia="宋体" w:cs="Times New Roman"/>
                <w:sz w:val="24"/>
              </w:rPr>
            </w:pPr>
            <w:r>
              <w:rPr>
                <w:rFonts w:ascii="宋体" w:eastAsia="宋体" w:cs="Times New Roman"/>
                <w:sz w:val="24"/>
              </w:rPr>
              <w:t>（2024年度）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项目名称</w:t>
            </w:r>
          </w:p>
        </w:tc>
        <w:tc>
          <w:tcPr>
            <w:tcW w:w="9042"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海关缉私办案费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主管部门及代码</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实施单位</w:t>
            </w:r>
          </w:p>
        </w:tc>
        <w:tc>
          <w:tcPr>
            <w:tcW w:w="331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中华人民共和国集宁海关</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项目资金</w:t>
            </w:r>
          </w:p>
          <w:p>
            <w:pPr>
              <w:jc w:val="center"/>
              <w:rPr>
                <w:rFonts w:ascii="宋体" w:eastAsia="宋体" w:cs="Times New Roman"/>
                <w:sz w:val="22"/>
              </w:rPr>
            </w:pPr>
            <w:r>
              <w:rPr>
                <w:rFonts w:ascii="宋体" w:eastAsia="宋体" w:cs="Times New Roman"/>
                <w:sz w:val="22"/>
              </w:rPr>
              <w:t>（万元）</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 xml:space="preserve"> 年度资金总额：</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Times New Roman"/>
                <w:sz w:val="22"/>
              </w:rPr>
            </w:pPr>
            <w:r>
              <w:rPr>
                <w:rFonts w:ascii="宋体" w:eastAsia="宋体" w:cs="Times New Roman"/>
                <w:sz w:val="22"/>
              </w:rPr>
              <w:t>1.50</w:t>
            </w:r>
          </w:p>
        </w:tc>
        <w:tc>
          <w:tcPr>
            <w:tcW w:w="1002"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Times New Roman"/>
                <w:sz w:val="22"/>
              </w:rPr>
            </w:pPr>
            <w:r>
              <w:rPr>
                <w:rFonts w:ascii="宋体" w:eastAsia="宋体" w:cs="Times New Roman"/>
                <w:sz w:val="22"/>
              </w:rPr>
              <w:t>执行率</w:t>
            </w:r>
          </w:p>
          <w:p>
            <w:pPr>
              <w:jc w:val="center"/>
              <w:rPr>
                <w:rFonts w:ascii="宋体" w:eastAsia="宋体" w:cs="Times New Roman"/>
                <w:sz w:val="22"/>
              </w:rPr>
            </w:pPr>
            <w:r>
              <w:rPr>
                <w:rFonts w:ascii="宋体" w:eastAsia="宋体" w:cs="Times New Roman"/>
                <w:sz w:val="22"/>
              </w:rPr>
              <w:t>分值（10）</w:t>
            </w:r>
          </w:p>
        </w:tc>
      </w:tr>
      <w:tr>
        <w:trPr>
          <w:trHeight w:val="434"/>
        </w:trPr>
        <w:tc>
          <w:tcPr>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 xml:space="preserve"> 其中：财政拨款</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Times New Roman"/>
                <w:sz w:val="22"/>
              </w:rPr>
            </w:pPr>
            <w:r>
              <w:rPr>
                <w:rFonts w:ascii="宋体" w:eastAsia="宋体" w:cs="Times New Roman"/>
                <w:sz w:val="22"/>
              </w:rPr>
              <w:t>1.50</w:t>
            </w:r>
          </w:p>
        </w:tc>
        <w:tc>
          <w:tcPr>
            <w:vMerge/>
            <w:tcBorders>
              <w:top w:val="nil"/>
              <w:left w:val="single" w:sz="6" w:space="0" w:color="auto"/>
              <w:bottom w:val="nil"/>
              <w:right w:val="single" w:sz="6" w:space="0" w:color="auto"/>
              <w:tl2br w:val="nil"/>
              <w:tr2bl w:val="nil"/>
            </w:tcBorders>
            <w:noWrap/>
            <w:vAlign w:val="center"/>
          </w:tcPr>
          <w:p/>
        </w:tc>
      </w:tr>
      <w:tr>
        <w:trPr>
          <w:trHeight w:val="434"/>
        </w:trPr>
        <w:tc>
          <w:tcPr>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 xml:space="preserve">      上年结转</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Times New Roman"/>
                <w:sz w:val="22"/>
              </w:rPr>
            </w:pPr>
            <w:r>
              <w:rPr>
                <w:rFonts w:ascii="宋体" w:eastAsia="宋体" w:cs="Times New Roman"/>
                <w:sz w:val="22"/>
              </w:rPr>
              <w:t>-</w:t>
            </w:r>
          </w:p>
        </w:tc>
        <w:tc>
          <w:tcPr>
            <w:vMerge/>
            <w:tcBorders>
              <w:top w:val="nil"/>
              <w:left w:val="single" w:sz="6" w:space="0" w:color="auto"/>
              <w:bottom w:val="nil"/>
              <w:right w:val="single" w:sz="6" w:space="0" w:color="auto"/>
              <w:tl2br w:val="nil"/>
              <w:tr2bl w:val="nil"/>
            </w:tcBorders>
            <w:noWrap/>
            <w:vAlign w:val="center"/>
          </w:tcPr>
          <w:p/>
        </w:tc>
      </w:tr>
      <w:tr>
        <w:trPr>
          <w:trHeight w:val="434"/>
        </w:trPr>
        <w:tc>
          <w:tcPr>
            <w:gridSpan w:val="2"/>
            <w:vMerge/>
            <w:tcBorders>
              <w:top w:val="nil"/>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 xml:space="preserve">      其他资金</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Times New Roman"/>
                <w:sz w:val="22"/>
              </w:rPr>
            </w:pPr>
            <w:r>
              <w:rPr>
                <w:rFonts w:ascii="宋体" w:eastAsia="宋体" w:cs="Times New Roman"/>
                <w:sz w:val="22"/>
              </w:rPr>
              <w:t>-</w:t>
            </w:r>
          </w:p>
        </w:tc>
        <w:tc>
          <w:tcPr>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年</w:t>
            </w:r>
          </w:p>
          <w:p>
            <w:pPr>
              <w:jc w:val="center"/>
              <w:rPr>
                <w:rFonts w:ascii="宋体" w:eastAsia="宋体" w:cs="Times New Roman"/>
                <w:sz w:val="22"/>
              </w:rPr>
            </w:pPr>
            <w:r>
              <w:rPr>
                <w:rFonts w:ascii="宋体" w:eastAsia="宋体" w:cs="Times New Roman"/>
                <w:sz w:val="22"/>
              </w:rPr>
              <w:t>度</w:t>
            </w:r>
          </w:p>
          <w:p>
            <w:pPr>
              <w:jc w:val="center"/>
              <w:rPr>
                <w:rFonts w:ascii="宋体" w:eastAsia="宋体" w:cs="Times New Roman"/>
                <w:sz w:val="22"/>
              </w:rPr>
            </w:pPr>
            <w:r>
              <w:rPr>
                <w:rFonts w:ascii="宋体" w:eastAsia="宋体" w:cs="Times New Roman"/>
                <w:sz w:val="22"/>
              </w:rPr>
              <w:t>总</w:t>
            </w:r>
          </w:p>
          <w:p>
            <w:pPr>
              <w:jc w:val="center"/>
              <w:rPr>
                <w:rFonts w:ascii="宋体" w:eastAsia="宋体" w:cs="Times New Roman"/>
                <w:sz w:val="22"/>
              </w:rPr>
            </w:pPr>
            <w:r>
              <w:rPr>
                <w:rFonts w:ascii="宋体" w:eastAsia="宋体" w:cs="Times New Roman"/>
                <w:sz w:val="22"/>
              </w:rPr>
              <w:t>体</w:t>
            </w:r>
          </w:p>
          <w:p>
            <w:pPr>
              <w:jc w:val="center"/>
              <w:rPr>
                <w:rFonts w:ascii="宋体" w:eastAsia="宋体" w:cs="Times New Roman"/>
                <w:sz w:val="22"/>
              </w:rPr>
            </w:pPr>
            <w:r>
              <w:rPr>
                <w:rFonts w:ascii="宋体" w:eastAsia="宋体" w:cs="Times New Roman"/>
                <w:sz w:val="22"/>
              </w:rPr>
              <w:t>目</w:t>
            </w:r>
          </w:p>
          <w:p>
            <w:pPr>
              <w:jc w:val="center"/>
              <w:rPr>
                <w:rFonts w:ascii="宋体" w:eastAsia="宋体" w:cs="Times New Roman"/>
                <w:sz w:val="22"/>
              </w:rPr>
            </w:pPr>
            <w:r>
              <w:rPr>
                <w:rFonts w:ascii="宋体" w:eastAsia="宋体" w:cs="Times New Roman"/>
                <w:sz w:val="22"/>
              </w:rPr>
              <w:t>标</w:t>
            </w:r>
          </w:p>
        </w:tc>
        <w:tc>
          <w:tcPr>
            <w:tcW w:w="10392"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Times New Roman"/>
                <w:sz w:val="22"/>
              </w:rPr>
            </w:pPr>
            <w:r>
              <w:rPr>
                <w:rFonts w:ascii="宋体" w:eastAsia="宋体" w:cs="Times New Roman"/>
                <w:sz w:val="22"/>
              </w:rPr>
              <w:t>目标1：开展辖区内出口备案食品生产企业联合抽查工作；</w:t>
            </w:r>
          </w:p>
          <w:p>
            <w:pPr>
              <w:rPr>
                <w:rFonts w:ascii="宋体" w:eastAsia="宋体" w:cs="Times New Roman"/>
                <w:sz w:val="22"/>
              </w:rPr>
            </w:pPr>
            <w:r>
              <w:rPr>
                <w:rFonts w:ascii="宋体" w:eastAsia="宋体" w:cs="Times New Roman"/>
                <w:sz w:val="22"/>
              </w:rPr>
              <w:t>目标2：规范出口食品企业管理体系运行，保证出口食品质量安全。</w:t>
              <w:tab/>
              <w:tab/>
              <w:tab/>
              <w:tab/>
            </w: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绩</w:t>
            </w:r>
          </w:p>
          <w:p>
            <w:pPr>
              <w:jc w:val="center"/>
              <w:rPr>
                <w:rFonts w:ascii="宋体" w:eastAsia="宋体" w:cs="Times New Roman"/>
                <w:sz w:val="22"/>
              </w:rPr>
            </w:pPr>
            <w:r>
              <w:rPr>
                <w:rFonts w:ascii="宋体" w:eastAsia="宋体" w:cs="Times New Roman"/>
                <w:sz w:val="22"/>
              </w:rPr>
              <w:t>效</w:t>
            </w:r>
          </w:p>
          <w:p>
            <w:pPr>
              <w:jc w:val="center"/>
              <w:rPr>
                <w:rFonts w:ascii="宋体" w:eastAsia="宋体" w:cs="Times New Roman"/>
                <w:sz w:val="22"/>
              </w:rPr>
            </w:pPr>
            <w:r>
              <w:rPr>
                <w:rFonts w:ascii="宋体" w:eastAsia="宋体" w:cs="Times New Roman"/>
                <w:sz w:val="22"/>
              </w:rPr>
              <w:t>指</w:t>
            </w:r>
          </w:p>
          <w:p>
            <w:pPr>
              <w:jc w:val="center"/>
              <w:rPr>
                <w:rFonts w:ascii="宋体" w:eastAsia="宋体" w:cs="Times New Roman"/>
                <w:sz w:val="22"/>
              </w:rPr>
            </w:pPr>
            <w:r>
              <w:rPr>
                <w:rFonts w:ascii="宋体" w:eastAsia="宋体" w:cs="Times New Roman"/>
                <w:sz w:val="22"/>
              </w:rPr>
              <w:t>标</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一级</w:t>
            </w:r>
          </w:p>
          <w:p>
            <w:pPr>
              <w:jc w:val="center"/>
              <w:rPr>
                <w:rFonts w:ascii="宋体" w:eastAsia="宋体" w:cs="Times New Roman"/>
                <w:sz w:val="22"/>
              </w:rPr>
            </w:pPr>
            <w:r>
              <w:rPr>
                <w:rFonts w:ascii="宋体" w:eastAsia="宋体" w:cs="Times New Roman"/>
                <w:sz w:val="22"/>
              </w:rPr>
              <w:t>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二级指标</w:t>
            </w:r>
          </w:p>
        </w:tc>
        <w:tc>
          <w:tcPr>
            <w:tcW w:w="3420"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三级指标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指标值</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分值</w:t>
            </w:r>
          </w:p>
          <w:p>
            <w:pPr>
              <w:jc w:val="center"/>
              <w:rPr>
                <w:rFonts w:ascii="宋体" w:eastAsia="宋体" w:cs="Times New Roman"/>
                <w:sz w:val="22"/>
              </w:rPr>
            </w:pPr>
            <w:r>
              <w:rPr>
                <w:rFonts w:ascii="宋体" w:eastAsia="宋体" w:cs="Times New Roman"/>
                <w:sz w:val="22"/>
              </w:rPr>
              <w:t>（90）</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产出指标</w:t>
            </w: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数量指标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完成稽核查企业数量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≥1家</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20</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完成进出口企业稽核查项目</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≥2个</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30</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效益指标</w:t>
            </w: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社会效益指标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辖区内出口企业食品安全事故发生率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≤2%</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10</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有效打击毒品、武器、普通货物、固体废物等走私效果</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是</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20</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满意度指标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服务对象满意度指标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辖区内出口食品企业满意度</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≥95%</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10</w:t>
            </w:r>
          </w:p>
        </w:tc>
      </w:tr>
    </w:tbl>
    <w:p>
      <w:pPr>
        <w:rPr>
          <w:rFonts w:ascii="宋体"/>
          <w:sz w:val="18"/>
          <w:szCs w:val="18"/>
          <w:highlight w:val="auto"/>
        </w:rPr>
      </w:pPr>
    </w:p>
    <w:p>
      <w:pPr>
        <w:rPr>
          <w:rFonts w:ascii="宋体"/>
          <w:sz w:val="18"/>
          <w:szCs w:val="18"/>
          <w:highlight w:val="auto"/>
        </w:rPr>
      </w:pPr>
    </w:p>
    <w:p>
      <w:pPr>
        <w:rPr>
          <w:rFonts w:ascii="宋体"/>
          <w:sz w:val="18"/>
          <w:szCs w:val="18"/>
          <w:highlight w:val="auto"/>
        </w:rPr>
      </w:pPr>
    </w:p>
    <w:p>
      <w:pPr>
        <w:rPr>
          <w:rFonts w:ascii="宋体"/>
          <w:sz w:val="18"/>
          <w:szCs w:val="18"/>
          <w:highlight w:val="auto"/>
        </w:rPr>
      </w:pPr>
    </w:p>
    <w:p>
      <w:pPr>
        <w:rPr>
          <w:rFonts w:ascii="宋体"/>
          <w:sz w:val="18"/>
          <w:szCs w:val="18"/>
          <w:highlight w:val="auto"/>
        </w:rPr>
      </w:pPr>
    </w:p>
    <w:p>
      <w:pPr>
        <w:rPr>
          <w:rFonts w:ascii="宋体"/>
          <w:sz w:val="18"/>
          <w:szCs w:val="18"/>
          <w:highlight w:val="auto"/>
        </w:rPr>
      </w:pPr>
    </w:p>
    <w:tbl>
      <w:tblPr>
        <w:jc w:val="left"/>
        <w:tblInd w:w="-588" w:type="dxa"/>
        <w:tblW w:w="1102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0"/>
        <w:gridCol w:w="1350"/>
        <w:gridCol w:w="2310"/>
        <w:gridCol w:w="1110"/>
        <w:gridCol w:w="2310"/>
        <w:gridCol w:w="2310"/>
        <w:gridCol w:w="1002"/>
      </w:tblGrid>
      <w:tr>
        <w:trPr>
          <w:trHeight w:val="704"/>
        </w:trPr>
        <w:tc>
          <w:tcPr>
            <w:tcW w:w="11022" w:type="dxa"/>
            <w:gridSpan w:val="7"/>
            <w:tcBorders>
              <w:top w:val="nil"/>
              <w:left w:val="nil"/>
              <w:bottom w:val="nil"/>
              <w:right w:val="nil"/>
              <w:tl2br w:val="nil"/>
              <w:tr2bl w:val="nil"/>
            </w:tcBorders>
            <w:noWrap/>
            <w:vAlign w:val="center"/>
          </w:tcPr>
          <w:p>
            <w:pPr>
              <w:jc w:val="center"/>
              <w:rPr>
                <w:rFonts w:ascii="黑体" w:eastAsia="黑体" w:cs="Times New Roman"/>
                <w:sz w:val="32"/>
              </w:rPr>
            </w:pPr>
          </w:p>
          <w:p>
            <w:pPr>
              <w:jc w:val="center"/>
              <w:rPr>
                <w:rFonts w:ascii="黑体" w:eastAsia="黑体" w:cs="Times New Roman"/>
                <w:sz w:val="32"/>
              </w:rPr>
            </w:pPr>
          </w:p>
          <w:p>
            <w:pPr>
              <w:jc w:val="center"/>
              <w:rPr>
                <w:rFonts w:ascii="黑体" w:eastAsia="黑体" w:cs="Times New Roman"/>
                <w:sz w:val="32"/>
              </w:rPr>
            </w:pPr>
          </w:p>
          <w:p>
            <w:pPr>
              <w:jc w:val="center"/>
              <w:rPr>
                <w:rFonts w:ascii="黑体" w:eastAsia="黑体" w:cs="Times New Roman"/>
                <w:sz w:val="32"/>
              </w:rPr>
            </w:pPr>
          </w:p>
          <w:p>
            <w:pPr>
              <w:jc w:val="center"/>
              <w:rPr>
                <w:rFonts w:ascii="黑体" w:eastAsia="黑体" w:cs="Times New Roman"/>
                <w:sz w:val="32"/>
              </w:rPr>
            </w:pPr>
          </w:p>
          <w:p>
            <w:pPr>
              <w:jc w:val="center"/>
              <w:rPr>
                <w:rFonts w:ascii="黑体" w:eastAsia="黑体" w:cs="Times New Roman"/>
                <w:sz w:val="32"/>
              </w:rPr>
            </w:pPr>
          </w:p>
          <w:p>
            <w:pPr>
              <w:jc w:val="center"/>
              <w:rPr>
                <w:rFonts w:ascii="黑体" w:eastAsia="黑体" w:cs="Times New Roman"/>
                <w:sz w:val="32"/>
              </w:rPr>
            </w:pPr>
          </w:p>
          <w:p>
            <w:pPr>
              <w:jc w:val="center"/>
              <w:rPr>
                <w:rFonts w:ascii="黑体" w:eastAsia="黑体" w:cs="Times New Roman"/>
                <w:sz w:val="32"/>
              </w:rPr>
            </w:pPr>
          </w:p>
          <w:p>
            <w:pPr>
              <w:jc w:val="center"/>
              <w:rPr>
                <w:rFonts w:ascii="黑体" w:eastAsia="黑体" w:cs="Times New Roman"/>
                <w:sz w:val="32"/>
              </w:rPr>
            </w:pPr>
            <w:r>
              <w:rPr>
                <w:rFonts w:ascii="黑体" w:eastAsia="黑体" w:cs="Times New Roman"/>
                <w:sz w:val="32"/>
              </w:rPr>
              <w:t>艰苦地区边关综合保障专项项目绩效目标表</w:t>
            </w:r>
          </w:p>
        </w:tc>
      </w:tr>
      <w:tr>
        <w:trPr>
          <w:trHeight w:val="494"/>
        </w:trPr>
        <w:tc>
          <w:tcPr>
            <w:tcW w:w="11022" w:type="dxa"/>
            <w:gridSpan w:val="7"/>
            <w:tcBorders>
              <w:top w:val="nil"/>
              <w:left w:val="nil"/>
              <w:bottom w:val="nil"/>
              <w:right w:val="nil"/>
              <w:tl2br w:val="nil"/>
              <w:tr2bl w:val="nil"/>
            </w:tcBorders>
            <w:noWrap/>
          </w:tcPr>
          <w:p>
            <w:pPr>
              <w:jc w:val="center"/>
              <w:rPr>
                <w:rFonts w:ascii="宋体" w:eastAsia="宋体" w:cs="Times New Roman"/>
                <w:sz w:val="24"/>
              </w:rPr>
            </w:pPr>
            <w:r>
              <w:rPr>
                <w:rFonts w:ascii="宋体" w:eastAsia="宋体" w:cs="Times New Roman"/>
                <w:sz w:val="24"/>
              </w:rPr>
              <w:t>（2024年度）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项目名称</w:t>
            </w:r>
          </w:p>
        </w:tc>
        <w:tc>
          <w:tcPr>
            <w:tcW w:w="9042"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艰苦地区边关综合保障专项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主管部门及代码</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实施单位</w:t>
            </w:r>
          </w:p>
        </w:tc>
        <w:tc>
          <w:tcPr>
            <w:tcW w:w="331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中华人民共和国集宁海关</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项目资金</w:t>
            </w:r>
          </w:p>
          <w:p>
            <w:pPr>
              <w:jc w:val="center"/>
              <w:rPr>
                <w:rFonts w:ascii="宋体" w:eastAsia="宋体" w:cs="Times New Roman"/>
                <w:sz w:val="22"/>
              </w:rPr>
            </w:pPr>
            <w:r>
              <w:rPr>
                <w:rFonts w:ascii="宋体" w:eastAsia="宋体" w:cs="Times New Roman"/>
                <w:sz w:val="22"/>
              </w:rPr>
              <w:t>（万元）</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 xml:space="preserve"> 年度资金总额：</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Times New Roman"/>
                <w:sz w:val="22"/>
              </w:rPr>
            </w:pPr>
            <w:r>
              <w:rPr>
                <w:rFonts w:ascii="宋体" w:eastAsia="宋体" w:cs="Times New Roman"/>
                <w:sz w:val="22"/>
              </w:rPr>
              <w:t>31.30</w:t>
            </w:r>
          </w:p>
        </w:tc>
        <w:tc>
          <w:tcPr>
            <w:tcW w:w="1002"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Times New Roman"/>
                <w:sz w:val="22"/>
              </w:rPr>
            </w:pPr>
            <w:r>
              <w:rPr>
                <w:rFonts w:ascii="宋体" w:eastAsia="宋体" w:cs="Times New Roman"/>
                <w:sz w:val="22"/>
              </w:rPr>
              <w:t>执行率</w:t>
            </w:r>
          </w:p>
          <w:p>
            <w:pPr>
              <w:jc w:val="center"/>
              <w:rPr>
                <w:rFonts w:ascii="宋体" w:eastAsia="宋体" w:cs="Times New Roman"/>
                <w:sz w:val="22"/>
              </w:rPr>
            </w:pPr>
            <w:r>
              <w:rPr>
                <w:rFonts w:ascii="宋体" w:eastAsia="宋体" w:cs="Times New Roman"/>
                <w:sz w:val="22"/>
              </w:rPr>
              <w:t>分值（10）</w:t>
            </w:r>
          </w:p>
        </w:tc>
      </w:tr>
      <w:tr>
        <w:trPr>
          <w:trHeight w:val="434"/>
        </w:trPr>
        <w:tc>
          <w:tcPr>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其中：财政拨款</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Times New Roman"/>
                <w:sz w:val="22"/>
              </w:rPr>
            </w:pPr>
            <w:r>
              <w:rPr>
                <w:rFonts w:ascii="宋体" w:eastAsia="宋体" w:cs="Times New Roman"/>
                <w:sz w:val="22"/>
              </w:rPr>
              <w:t>31.30</w:t>
            </w:r>
          </w:p>
        </w:tc>
        <w:tc>
          <w:tcPr>
            <w:vMerge/>
            <w:tcBorders>
              <w:top w:val="nil"/>
              <w:left w:val="single" w:sz="6" w:space="0" w:color="auto"/>
              <w:bottom w:val="nil"/>
              <w:right w:val="single" w:sz="6" w:space="0" w:color="auto"/>
              <w:tl2br w:val="nil"/>
              <w:tr2bl w:val="nil"/>
            </w:tcBorders>
            <w:noWrap/>
            <w:vAlign w:val="center"/>
          </w:tcPr>
          <w:p/>
        </w:tc>
      </w:tr>
      <w:tr>
        <w:trPr>
          <w:trHeight w:val="434"/>
        </w:trPr>
        <w:tc>
          <w:tcPr>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 xml:space="preserve">     上年结转</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Times New Roman"/>
                <w:sz w:val="22"/>
              </w:rPr>
            </w:pPr>
            <w:r>
              <w:rPr>
                <w:rFonts w:ascii="宋体" w:eastAsia="宋体" w:cs="Times New Roman"/>
                <w:sz w:val="22"/>
              </w:rPr>
              <w:t>-</w:t>
            </w:r>
          </w:p>
        </w:tc>
        <w:tc>
          <w:tcPr>
            <w:vMerge/>
            <w:tcBorders>
              <w:top w:val="nil"/>
              <w:left w:val="single" w:sz="6" w:space="0" w:color="auto"/>
              <w:bottom w:val="nil"/>
              <w:right w:val="single" w:sz="6" w:space="0" w:color="auto"/>
              <w:tl2br w:val="nil"/>
              <w:tr2bl w:val="nil"/>
            </w:tcBorders>
            <w:noWrap/>
            <w:vAlign w:val="center"/>
          </w:tcPr>
          <w:p/>
        </w:tc>
      </w:tr>
      <w:tr>
        <w:trPr>
          <w:trHeight w:val="434"/>
        </w:trPr>
        <w:tc>
          <w:tcPr>
            <w:gridSpan w:val="2"/>
            <w:vMerge/>
            <w:tcBorders>
              <w:top w:val="nil"/>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 xml:space="preserve">      其他资金</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Times New Roman"/>
                <w:sz w:val="22"/>
              </w:rPr>
            </w:pPr>
            <w:r>
              <w:rPr>
                <w:rFonts w:ascii="宋体" w:eastAsia="宋体" w:cs="Times New Roman"/>
                <w:sz w:val="22"/>
              </w:rPr>
              <w:t>-</w:t>
            </w:r>
          </w:p>
        </w:tc>
        <w:tc>
          <w:tcPr>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年</w:t>
            </w:r>
          </w:p>
          <w:p>
            <w:pPr>
              <w:jc w:val="center"/>
              <w:rPr>
                <w:rFonts w:ascii="宋体" w:eastAsia="宋体" w:cs="Times New Roman"/>
                <w:sz w:val="22"/>
              </w:rPr>
            </w:pPr>
            <w:r>
              <w:rPr>
                <w:rFonts w:ascii="宋体" w:eastAsia="宋体" w:cs="Times New Roman"/>
                <w:sz w:val="22"/>
              </w:rPr>
              <w:t>度</w:t>
            </w:r>
          </w:p>
          <w:p>
            <w:pPr>
              <w:jc w:val="center"/>
              <w:rPr>
                <w:rFonts w:ascii="宋体" w:eastAsia="宋体" w:cs="Times New Roman"/>
                <w:sz w:val="22"/>
              </w:rPr>
            </w:pPr>
            <w:r>
              <w:rPr>
                <w:rFonts w:ascii="宋体" w:eastAsia="宋体" w:cs="Times New Roman"/>
                <w:sz w:val="22"/>
              </w:rPr>
              <w:t>总</w:t>
            </w:r>
          </w:p>
          <w:p>
            <w:pPr>
              <w:jc w:val="center"/>
              <w:rPr>
                <w:rFonts w:ascii="宋体" w:eastAsia="宋体" w:cs="Times New Roman"/>
                <w:sz w:val="22"/>
              </w:rPr>
            </w:pPr>
            <w:r>
              <w:rPr>
                <w:rFonts w:ascii="宋体" w:eastAsia="宋体" w:cs="Times New Roman"/>
                <w:sz w:val="22"/>
              </w:rPr>
              <w:t>体</w:t>
            </w:r>
          </w:p>
          <w:p>
            <w:pPr>
              <w:jc w:val="center"/>
              <w:rPr>
                <w:rFonts w:ascii="宋体" w:eastAsia="宋体" w:cs="Times New Roman"/>
                <w:sz w:val="22"/>
              </w:rPr>
            </w:pPr>
            <w:r>
              <w:rPr>
                <w:rFonts w:ascii="宋体" w:eastAsia="宋体" w:cs="Times New Roman"/>
                <w:sz w:val="22"/>
              </w:rPr>
              <w:t>目</w:t>
            </w:r>
          </w:p>
          <w:p>
            <w:pPr>
              <w:jc w:val="center"/>
              <w:rPr>
                <w:rFonts w:ascii="宋体" w:eastAsia="宋体" w:cs="Times New Roman"/>
                <w:sz w:val="22"/>
              </w:rPr>
            </w:pPr>
            <w:r>
              <w:rPr>
                <w:rFonts w:ascii="宋体" w:eastAsia="宋体" w:cs="Times New Roman"/>
                <w:sz w:val="22"/>
              </w:rPr>
              <w:t>标</w:t>
            </w:r>
          </w:p>
        </w:tc>
        <w:tc>
          <w:tcPr>
            <w:tcW w:w="10392"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Times New Roman"/>
                <w:sz w:val="22"/>
              </w:rPr>
            </w:pPr>
            <w:r>
              <w:rPr>
                <w:rFonts w:ascii="宋体" w:eastAsia="宋体" w:cs="Times New Roman"/>
                <w:sz w:val="22"/>
              </w:rPr>
              <w:t>目标1：改善艰苦地区边关工作、生活条件；</w:t>
            </w:r>
          </w:p>
          <w:p>
            <w:pPr>
              <w:rPr>
                <w:rFonts w:ascii="宋体" w:eastAsia="宋体" w:cs="Times New Roman"/>
                <w:sz w:val="22"/>
              </w:rPr>
            </w:pPr>
            <w:r>
              <w:rPr>
                <w:rFonts w:ascii="宋体" w:eastAsia="宋体" w:cs="Times New Roman"/>
                <w:sz w:val="22"/>
              </w:rPr>
              <w:t>目标2：给予艰苦地区边关更精准的政策倾斜和资金保障，逐步缩小目前艰苦地区边关与同地区戍边部队、边检等单位基础设施和工作生活条件保障差距。</w:t>
            </w: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绩</w:t>
            </w:r>
          </w:p>
          <w:p>
            <w:pPr>
              <w:jc w:val="center"/>
              <w:rPr>
                <w:rFonts w:ascii="宋体" w:eastAsia="宋体" w:cs="Times New Roman"/>
                <w:sz w:val="22"/>
              </w:rPr>
            </w:pPr>
            <w:r>
              <w:rPr>
                <w:rFonts w:ascii="宋体" w:eastAsia="宋体" w:cs="Times New Roman"/>
                <w:sz w:val="22"/>
              </w:rPr>
              <w:t>效</w:t>
            </w:r>
          </w:p>
          <w:p>
            <w:pPr>
              <w:jc w:val="center"/>
              <w:rPr>
                <w:rFonts w:ascii="宋体" w:eastAsia="宋体" w:cs="Times New Roman"/>
                <w:sz w:val="22"/>
              </w:rPr>
            </w:pPr>
            <w:r>
              <w:rPr>
                <w:rFonts w:ascii="宋体" w:eastAsia="宋体" w:cs="Times New Roman"/>
                <w:sz w:val="22"/>
              </w:rPr>
              <w:t>指</w:t>
            </w:r>
          </w:p>
          <w:p>
            <w:pPr>
              <w:jc w:val="center"/>
              <w:rPr>
                <w:rFonts w:ascii="宋体" w:eastAsia="宋体" w:cs="Times New Roman"/>
                <w:sz w:val="22"/>
              </w:rPr>
            </w:pPr>
            <w:r>
              <w:rPr>
                <w:rFonts w:ascii="宋体" w:eastAsia="宋体" w:cs="Times New Roman"/>
                <w:sz w:val="22"/>
              </w:rPr>
              <w:t>标</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一级</w:t>
            </w:r>
          </w:p>
          <w:p>
            <w:pPr>
              <w:jc w:val="center"/>
              <w:rPr>
                <w:rFonts w:ascii="宋体" w:eastAsia="宋体" w:cs="Times New Roman"/>
                <w:sz w:val="22"/>
              </w:rPr>
            </w:pPr>
            <w:r>
              <w:rPr>
                <w:rFonts w:ascii="宋体" w:eastAsia="宋体" w:cs="Times New Roman"/>
                <w:sz w:val="22"/>
              </w:rPr>
              <w:t>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二级指标</w:t>
            </w:r>
          </w:p>
        </w:tc>
        <w:tc>
          <w:tcPr>
            <w:tcW w:w="3420"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三级指标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指标值</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分值</w:t>
            </w:r>
          </w:p>
          <w:p>
            <w:pPr>
              <w:jc w:val="center"/>
              <w:rPr>
                <w:rFonts w:ascii="宋体" w:eastAsia="宋体" w:cs="Times New Roman"/>
                <w:sz w:val="22"/>
              </w:rPr>
            </w:pPr>
            <w:r>
              <w:rPr>
                <w:rFonts w:ascii="宋体" w:eastAsia="宋体" w:cs="Times New Roman"/>
                <w:sz w:val="22"/>
              </w:rPr>
              <w:t>（90）</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成本指标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经济成本指标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个人防护用具、应急药品人均成本</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≤0.1万元/人/年</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20</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产出指标</w:t>
            </w: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数量指标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保障关警员数量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≥20人</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10</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运维保障暖心工程数量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≥1个</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10</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质量指标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体检覆盖率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≥95%</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20</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效益指标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社会效益指标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提升艰苦边关保障质量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是</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20</w:t>
            </w:r>
          </w:p>
        </w:tc>
      </w:tr>
      <w:tr>
        <w:trPr>
          <w:trHeight w:val="434"/>
        </w:trPr>
        <w:tc>
          <w:tcPr>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满意度指标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服务对象满意度指标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关警员满意度</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≥95%</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10</w:t>
            </w:r>
          </w:p>
        </w:tc>
      </w:tr>
    </w:tbl>
    <w:p>
      <w:pPr>
        <w:rPr>
          <w:highlight w:val="auto"/>
        </w:rPr>
      </w:pPr>
    </w:p>
    <w:p>
      <w:pPr>
        <w:rPr>
          <w:highlight w:val="auto"/>
        </w:rPr>
      </w:pPr>
    </w:p>
    <w:p>
      <w:pPr>
        <w:rPr>
          <w:highlight w:val="auto"/>
        </w:rPr>
      </w:pPr>
    </w:p>
    <w:p>
      <w:pPr>
        <w:rPr>
          <w:highlight w:val="auto"/>
        </w:rPr>
      </w:pPr>
    </w:p>
    <w:p>
      <w:pPr>
        <w:rPr>
          <w:highlight w:val="auto"/>
        </w:rPr>
      </w:pPr>
    </w:p>
    <w:p>
      <w:pPr>
        <w:rPr>
          <w:highlight w:val="auto"/>
        </w:rPr>
      </w:pPr>
    </w:p>
    <w:p>
      <w:pPr>
        <w:rPr>
          <w:highlight w:val="auto"/>
        </w:rPr>
      </w:pPr>
    </w:p>
    <w:p>
      <w:pPr>
        <w:rPr>
          <w:rFonts w:ascii="宋体" w:hint="eastAsia"/>
          <w:sz w:val="18"/>
          <w:szCs w:val="18"/>
          <w:highlight w:val="auto"/>
        </w:rPr>
      </w:pPr>
    </w:p>
    <w:p>
      <w:pPr>
        <w:rPr>
          <w:rFonts w:ascii="宋体" w:hint="eastAsia"/>
          <w:sz w:val="18"/>
          <w:szCs w:val="18"/>
          <w:highlight w:val="auto"/>
        </w:rPr>
      </w:pPr>
    </w:p>
    <w:sectPr>
      <w:pgSz w:w="11905" w:h="16840"/>
      <w:pgMar w:top="1440" w:right="1134" w:bottom="1440" w:left="1134" w:header="851" w:footer="992" w:gutter="0"/>
      <w:pgNumType/>
      <w:docGrid w:linePitch="285"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方正仿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Times New Roman">
    <w:panose1 w:val="02020603050405020304"/>
    <w:charset w:val="00"/>
    <w:family w:val="auto"/>
    <w:pitch w:val="variable"/>
    <w:sig w:usb0="E0002AFF" w:usb1="C0007841" w:usb2="00000009" w:usb3="00000000" w:csb0="400001FF" w:csb1="FFFF0000"/>
  </w:font>
  <w:font w:name="黑体">
    <w:altName w:val="方正黑体_GBK"/>
    <w:panose1 w:val="02010609060101010101"/>
    <w:charset w:val="86"/>
    <w:family w:val="auto"/>
    <w:pitch w:val="variable"/>
    <w:sig w:usb0="800002BF" w:usb1="38CF7CFA" w:usb2="00000016" w:usb3="00000000" w:csb0="00040001" w:csb1="00000000"/>
  </w:font>
  <w:font w:name="Microsoft JhengHei">
    <w:altName w:val="宋体"/>
    <w:panose1 w:val="020B0604030504040204"/>
    <w:charset w:val="88"/>
    <w:family w:val="swiss"/>
    <w:pitch w:val="variable"/>
    <w:sig w:usb0="00000087" w:usb1="28AF4000" w:usb2="00000016" w:usb3="00000000" w:csb0="00100009" w:csb1="00000000"/>
  </w:font>
  <w:font w:name="方正楷体_GBK">
    <w:panose1 w:val="03000509000000000000"/>
    <w:charset w:val="86"/>
    <w:family w:val="script"/>
    <w:pitch w:val="variable"/>
    <w:sig w:usb0="00000001" w:usb1="080E0000" w:usb2="00000000" w:usb3="00000000" w:csb0="00040000" w:csb1="00000000"/>
  </w:font>
  <w:font w:name="Arial">
    <w:altName w:val="DejaVu Sans"/>
    <w:panose1 w:val="020B0604020202020204"/>
    <w:charset w:val="00"/>
    <w:family w:val="swiss"/>
    <w:pitch w:val="variable"/>
    <w:sig w:usb0="E0002AFF" w:usb1="C0007843" w:usb2="00000009" w:usb3="00000000" w:csb0="400001FF" w:csb1="FFFF0000"/>
  </w:font>
  <w:font w:name="仿宋_GB2312">
    <w:altName w:val="仿宋"/>
    <w:panose1 w:val="00000000000000000000"/>
    <w:charset w:val="86"/>
    <w:family w:val="modern"/>
    <w:pitch w:val="variable"/>
    <w:sig w:usb0="00000001" w:usb1="080E0000" w:usb2="00000010" w:usb3="00000000" w:csb0="00040000" w:csb1="00000000"/>
  </w:font>
  <w:font w:name="Calibri">
    <w:panose1 w:val="020F0502020204030204"/>
    <w:charset w:val="00"/>
    <w:family w:val="auto"/>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lear" w:pos="4153"/>
        <w:tab w:val="clear" w:pos="8307"/>
        <w:tab w:val="center" w:pos="4153"/>
        <w:tab w:val="right" w:pos="8307"/>
      </w:tabs>
    </w:pPr>
    <w:r>
      <w:rPr>
        <w:sz w:val="18"/>
      </w:rPr>
      <mc:AlternateContent>
        <mc:Choice Requires="wps">
          <w:drawing>
            <wp:anchor distT="0" distB="0" distL="91438" distR="91438" simplePos="0" relativeHeight="21" behindDoc="0" locked="0" layoutInCell="1" hidden="0" allowOverlap="1">
              <wp:simplePos x="0" y="0"/>
              <wp:positionH relativeFrom="margin">
                <wp:align>center</wp:align>
              </wp:positionH>
              <wp:positionV relativeFrom="paragraph">
                <wp:posOffset>0</wp:posOffset>
              </wp:positionV>
              <wp:extent cx="57150" cy="131445"/>
              <wp:effectExtent l="0" t="0" r="0" b="0"/>
              <wp:wrapNone/>
              <wp:docPr id="1" name="文本框 1"/>
              <wp:cNvGraphicFramePr>
                <a:graphicFrameLocks noChangeAspect="0"/>
              </wp:cNvGraphicFramePr>
              <a:graphic>
                <a:graphicData uri="http://schemas.microsoft.com/office/word/2010/wordprocessingShape">
                  <wps:wsp>
                    <wps:cNvSpPr/>
                    <wps:spPr>
                      <a:xfrm rot="0">
                        <a:off x="0" y="0"/>
                        <a:ext cx="57150" cy="131445"/>
                      </a:xfrm>
                      <a:prstGeom prst="rect"/>
                      <a:noFill/>
                      <a:ln w="9525" cmpd="sng" cap="flat">
                        <a:noFill/>
                        <a:prstDash val="solid"/>
                        <a:miter/>
                      </a:ln>
                    </wps:spPr>
                    <wps:txbx id="2">
                      <w:txbxContent>
                        <w:p>
                          <w:pPr>
                            <w:pStyle w:val="18"/>
                            <w:tabs>
                              <w:tab w:val="clear" w:pos="4153"/>
                              <w:tab w:val="clear" w:pos="8307"/>
                              <w:tab w:val="center" w:pos="4153"/>
                              <w:tab w:val="right" w:pos="8307"/>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type="#_x0000_t202" id="文本框 3" o:spid="_x0000_s3" filled="f" stroked="f" style="position:absolute;margin-left:0.0pt;margin-top:0.0pt;width:4.5pt;height:10.350001pt;z-index:21;mso-position-horizontal:center;mso-position-horizontal-relative:margin;mso-position-vertical:absolute;mso-wrap-distance-left:7.19989pt;mso-wrap-distance-right:7.19989pt;mso-wrap-style:none;">
              <v:stroke color="#000000"/>
              <v:textbox id="853" inset="0mm,0mm,0mm,0mm" o:insetmode="custom" style="layout-flow:horizontal;v-text-anchor:top;mso-fit-shape-to-text:t;">
                <w:txbxContent>
                  <w:p>
                    <w:pPr>
                      <w:pStyle w:val="18"/>
                      <w:tabs>
                        <w:tab w:val="clear" w:pos="4153"/>
                        <w:tab w:val="clear" w:pos="8307"/>
                        <w:tab w:val="center" w:pos="4153"/>
                        <w:tab w:val="right" w:pos="8307"/>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lear" w:pos="4153"/>
        <w:tab w:val="clear" w:pos="8307"/>
        <w:tab w:val="center" w:pos="4153"/>
        <w:tab w:val="right" w:pos="8307"/>
      </w:tabs>
    </w:pPr>
    <w:r>
      <w:rPr>
        <w:sz w:val="18"/>
      </w:rPr>
      <mc:AlternateContent>
        <mc:Choice Requires="wps">
          <w:drawing>
            <wp:anchor distT="0" distB="0" distL="91438" distR="91438" simplePos="0" relativeHeight="22" behindDoc="0" locked="0" layoutInCell="1" hidden="0" allowOverlap="1">
              <wp:simplePos x="0" y="0"/>
              <wp:positionH relativeFrom="margin">
                <wp:align>center</wp:align>
              </wp:positionH>
              <wp:positionV relativeFrom="paragraph">
                <wp:posOffset>-2501265</wp:posOffset>
              </wp:positionV>
              <wp:extent cx="139699" cy="160794"/>
              <wp:effectExtent l="0" t="0" r="0" b="0"/>
              <wp:wrapNone/>
              <wp:docPr id="7" name="文本框 7"/>
              <wp:cNvGraphicFramePr>
                <a:graphicFrameLocks noChangeAspect="0"/>
              </wp:cNvGraphicFramePr>
              <a:graphic>
                <a:graphicData uri="http://schemas.microsoft.com/office/word/2010/wordprocessingShape">
                  <wps:wsp>
                    <wps:cNvSpPr/>
                    <wps:spPr>
                      <a:xfrm rot="0">
                        <a:off x="0" y="0"/>
                        <a:ext cx="139699" cy="160794"/>
                      </a:xfrm>
                      <a:prstGeom prst="rect"/>
                      <a:noFill/>
                      <a:ln w="9525" cmpd="sng" cap="flat">
                        <a:noFill/>
                        <a:prstDash val="solid"/>
                        <a:miter/>
                      </a:ln>
                    </wps:spPr>
                    <wps:txbx id="8">
                      <w:txbxContent>
                        <w:p>
                          <w:pPr>
                            <w:pStyle w:val="18"/>
                            <w:tabs>
                              <w:tab w:val="clear" w:pos="4153"/>
                              <w:tab w:val="clear" w:pos="8307"/>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w:t>
                          </w:r>
                          <w:r>
                            <w:rPr>
                              <w:sz w:val="22"/>
                              <w:szCs w:val="36"/>
                            </w:rPr>
                            <w:fldChar w:fldCharType="end"/>
                          </w:r>
                        </w:p>
                      </w:txbxContent>
                    </wps:txbx>
                    <wps:bodyPr vert="horz" wrap="none" lIns="0" tIns="0" rIns="0" bIns="0" anchor="t" anchorCtr="0" upright="1">
                      <a:spAutoFit/>
                    </wps:bodyPr>
                  </wps:wsp>
                </a:graphicData>
              </a:graphic>
            </wp:anchor>
          </w:drawing>
        </mc:Choice>
        <mc:Fallback>
          <w:pict>
            <v:shape type="#_x0000_t202" id="文本框 9" o:spid="_x0000_s9" filled="f" stroked="f" style="position:absolute;margin-left:123.34996pt;margin-top:-196.95004pt;width:10.999985pt;height:12.661001pt;z-index:22;mso-position-horizontal:center;mso-position-horizontal-relative:margin;mso-position-vertical:absolute;mso-wrap-distance-left:7.19989pt;mso-wrap-distance-right:7.19989pt;mso-wrap-style:none;">
              <v:stroke color="#000000"/>
              <v:textbox id="854" inset="0mm,0mm,0mm,0mm" o:insetmode="custom" style="layout-flow:horizontal;v-text-anchor:top;mso-fit-shape-to-text:t;">
                <w:txbxContent>
                  <w:p>
                    <w:pPr>
                      <w:pStyle w:val="18"/>
                      <w:tabs>
                        <w:tab w:val="clear" w:pos="4153"/>
                        <w:tab w:val="clear" w:pos="8307"/>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w:t>
                    </w:r>
                    <w:r>
                      <w:rPr>
                        <w:sz w:val="22"/>
                        <w:szCs w:val="36"/>
                      </w:rP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toc 3"/>
    <w:basedOn w:val="0"/>
    <w:next w:val="0"/>
    <w:pPr>
      <w:ind w:left="840"/>
    </w:pPr>
  </w:style>
  <w:style w:type="paragraph" w:styleId="17">
    <w:name w:val="Balloon Text"/>
    <w:basedOn w:val="0"/>
    <w:rPr>
      <w:sz w:val="18"/>
      <w:szCs w:val="18"/>
    </w:rPr>
  </w:style>
  <w:style w:type="paragraph" w:styleId="18">
    <w:name w:val="footer"/>
    <w:basedOn w:val="0"/>
    <w:pPr>
      <w:tabs>
        <w:tab w:val="center" w:pos="4153"/>
        <w:tab w:val="right" w:pos="8307"/>
      </w:tabs>
      <w:snapToGrid w:val="0"/>
      <w:jc w:val="left"/>
    </w:pPr>
    <w:rPr>
      <w:sz w:val="18"/>
    </w:rPr>
  </w:style>
  <w:style w:type="paragraph" w:styleId="19">
    <w:name w:val="header"/>
    <w:basedOn w:val="0"/>
    <w:pPr>
      <w:pBdr>
        <w:bottom w:val="single" w:sz="6" w:space="1" w:color="auto"/>
      </w:pBdr>
      <w:tabs>
        <w:tab w:val="center" w:pos="4153"/>
        <w:tab w:val="right" w:pos="8307"/>
      </w:tabs>
      <w:snapToGrid w:val="0"/>
      <w:jc w:val="center"/>
    </w:pPr>
    <w:rPr>
      <w:sz w:val="18"/>
      <w:bdr w:val="none" w:sz="0" w:space="0" w:color="auto"/>
    </w:rPr>
  </w:style>
  <w:style w:type="paragraph" w:styleId="20">
    <w:name w:val="index 7"/>
    <w:basedOn w:val="0"/>
    <w:next w:val="0"/>
    <w:pPr>
      <w:ind w:left="2520"/>
    </w:pPr>
  </w:style>
  <w:style w:type="paragraph" w:styleId="21">
    <w:name w:val="toc 2"/>
    <w:basedOn w:val="0"/>
    <w:next w:val="0"/>
    <w:pPr>
      <w:ind w:left="420"/>
    </w:pPr>
  </w:style>
  <w:style w:type="paragraph" w:styleId="22">
    <w:name w:val="Normal (Web)"/>
    <w:next w:val="19"/>
    <w:rPr>
      <w:rFonts w:ascii="宋体" w:eastAsia="宋体" w:cs="Times New Roman"/>
      <w:sz w:val="24"/>
      <w:szCs w:val="20"/>
      <w:lang w:val="en-US" w:eastAsia="zh-CN" w:bidi="ar-SA"/>
    </w:rPr>
  </w:style>
  <w:style w:type="paragraph" w:styleId="23">
    <w:name w:val="annotation subject"/>
    <w:basedOn w:val="15"/>
    <w:next w:val="15"/>
    <w:rPr>
      <w:b/>
      <w:bCs/>
    </w:rPr>
  </w:style>
  <w:style w:type="character" w:styleId="24">
    <w:name w:val="page number"/>
  </w:style>
  <w:style w:type="character" w:styleId="25">
    <w:name w:val="annotation reference"/>
    <w:rPr>
      <w:sz w:val="21"/>
      <w:szCs w:val="21"/>
    </w:rPr>
  </w:style>
  <w:style w:type="paragraph" w:customStyle="1" w:styleId="26">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6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9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2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3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6">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257">
    <w:name w:val="样式 1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8">
    <w:name w:val="样式 2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260">
    <w:name w:val="样式 3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1">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262">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5 10 磅"/>
    <w:next w:val="21"/>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89">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290">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2">
    <w:name w:val="样式 2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2335">
    <w:name w:val="font21"/>
    <w:rPr>
      <w:rFonts w:ascii="宋体" w:eastAsia="宋体" w:cs="宋体"/>
      <w:color w:val="000000"/>
      <w:sz w:val="24"/>
      <w:szCs w:val="24"/>
      <w:u w:val="none"/>
      <w:lang w:bidi="ar-SA"/>
    </w:rPr>
  </w:style>
  <w:style w:type="paragraph" w:customStyle="1" w:styleId="2336">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7">
    <w:name w:val="样式 2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5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7 10 磅"/>
    <w:next w:val="2609"/>
    <w:pPr>
      <w:widowControl w:val="0"/>
      <w:jc w:val="both"/>
    </w:pPr>
    <w:rPr>
      <w:rFonts w:ascii="Times New Roman" w:eastAsia="宋体" w:cs="Times New Roman" w:hAnsi="Times New Roman"/>
      <w:kern w:val="2"/>
      <w:sz w:val="21"/>
      <w:szCs w:val="24"/>
      <w:lang w:val="en-US" w:eastAsia="zh-CN" w:bidi="ar-SA"/>
    </w:rPr>
  </w:style>
  <w:style w:type="paragraph" w:customStyle="1" w:styleId="2619">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2 10 磅"/>
    <w:next w:val="2624"/>
    <w:pPr>
      <w:widowControl w:val="0"/>
      <w:jc w:val="both"/>
    </w:pPr>
    <w:rPr>
      <w:rFonts w:ascii="Times New Roman" w:eastAsia="宋体" w:cs="Times New Roman" w:hAnsi="Times New Roman"/>
      <w:kern w:val="2"/>
      <w:sz w:val="21"/>
      <w:szCs w:val="24"/>
      <w:lang w:val="en-US" w:eastAsia="zh-CN" w:bidi="ar-SA"/>
    </w:rPr>
  </w:style>
  <w:style w:type="paragraph" w:customStyle="1" w:styleId="2634">
    <w:name w:val="样式 2603 10 磅"/>
    <w:next w:val="2625"/>
    <w:pPr>
      <w:widowControl w:val="0"/>
      <w:jc w:val="both"/>
    </w:pPr>
    <w:rPr>
      <w:rFonts w:ascii="Times New Roman" w:eastAsia="宋体" w:cs="Times New Roman" w:hAnsi="Times New Roman"/>
      <w:kern w:val="2"/>
      <w:sz w:val="21"/>
      <w:szCs w:val="24"/>
      <w:lang w:val="en-US" w:eastAsia="zh-CN" w:bidi="ar-SA"/>
    </w:rPr>
  </w:style>
  <w:style w:type="paragraph" w:customStyle="1" w:styleId="2635">
    <w:name w:val="样式 2604 10 磅"/>
    <w:next w:val="2626"/>
    <w:pPr>
      <w:widowControl w:val="0"/>
      <w:jc w:val="both"/>
    </w:pPr>
    <w:rPr>
      <w:rFonts w:ascii="Times New Roman" w:eastAsia="宋体" w:cs="Times New Roman" w:hAnsi="Times New Roman"/>
      <w:kern w:val="2"/>
      <w:sz w:val="21"/>
      <w:szCs w:val="24"/>
      <w:lang w:val="en-US" w:eastAsia="zh-CN" w:bidi="ar-SA"/>
    </w:rPr>
  </w:style>
  <w:style w:type="paragraph" w:customStyle="1" w:styleId="2636">
    <w:name w:val="样式 2605 10 磅"/>
    <w:next w:val="2627"/>
    <w:pPr>
      <w:widowControl w:val="0"/>
      <w:jc w:val="both"/>
    </w:pPr>
    <w:rPr>
      <w:rFonts w:ascii="Times New Roman" w:eastAsia="宋体" w:cs="Times New Roman" w:hAnsi="Times New Roman"/>
      <w:kern w:val="2"/>
      <w:sz w:val="21"/>
      <w:szCs w:val="24"/>
      <w:lang w:val="en-US" w:eastAsia="zh-CN" w:bidi="ar-SA"/>
    </w:rPr>
  </w:style>
  <w:style w:type="paragraph" w:customStyle="1" w:styleId="2637">
    <w:name w:val="样式 2606 10 磅"/>
    <w:next w:val="2628"/>
    <w:pPr>
      <w:widowControl w:val="0"/>
      <w:jc w:val="both"/>
    </w:pPr>
    <w:rPr>
      <w:rFonts w:ascii="Times New Roman" w:eastAsia="宋体" w:cs="Times New Roman" w:hAnsi="Times New Roman"/>
      <w:kern w:val="2"/>
      <w:sz w:val="21"/>
      <w:szCs w:val="24"/>
      <w:lang w:val="en-US" w:eastAsia="zh-CN" w:bidi="ar-SA"/>
    </w:rPr>
  </w:style>
  <w:style w:type="paragraph" w:customStyle="1" w:styleId="2638">
    <w:name w:val="样式 2607 10 磅"/>
    <w:next w:val="2629"/>
    <w:pPr>
      <w:widowControl w:val="0"/>
      <w:jc w:val="both"/>
    </w:pPr>
    <w:rPr>
      <w:rFonts w:ascii="Times New Roman" w:eastAsia="宋体" w:cs="Times New Roman" w:hAnsi="Times New Roman"/>
      <w:kern w:val="2"/>
      <w:sz w:val="21"/>
      <w:szCs w:val="24"/>
      <w:lang w:val="en-US" w:eastAsia="zh-CN" w:bidi="ar-SA"/>
    </w:rPr>
  </w:style>
  <w:style w:type="paragraph" w:customStyle="1" w:styleId="2639">
    <w:name w:val="样式 2608 10 磅"/>
    <w:next w:val="2630"/>
    <w:pPr>
      <w:widowControl w:val="0"/>
      <w:jc w:val="both"/>
    </w:pPr>
    <w:rPr>
      <w:rFonts w:ascii="Times New Roman" w:eastAsia="宋体" w:cs="Times New Roman" w:hAnsi="Times New Roman"/>
      <w:kern w:val="2"/>
      <w:sz w:val="21"/>
      <w:szCs w:val="24"/>
      <w:lang w:val="en-US" w:eastAsia="zh-CN" w:bidi="ar-SA"/>
    </w:rPr>
  </w:style>
  <w:style w:type="paragraph" w:customStyle="1" w:styleId="2640">
    <w:name w:val="样式 2609 10 磅"/>
    <w:next w:val="2631"/>
    <w:pPr>
      <w:widowControl w:val="0"/>
      <w:jc w:val="both"/>
    </w:pPr>
    <w:rPr>
      <w:rFonts w:ascii="Times New Roman" w:eastAsia="宋体" w:cs="Times New Roman" w:hAnsi="Times New Roman"/>
      <w:kern w:val="2"/>
      <w:sz w:val="21"/>
      <w:szCs w:val="24"/>
      <w:lang w:val="en-US" w:eastAsia="zh-CN" w:bidi="ar-SA"/>
    </w:rPr>
  </w:style>
  <w:style w:type="paragraph" w:customStyle="1" w:styleId="2641">
    <w:name w:val="样式 2610 10 磅"/>
    <w:next w:val="2632"/>
    <w:pPr>
      <w:widowControl w:val="0"/>
      <w:jc w:val="both"/>
    </w:pPr>
    <w:rPr>
      <w:rFonts w:ascii="Times New Roman" w:eastAsia="宋体" w:cs="Times New Roman" w:hAnsi="Times New Roman"/>
      <w:kern w:val="2"/>
      <w:sz w:val="21"/>
      <w:szCs w:val="24"/>
      <w:lang w:val="en-US" w:eastAsia="zh-CN" w:bidi="ar-SA"/>
    </w:rPr>
  </w:style>
  <w:style w:type="paragraph" w:customStyle="1" w:styleId="2642">
    <w:name w:val="样式 2611 10 磅"/>
    <w:next w:val="2633"/>
    <w:pPr>
      <w:widowControl w:val="0"/>
      <w:jc w:val="both"/>
    </w:pPr>
    <w:rPr>
      <w:rFonts w:ascii="Times New Roman" w:eastAsia="宋体" w:cs="Times New Roman" w:hAnsi="Times New Roman"/>
      <w:kern w:val="2"/>
      <w:sz w:val="21"/>
      <w:szCs w:val="24"/>
      <w:lang w:val="en-US" w:eastAsia="zh-CN" w:bidi="ar-SA"/>
    </w:rPr>
  </w:style>
  <w:style w:type="paragraph" w:customStyle="1" w:styleId="2643">
    <w:name w:val="样式 2612 10 磅"/>
    <w:next w:val="2634"/>
    <w:pPr>
      <w:widowControl w:val="0"/>
      <w:jc w:val="both"/>
    </w:pPr>
    <w:rPr>
      <w:rFonts w:ascii="Times New Roman" w:eastAsia="宋体" w:cs="Times New Roman" w:hAnsi="Times New Roman"/>
      <w:kern w:val="2"/>
      <w:sz w:val="21"/>
      <w:szCs w:val="24"/>
      <w:lang w:val="en-US" w:eastAsia="zh-CN" w:bidi="ar-SA"/>
    </w:rPr>
  </w:style>
  <w:style w:type="paragraph" w:customStyle="1" w:styleId="2644">
    <w:name w:val="样式 2613 10 磅"/>
    <w:next w:val="2635"/>
    <w:pPr>
      <w:widowControl w:val="0"/>
      <w:jc w:val="both"/>
    </w:pPr>
    <w:rPr>
      <w:rFonts w:ascii="Times New Roman" w:eastAsia="宋体" w:cs="Times New Roman" w:hAnsi="Times New Roman"/>
      <w:kern w:val="2"/>
      <w:sz w:val="21"/>
      <w:szCs w:val="24"/>
      <w:lang w:val="en-US" w:eastAsia="zh-CN" w:bidi="ar-SA"/>
    </w:rPr>
  </w:style>
  <w:style w:type="paragraph" w:customStyle="1" w:styleId="2645">
    <w:name w:val="样式 2614 10 磅"/>
    <w:next w:val="2636"/>
    <w:pPr>
      <w:widowControl w:val="0"/>
      <w:jc w:val="both"/>
    </w:pPr>
    <w:rPr>
      <w:rFonts w:ascii="Times New Roman" w:eastAsia="宋体" w:cs="Times New Roman" w:hAnsi="Times New Roman"/>
      <w:kern w:val="2"/>
      <w:sz w:val="21"/>
      <w:szCs w:val="24"/>
      <w:lang w:val="en-US" w:eastAsia="zh-CN" w:bidi="ar-SA"/>
    </w:rPr>
  </w:style>
  <w:style w:type="paragraph" w:customStyle="1" w:styleId="2646">
    <w:name w:val="样式 2615 10 磅"/>
    <w:next w:val="2637"/>
    <w:pPr>
      <w:widowControl w:val="0"/>
      <w:jc w:val="both"/>
    </w:pPr>
    <w:rPr>
      <w:rFonts w:ascii="Times New Roman" w:eastAsia="宋体" w:cs="Times New Roman" w:hAnsi="Times New Roman"/>
      <w:kern w:val="2"/>
      <w:sz w:val="21"/>
      <w:szCs w:val="24"/>
      <w:lang w:val="en-US" w:eastAsia="zh-CN" w:bidi="ar-SA"/>
    </w:rPr>
  </w:style>
  <w:style w:type="paragraph" w:customStyle="1" w:styleId="2647">
    <w:name w:val="样式 2616 10 磅"/>
    <w:next w:val="2638"/>
    <w:pPr>
      <w:widowControl w:val="0"/>
      <w:jc w:val="both"/>
    </w:pPr>
    <w:rPr>
      <w:rFonts w:ascii="Times New Roman" w:eastAsia="宋体" w:cs="Times New Roman" w:hAnsi="Times New Roman"/>
      <w:kern w:val="2"/>
      <w:sz w:val="21"/>
      <w:szCs w:val="24"/>
      <w:lang w:val="en-US" w:eastAsia="zh-CN" w:bidi="ar-SA"/>
    </w:rPr>
  </w:style>
  <w:style w:type="paragraph" w:customStyle="1" w:styleId="2648">
    <w:name w:val="样式 2617 10 磅"/>
    <w:next w:val="2639"/>
    <w:pPr>
      <w:widowControl w:val="0"/>
      <w:jc w:val="both"/>
    </w:pPr>
    <w:rPr>
      <w:rFonts w:ascii="Times New Roman" w:eastAsia="宋体" w:cs="Times New Roman" w:hAnsi="Times New Roman"/>
      <w:kern w:val="2"/>
      <w:sz w:val="21"/>
      <w:szCs w:val="24"/>
      <w:lang w:val="en-US" w:eastAsia="zh-CN" w:bidi="ar-SA"/>
    </w:rPr>
  </w:style>
  <w:style w:type="paragraph" w:customStyle="1" w:styleId="2649">
    <w:name w:val="样式 2618 10 磅"/>
    <w:next w:val="2640"/>
    <w:pPr>
      <w:widowControl w:val="0"/>
      <w:jc w:val="both"/>
    </w:pPr>
    <w:rPr>
      <w:rFonts w:ascii="Times New Roman" w:eastAsia="宋体" w:cs="Times New Roman" w:hAnsi="Times New Roman"/>
      <w:kern w:val="2"/>
      <w:sz w:val="21"/>
      <w:szCs w:val="24"/>
      <w:lang w:val="en-US" w:eastAsia="zh-CN" w:bidi="ar-SA"/>
    </w:rPr>
  </w:style>
  <w:style w:type="paragraph" w:customStyle="1" w:styleId="2650">
    <w:name w:val="样式 2619 10 磅"/>
    <w:next w:val="2641"/>
    <w:pPr>
      <w:widowControl w:val="0"/>
      <w:jc w:val="both"/>
    </w:pPr>
    <w:rPr>
      <w:rFonts w:ascii="Times New Roman" w:eastAsia="宋体" w:cs="Times New Roman" w:hAnsi="Times New Roman"/>
      <w:kern w:val="2"/>
      <w:sz w:val="21"/>
      <w:szCs w:val="24"/>
      <w:lang w:val="en-US" w:eastAsia="zh-CN" w:bidi="ar-SA"/>
    </w:rPr>
  </w:style>
  <w:style w:type="paragraph" w:customStyle="1" w:styleId="2651">
    <w:name w:val="样式 26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3">
    <w:name w:val="样式 26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2">
    <w:name w:val="样式 4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103">
    <w:name w:val="样式 3071 10 磅"/>
    <w:pPr>
      <w:widowControl w:val="0"/>
      <w:jc w:val="both"/>
    </w:pPr>
    <w:rPr>
      <w:rFonts w:ascii="Times New Roman" w:eastAsia="宋体" w:cs="Times New Roman" w:hAnsi="Times New Roman"/>
      <w:kern w:val="2"/>
      <w:sz w:val="21"/>
      <w:szCs w:val="24"/>
      <w:lang w:val="en-US" w:eastAsia="zh-CN" w:bidi="ar-SA"/>
    </w:rPr>
  </w:style>
  <w:style w:type="paragraph" w:customStyle="1" w:styleId="3104">
    <w:name w:val="样式 小四"/>
    <w:pPr>
      <w:widowControl w:val="0"/>
      <w:spacing w:line="240" w:lineRule="auto"/>
      <w:jc w:val="left"/>
    </w:pPr>
    <w:rPr>
      <w:rFonts w:ascii="宋体" w:eastAsia="宋体" w:cs="Times New Roman"/>
      <w:kern w:val="2"/>
      <w:sz w:val="24"/>
      <w:szCs w:val="21"/>
      <w:lang w:val="en-US" w:eastAsia="zh-CN" w:bidi="ar-SA"/>
    </w:rPr>
  </w:style>
  <w:style w:type="paragraph" w:customStyle="1" w:styleId="3105">
    <w:name w:val="样式 1 小四"/>
    <w:pPr>
      <w:widowControl w:val="0"/>
      <w:spacing w:line="240" w:lineRule="auto"/>
      <w:jc w:val="left"/>
    </w:pPr>
    <w:rPr>
      <w:rFonts w:ascii="宋体" w:eastAsia="宋体" w:cs="Times New Roman"/>
      <w:kern w:val="2"/>
      <w:sz w:val="24"/>
      <w:szCs w:val="21"/>
      <w:lang w:val="en-US" w:eastAsia="zh-CN" w:bidi="ar-SA"/>
    </w:rPr>
  </w:style>
  <w:style w:type="paragraph" w:customStyle="1" w:styleId="3106">
    <w:name w:val="样式 30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7">
    <w:name w:val="样式 30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8">
    <w:name w:val="样式 30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9">
    <w:name w:val="样式 30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0">
    <w:name w:val="样式 30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1">
    <w:name w:val="样式 30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2">
    <w:name w:val="样式 30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3">
    <w:name w:val="样式 30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4">
    <w:name w:val="样式 30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5">
    <w:name w:val="样式 30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6">
    <w:name w:val="样式 30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7">
    <w:name w:val="样式 3083 10 磅"/>
    <w:pPr>
      <w:widowControl w:val="0"/>
      <w:jc w:val="both"/>
    </w:pPr>
    <w:rPr>
      <w:rFonts w:ascii="Times New Roman" w:eastAsia="宋体" w:cs="Times New Roman" w:hAnsi="Times New Roman"/>
      <w:kern w:val="2"/>
      <w:sz w:val="21"/>
      <w:szCs w:val="24"/>
      <w:lang w:val="en-US" w:eastAsia="zh-CN" w:bidi="ar-SA"/>
    </w:rPr>
  </w:style>
  <w:style w:type="paragraph" w:customStyle="1" w:styleId="3118">
    <w:name w:val="样式 3084 10 磅"/>
    <w:pPr>
      <w:widowControl w:val="0"/>
      <w:jc w:val="both"/>
    </w:pPr>
    <w:rPr>
      <w:rFonts w:ascii="Times New Roman" w:eastAsia="宋体" w:cs="Times New Roman" w:hAnsi="Times New Roman"/>
      <w:kern w:val="2"/>
      <w:sz w:val="21"/>
      <w:szCs w:val="24"/>
      <w:lang w:val="en-US" w:eastAsia="zh-CN" w:bidi="ar-SA"/>
    </w:rPr>
  </w:style>
  <w:style w:type="paragraph" w:customStyle="1" w:styleId="3119">
    <w:name w:val="样式 3085 10 磅"/>
    <w:pPr>
      <w:widowControl w:val="0"/>
      <w:jc w:val="both"/>
    </w:pPr>
    <w:rPr>
      <w:rFonts w:ascii="Calibri" w:eastAsia="宋体" w:cs="Arial" w:hAnsi="Calibri"/>
      <w:kern w:val="2"/>
      <w:sz w:val="21"/>
      <w:szCs w:val="22"/>
      <w:lang w:val="en-US" w:eastAsia="zh-CN" w:bidi="ar-SA"/>
    </w:rPr>
  </w:style>
  <w:style w:type="paragraph" w:customStyle="1" w:styleId="3120">
    <w:name w:val="样式 3086 10 磅"/>
    <w:pPr>
      <w:widowControl w:val="0"/>
      <w:jc w:val="both"/>
    </w:pPr>
    <w:rPr>
      <w:rFonts w:ascii="Times New Roman" w:eastAsia="宋体" w:cs="Times New Roman" w:hAnsi="Times New Roman"/>
      <w:kern w:val="2"/>
      <w:sz w:val="21"/>
      <w:szCs w:val="21"/>
      <w:lang w:val="en-US" w:eastAsia="zh-CN" w:bidi="ar-SA"/>
    </w:rPr>
  </w:style>
  <w:style w:type="paragraph" w:customStyle="1" w:styleId="3121">
    <w:name w:val="样式 3087 10 磅"/>
    <w:pPr>
      <w:widowControl w:val="0"/>
      <w:jc w:val="both"/>
    </w:pPr>
    <w:rPr>
      <w:rFonts w:ascii="Times New Roman" w:eastAsia="宋体" w:cs="Times New Roman" w:hAnsi="Times New Roman"/>
      <w:kern w:val="2"/>
      <w:sz w:val="21"/>
      <w:szCs w:val="21"/>
      <w:lang w:val="en-US" w:eastAsia="zh-CN" w:bidi="ar-SA"/>
    </w:rPr>
  </w:style>
  <w:style w:type="paragraph" w:customStyle="1" w:styleId="3122">
    <w:name w:val="样式 30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3">
    <w:name w:val="样式 30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4">
    <w:name w:val="样式 30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5">
    <w:name w:val="样式 30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6">
    <w:name w:val="样式 30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7">
    <w:name w:val="样式 30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8">
    <w:name w:val="样式 30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9">
    <w:name w:val="样式 30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0">
    <w:name w:val="样式 30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1">
    <w:name w:val="样式 30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2">
    <w:name w:val="样式 30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3">
    <w:name w:val="样式 3099 10 磅"/>
    <w:pPr>
      <w:widowControl w:val="0"/>
      <w:jc w:val="both"/>
    </w:pPr>
    <w:rPr>
      <w:rFonts w:ascii="Calibri" w:eastAsia="宋体" w:cs="Arial" w:hAnsi="Calibri"/>
      <w:kern w:val="2"/>
      <w:sz w:val="21"/>
      <w:szCs w:val="22"/>
      <w:lang w:val="en-US" w:eastAsia="zh-CN" w:bidi="ar-SA"/>
    </w:rPr>
  </w:style>
  <w:style w:type="paragraph" w:customStyle="1" w:styleId="3134">
    <w:name w:val="样式 3100 10 磅"/>
    <w:pPr>
      <w:widowControl w:val="0"/>
      <w:jc w:val="both"/>
    </w:pPr>
    <w:rPr>
      <w:rFonts w:ascii="Calibri" w:eastAsia="宋体" w:cs="Arial" w:hAnsi="Calibri"/>
      <w:kern w:val="2"/>
      <w:sz w:val="21"/>
      <w:szCs w:val="22"/>
      <w:lang w:val="en-US" w:eastAsia="zh-CN" w:bidi="ar-SA"/>
    </w:rPr>
  </w:style>
  <w:style w:type="paragraph" w:customStyle="1" w:styleId="3135">
    <w:name w:val="样式 31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6">
    <w:name w:val="样式 31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7">
    <w:name w:val="样式 31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8">
    <w:name w:val="样式 31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9">
    <w:name w:val="样式 31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0">
    <w:name w:val="样式 31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1">
    <w:name w:val="样式 31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2">
    <w:name w:val="样式 31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3">
    <w:name w:val="样式 31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4">
    <w:name w:val="样式 31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5">
    <w:name w:val="样式 31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6">
    <w:name w:val="样式 31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7">
    <w:name w:val="样式 31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8">
    <w:name w:val="样式 31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9">
    <w:name w:val="样式 31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0">
    <w:name w:val="样式 31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1">
    <w:name w:val="样式 31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2">
    <w:name w:val="样式 31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3">
    <w:name w:val="样式 31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4">
    <w:name w:val="样式 31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5">
    <w:name w:val="样式 31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6">
    <w:name w:val="样式 31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7">
    <w:name w:val="样式 3123 10 磅"/>
    <w:pPr>
      <w:widowControl w:val="0"/>
      <w:jc w:val="both"/>
    </w:pPr>
    <w:rPr>
      <w:rFonts w:ascii="Calibri" w:eastAsia="宋体" w:cs="Arial" w:hAnsi="Calibri"/>
      <w:kern w:val="2"/>
      <w:sz w:val="21"/>
      <w:szCs w:val="22"/>
      <w:lang w:val="en-US" w:eastAsia="zh-CN" w:bidi="ar-SA"/>
    </w:rPr>
  </w:style>
  <w:style w:type="paragraph" w:customStyle="1" w:styleId="3158">
    <w:name w:val="样式 3124 10 磅"/>
    <w:pPr>
      <w:widowControl w:val="0"/>
      <w:jc w:val="both"/>
    </w:pPr>
    <w:rPr>
      <w:rFonts w:ascii="Calibri" w:eastAsia="宋体" w:cs="Arial" w:hAnsi="Calibri"/>
      <w:kern w:val="2"/>
      <w:sz w:val="21"/>
      <w:szCs w:val="22"/>
      <w:lang w:val="en-US" w:eastAsia="zh-CN" w:bidi="ar-SA"/>
    </w:rPr>
  </w:style>
  <w:style w:type="paragraph" w:customStyle="1" w:styleId="3159">
    <w:name w:val="样式 3125 10 磅"/>
    <w:pPr>
      <w:widowControl w:val="0"/>
      <w:jc w:val="both"/>
    </w:pPr>
    <w:rPr>
      <w:rFonts w:ascii="Calibri" w:eastAsia="宋体" w:cs="Arial" w:hAnsi="Calibri"/>
      <w:kern w:val="2"/>
      <w:sz w:val="21"/>
      <w:szCs w:val="22"/>
      <w:lang w:val="en-US" w:eastAsia="zh-CN" w:bidi="ar-SA"/>
    </w:rPr>
  </w:style>
  <w:style w:type="paragraph" w:customStyle="1" w:styleId="3160">
    <w:name w:val="样式 3126 10 磅"/>
    <w:pPr>
      <w:widowControl w:val="0"/>
      <w:jc w:val="both"/>
    </w:pPr>
    <w:rPr>
      <w:rFonts w:ascii="Calibri" w:eastAsia="宋体" w:cs="Arial" w:hAnsi="Calibri"/>
      <w:kern w:val="2"/>
      <w:sz w:val="21"/>
      <w:szCs w:val="22"/>
      <w:lang w:val="en-US" w:eastAsia="zh-CN" w:bidi="ar-SA"/>
    </w:rPr>
  </w:style>
  <w:style w:type="paragraph" w:customStyle="1" w:styleId="3161">
    <w:name w:val="样式 3127 10 磅"/>
    <w:pPr>
      <w:widowControl w:val="0"/>
      <w:jc w:val="both"/>
    </w:pPr>
    <w:rPr>
      <w:rFonts w:ascii="Calibri" w:eastAsia="宋体" w:cs="Arial" w:hAnsi="Calibri"/>
      <w:kern w:val="2"/>
      <w:sz w:val="21"/>
      <w:szCs w:val="22"/>
      <w:lang w:val="en-US" w:eastAsia="zh-CN" w:bidi="ar-SA"/>
    </w:rPr>
  </w:style>
  <w:style w:type="paragraph" w:customStyle="1" w:styleId="3162">
    <w:name w:val="样式 3128 10 磅"/>
    <w:pPr>
      <w:widowControl w:val="0"/>
      <w:jc w:val="both"/>
    </w:pPr>
    <w:rPr>
      <w:rFonts w:ascii="Calibri" w:eastAsia="宋体" w:cs="Arial" w:hAnsi="Calibri"/>
      <w:kern w:val="2"/>
      <w:sz w:val="21"/>
      <w:szCs w:val="22"/>
      <w:lang w:val="en-US" w:eastAsia="zh-CN" w:bidi="ar-SA"/>
    </w:rPr>
  </w:style>
  <w:style w:type="paragraph" w:customStyle="1" w:styleId="3163">
    <w:name w:val="样式 3129 10 磅"/>
    <w:pPr>
      <w:widowControl w:val="0"/>
      <w:jc w:val="both"/>
    </w:pPr>
    <w:rPr>
      <w:rFonts w:ascii="Calibri" w:eastAsia="宋体" w:cs="Arial" w:hAnsi="Calibri"/>
      <w:kern w:val="2"/>
      <w:sz w:val="21"/>
      <w:szCs w:val="22"/>
      <w:lang w:val="en-US" w:eastAsia="zh-CN" w:bidi="ar-SA"/>
    </w:rPr>
  </w:style>
  <w:style w:type="paragraph" w:customStyle="1" w:styleId="3164">
    <w:name w:val="样式 3130 10 磅"/>
    <w:pPr>
      <w:widowControl w:val="0"/>
      <w:jc w:val="both"/>
    </w:pPr>
    <w:rPr>
      <w:rFonts w:ascii="Calibri" w:eastAsia="宋体" w:cs="Arial" w:hAnsi="Calibri"/>
      <w:kern w:val="2"/>
      <w:sz w:val="21"/>
      <w:szCs w:val="22"/>
      <w:lang w:val="en-US" w:eastAsia="zh-CN" w:bidi="ar-SA"/>
    </w:rPr>
  </w:style>
  <w:style w:type="paragraph" w:customStyle="1" w:styleId="3165">
    <w:name w:val="样式 3131 10 磅"/>
    <w:pPr>
      <w:widowControl w:val="0"/>
      <w:jc w:val="both"/>
    </w:pPr>
    <w:rPr>
      <w:rFonts w:ascii="Calibri" w:eastAsia="宋体" w:cs="Arial" w:hAnsi="Calibri"/>
      <w:kern w:val="2"/>
      <w:sz w:val="21"/>
      <w:szCs w:val="22"/>
      <w:lang w:val="en-US" w:eastAsia="zh-CN" w:bidi="ar-SA"/>
    </w:rPr>
  </w:style>
  <w:style w:type="paragraph" w:customStyle="1" w:styleId="3166">
    <w:name w:val="样式 3132 10 磅"/>
    <w:pPr>
      <w:widowControl w:val="0"/>
      <w:jc w:val="both"/>
    </w:pPr>
    <w:rPr>
      <w:rFonts w:ascii="Calibri" w:eastAsia="宋体" w:cs="Arial" w:hAnsi="Calibri"/>
      <w:kern w:val="2"/>
      <w:sz w:val="21"/>
      <w:szCs w:val="22"/>
      <w:lang w:val="en-US" w:eastAsia="zh-CN" w:bidi="ar-SA"/>
    </w:rPr>
  </w:style>
  <w:style w:type="paragraph" w:customStyle="1" w:styleId="3167">
    <w:name w:val="样式 3133 10 磅"/>
    <w:pPr>
      <w:widowControl w:val="0"/>
      <w:jc w:val="both"/>
    </w:pPr>
    <w:rPr>
      <w:rFonts w:ascii="Calibri" w:eastAsia="宋体" w:cs="Arial" w:hAnsi="Calibri"/>
      <w:kern w:val="2"/>
      <w:sz w:val="21"/>
      <w:szCs w:val="22"/>
      <w:lang w:val="en-US" w:eastAsia="zh-CN" w:bidi="ar-SA"/>
    </w:rPr>
  </w:style>
  <w:style w:type="paragraph" w:customStyle="1" w:styleId="3168">
    <w:name w:val="样式 3134 10 磅"/>
    <w:pPr>
      <w:widowControl w:val="0"/>
      <w:jc w:val="both"/>
    </w:pPr>
    <w:rPr>
      <w:rFonts w:ascii="Calibri" w:eastAsia="宋体" w:cs="Arial" w:hAnsi="Calibri"/>
      <w:kern w:val="2"/>
      <w:sz w:val="21"/>
      <w:szCs w:val="22"/>
      <w:lang w:val="en-US" w:eastAsia="zh-CN" w:bidi="ar-SA"/>
    </w:rPr>
  </w:style>
  <w:style w:type="paragraph" w:customStyle="1" w:styleId="3169">
    <w:name w:val="样式 3135 10 磅"/>
    <w:pPr>
      <w:widowControl w:val="0"/>
      <w:jc w:val="both"/>
    </w:pPr>
    <w:rPr>
      <w:rFonts w:ascii="Calibri" w:eastAsia="宋体" w:cs="Arial" w:hAnsi="Calibri"/>
      <w:kern w:val="2"/>
      <w:sz w:val="21"/>
      <w:szCs w:val="22"/>
      <w:lang w:val="en-US" w:eastAsia="zh-CN" w:bidi="ar-SA"/>
    </w:rPr>
  </w:style>
  <w:style w:type="paragraph" w:customStyle="1" w:styleId="3170">
    <w:name w:val="样式 3136 10 磅"/>
    <w:pPr>
      <w:widowControl w:val="0"/>
      <w:jc w:val="both"/>
    </w:pPr>
    <w:rPr>
      <w:rFonts w:ascii="Calibri" w:eastAsia="宋体" w:cs="Arial" w:hAnsi="Calibri"/>
      <w:kern w:val="2"/>
      <w:sz w:val="21"/>
      <w:szCs w:val="22"/>
      <w:lang w:val="en-US" w:eastAsia="zh-CN" w:bidi="ar-SA"/>
    </w:rPr>
  </w:style>
  <w:style w:type="paragraph" w:customStyle="1" w:styleId="3171">
    <w:name w:val="样式 3137 10 磅"/>
    <w:pPr>
      <w:widowControl w:val="0"/>
      <w:jc w:val="both"/>
    </w:pPr>
    <w:rPr>
      <w:rFonts w:ascii="Calibri" w:eastAsia="宋体" w:cs="Arial" w:hAnsi="Calibri"/>
      <w:kern w:val="2"/>
      <w:sz w:val="21"/>
      <w:szCs w:val="22"/>
      <w:lang w:val="en-US" w:eastAsia="zh-CN" w:bidi="ar-SA"/>
    </w:rPr>
  </w:style>
  <w:style w:type="paragraph" w:customStyle="1" w:styleId="3172">
    <w:name w:val="样式 3138 10 磅"/>
    <w:pPr>
      <w:widowControl w:val="0"/>
      <w:jc w:val="both"/>
    </w:pPr>
    <w:rPr>
      <w:rFonts w:ascii="Calibri" w:eastAsia="宋体" w:cs="Arial" w:hAnsi="Calibri"/>
      <w:kern w:val="2"/>
      <w:sz w:val="21"/>
      <w:szCs w:val="22"/>
      <w:lang w:val="en-US" w:eastAsia="zh-CN" w:bidi="ar-SA"/>
    </w:rPr>
  </w:style>
  <w:style w:type="paragraph" w:customStyle="1" w:styleId="3173">
    <w:name w:val="样式 3139 10 磅"/>
    <w:pPr>
      <w:widowControl w:val="0"/>
      <w:jc w:val="both"/>
    </w:pPr>
    <w:rPr>
      <w:rFonts w:ascii="Calibri" w:eastAsia="宋体" w:cs="Arial" w:hAnsi="Calibri"/>
      <w:kern w:val="2"/>
      <w:sz w:val="21"/>
      <w:szCs w:val="22"/>
      <w:lang w:val="en-US" w:eastAsia="zh-CN" w:bidi="ar-SA"/>
    </w:rPr>
  </w:style>
  <w:style w:type="paragraph" w:customStyle="1" w:styleId="3174">
    <w:name w:val="样式 3140 10 磅"/>
    <w:pPr>
      <w:widowControl w:val="0"/>
      <w:jc w:val="both"/>
    </w:pPr>
    <w:rPr>
      <w:rFonts w:ascii="Calibri" w:eastAsia="宋体" w:cs="Arial" w:hAnsi="Calibri"/>
      <w:kern w:val="2"/>
      <w:sz w:val="21"/>
      <w:szCs w:val="22"/>
      <w:lang w:val="en-US" w:eastAsia="zh-CN" w:bidi="ar-SA"/>
    </w:rPr>
  </w:style>
  <w:style w:type="paragraph" w:customStyle="1" w:styleId="3175">
    <w:name w:val="样式 3141 10 磅"/>
    <w:pPr>
      <w:widowControl w:val="0"/>
      <w:jc w:val="both"/>
    </w:pPr>
    <w:rPr>
      <w:rFonts w:ascii="Calibri" w:eastAsia="宋体" w:cs="Arial" w:hAnsi="Calibri"/>
      <w:kern w:val="2"/>
      <w:sz w:val="21"/>
      <w:szCs w:val="22"/>
      <w:lang w:val="en-US" w:eastAsia="zh-CN" w:bidi="ar-SA"/>
    </w:rPr>
  </w:style>
  <w:style w:type="paragraph" w:customStyle="1" w:styleId="3176">
    <w:name w:val="样式 3142 10 磅"/>
    <w:pPr>
      <w:widowControl w:val="0"/>
      <w:jc w:val="both"/>
    </w:pPr>
    <w:rPr>
      <w:rFonts w:ascii="Calibri" w:eastAsia="宋体" w:cs="Arial" w:hAnsi="Calibri"/>
      <w:kern w:val="2"/>
      <w:sz w:val="21"/>
      <w:szCs w:val="22"/>
      <w:lang w:val="en-US" w:eastAsia="zh-CN" w:bidi="ar-SA"/>
    </w:rPr>
  </w:style>
  <w:style w:type="paragraph" w:customStyle="1" w:styleId="3177">
    <w:name w:val="样式 3143 10 磅"/>
    <w:pPr>
      <w:widowControl w:val="0"/>
      <w:jc w:val="both"/>
    </w:pPr>
    <w:rPr>
      <w:rFonts w:ascii="Calibri" w:eastAsia="宋体" w:cs="Arial" w:hAnsi="Calibri"/>
      <w:kern w:val="2"/>
      <w:sz w:val="21"/>
      <w:szCs w:val="22"/>
      <w:lang w:val="en-US" w:eastAsia="zh-CN" w:bidi="ar-SA"/>
    </w:rPr>
  </w:style>
  <w:style w:type="paragraph" w:customStyle="1" w:styleId="3178">
    <w:name w:val="样式 3144 10 磅"/>
    <w:pPr>
      <w:widowControl w:val="0"/>
      <w:jc w:val="both"/>
    </w:pPr>
    <w:rPr>
      <w:rFonts w:ascii="Calibri" w:eastAsia="宋体" w:cs="Arial" w:hAnsi="Calibri"/>
      <w:kern w:val="2"/>
      <w:sz w:val="21"/>
      <w:szCs w:val="22"/>
      <w:lang w:val="en-US" w:eastAsia="zh-CN" w:bidi="ar-SA"/>
    </w:rPr>
  </w:style>
  <w:style w:type="paragraph" w:customStyle="1" w:styleId="3179">
    <w:name w:val="样式 3145 10 磅"/>
    <w:pPr>
      <w:widowControl w:val="0"/>
      <w:jc w:val="both"/>
    </w:pPr>
    <w:rPr>
      <w:rFonts w:ascii="Calibri" w:eastAsia="宋体" w:cs="Arial" w:hAnsi="Calibri"/>
      <w:kern w:val="2"/>
      <w:sz w:val="21"/>
      <w:szCs w:val="22"/>
      <w:lang w:val="en-US" w:eastAsia="zh-CN" w:bidi="ar-SA"/>
    </w:rPr>
  </w:style>
  <w:style w:type="paragraph" w:customStyle="1" w:styleId="3180">
    <w:name w:val="样式 3146 10 磅"/>
    <w:pPr>
      <w:widowControl w:val="0"/>
      <w:jc w:val="both"/>
    </w:pPr>
    <w:rPr>
      <w:rFonts w:ascii="Calibri" w:eastAsia="宋体" w:cs="Arial" w:hAnsi="Calibri"/>
      <w:kern w:val="2"/>
      <w:sz w:val="21"/>
      <w:szCs w:val="22"/>
      <w:lang w:val="en-US" w:eastAsia="zh-CN" w:bidi="ar-SA"/>
    </w:rPr>
  </w:style>
  <w:style w:type="paragraph" w:customStyle="1" w:styleId="3181">
    <w:name w:val="样式 3147 10 磅"/>
    <w:pPr>
      <w:widowControl w:val="0"/>
      <w:jc w:val="both"/>
    </w:pPr>
    <w:rPr>
      <w:rFonts w:ascii="Calibri" w:eastAsia="宋体" w:cs="Arial" w:hAnsi="Calibri"/>
      <w:kern w:val="2"/>
      <w:sz w:val="21"/>
      <w:szCs w:val="22"/>
      <w:lang w:val="en-US" w:eastAsia="zh-CN" w:bidi="ar-SA"/>
    </w:rPr>
  </w:style>
  <w:style w:type="paragraph" w:customStyle="1" w:styleId="3182">
    <w:name w:val="样式 3148 10 磅"/>
    <w:pPr>
      <w:widowControl w:val="0"/>
      <w:jc w:val="both"/>
    </w:pPr>
    <w:rPr>
      <w:rFonts w:ascii="Calibri" w:eastAsia="宋体" w:cs="Arial" w:hAnsi="Calibri"/>
      <w:kern w:val="2"/>
      <w:sz w:val="21"/>
      <w:szCs w:val="22"/>
      <w:lang w:val="en-US" w:eastAsia="zh-CN" w:bidi="ar-SA"/>
    </w:rPr>
  </w:style>
  <w:style w:type="paragraph" w:customStyle="1" w:styleId="3183">
    <w:name w:val="样式 3149 10 磅"/>
    <w:pPr>
      <w:widowControl w:val="0"/>
      <w:jc w:val="both"/>
    </w:pPr>
    <w:rPr>
      <w:rFonts w:ascii="Calibri" w:eastAsia="宋体" w:cs="Arial" w:hAnsi="Calibri"/>
      <w:kern w:val="2"/>
      <w:sz w:val="21"/>
      <w:szCs w:val="22"/>
      <w:lang w:val="en-US" w:eastAsia="zh-CN" w:bidi="ar-SA"/>
    </w:rPr>
  </w:style>
  <w:style w:type="paragraph" w:customStyle="1" w:styleId="3184">
    <w:name w:val="样式 3150 10 磅"/>
    <w:pPr>
      <w:widowControl w:val="0"/>
      <w:jc w:val="both"/>
    </w:pPr>
    <w:rPr>
      <w:rFonts w:ascii="Calibri" w:eastAsia="宋体" w:cs="Arial" w:hAnsi="Calibri"/>
      <w:kern w:val="2"/>
      <w:sz w:val="21"/>
      <w:szCs w:val="22"/>
      <w:lang w:val="en-US" w:eastAsia="zh-CN" w:bidi="ar-SA"/>
    </w:rPr>
  </w:style>
  <w:style w:type="paragraph" w:customStyle="1" w:styleId="3185">
    <w:name w:val="样式 3151 10 磅"/>
    <w:pPr>
      <w:widowControl w:val="0"/>
      <w:jc w:val="both"/>
    </w:pPr>
    <w:rPr>
      <w:rFonts w:ascii="Calibri" w:eastAsia="宋体" w:cs="Arial" w:hAnsi="Calibri"/>
      <w:kern w:val="2"/>
      <w:sz w:val="21"/>
      <w:szCs w:val="22"/>
      <w:lang w:val="en-US" w:eastAsia="zh-CN" w:bidi="ar-SA"/>
    </w:rPr>
  </w:style>
  <w:style w:type="paragraph" w:customStyle="1" w:styleId="3186">
    <w:name w:val="样式 3152 10 磅"/>
    <w:pPr>
      <w:widowControl w:val="0"/>
      <w:jc w:val="both"/>
    </w:pPr>
    <w:rPr>
      <w:rFonts w:ascii="Calibri" w:eastAsia="宋体" w:cs="Arial" w:hAnsi="Calibri"/>
      <w:kern w:val="2"/>
      <w:sz w:val="21"/>
      <w:szCs w:val="22"/>
      <w:lang w:val="en-US" w:eastAsia="zh-CN" w:bidi="ar-SA"/>
    </w:rPr>
  </w:style>
  <w:style w:type="paragraph" w:customStyle="1" w:styleId="3187">
    <w:name w:val="样式 3153 10 磅"/>
    <w:pPr>
      <w:widowControl w:val="0"/>
      <w:jc w:val="both"/>
    </w:pPr>
    <w:rPr>
      <w:rFonts w:ascii="Calibri" w:eastAsia="宋体" w:cs="Arial" w:hAnsi="Calibri"/>
      <w:kern w:val="2"/>
      <w:sz w:val="21"/>
      <w:szCs w:val="22"/>
      <w:lang w:val="en-US" w:eastAsia="zh-CN" w:bidi="ar-SA"/>
    </w:rPr>
  </w:style>
  <w:style w:type="paragraph" w:customStyle="1" w:styleId="3188">
    <w:name w:val="样式 3154 10 磅"/>
    <w:pPr>
      <w:widowControl w:val="0"/>
      <w:jc w:val="both"/>
    </w:pPr>
    <w:rPr>
      <w:rFonts w:ascii="Calibri" w:eastAsia="宋体" w:cs="Arial" w:hAnsi="Calibri"/>
      <w:kern w:val="2"/>
      <w:sz w:val="21"/>
      <w:szCs w:val="22"/>
      <w:lang w:val="en-US" w:eastAsia="zh-CN" w:bidi="ar-SA"/>
    </w:rPr>
  </w:style>
  <w:style w:type="paragraph" w:customStyle="1" w:styleId="3189">
    <w:name w:val="样式 3155 10 磅"/>
    <w:pPr>
      <w:widowControl w:val="0"/>
      <w:jc w:val="both"/>
    </w:pPr>
    <w:rPr>
      <w:rFonts w:ascii="Calibri" w:eastAsia="宋体" w:cs="Arial" w:hAnsi="Calibri"/>
      <w:kern w:val="2"/>
      <w:sz w:val="21"/>
      <w:szCs w:val="22"/>
      <w:lang w:val="en-US" w:eastAsia="zh-CN" w:bidi="ar-SA"/>
    </w:rPr>
  </w:style>
  <w:style w:type="paragraph" w:customStyle="1" w:styleId="3190">
    <w:name w:val="样式 3156 10 磅"/>
    <w:pPr>
      <w:widowControl w:val="0"/>
      <w:jc w:val="both"/>
    </w:pPr>
    <w:rPr>
      <w:rFonts w:ascii="Calibri" w:eastAsia="宋体" w:cs="Arial" w:hAnsi="Calibri"/>
      <w:kern w:val="2"/>
      <w:sz w:val="21"/>
      <w:szCs w:val="22"/>
      <w:lang w:val="en-US" w:eastAsia="zh-CN" w:bidi="ar-SA"/>
    </w:rPr>
  </w:style>
  <w:style w:type="paragraph" w:customStyle="1" w:styleId="3191">
    <w:name w:val="样式 3157 10 磅"/>
    <w:pPr>
      <w:widowControl w:val="0"/>
      <w:jc w:val="both"/>
    </w:pPr>
    <w:rPr>
      <w:rFonts w:ascii="Calibri" w:eastAsia="宋体" w:cs="Arial" w:hAnsi="Calibri"/>
      <w:kern w:val="2"/>
      <w:sz w:val="21"/>
      <w:szCs w:val="22"/>
      <w:lang w:val="en-US" w:eastAsia="zh-CN" w:bidi="ar-SA"/>
    </w:rPr>
  </w:style>
  <w:style w:type="paragraph" w:customStyle="1" w:styleId="3192">
    <w:name w:val="样式 3158 10 磅"/>
    <w:pPr>
      <w:widowControl w:val="0"/>
      <w:jc w:val="both"/>
    </w:pPr>
    <w:rPr>
      <w:rFonts w:ascii="Calibri" w:eastAsia="宋体" w:cs="Arial" w:hAnsi="Calibri"/>
      <w:kern w:val="2"/>
      <w:sz w:val="21"/>
      <w:szCs w:val="22"/>
      <w:lang w:val="en-US" w:eastAsia="zh-CN" w:bidi="ar-SA"/>
    </w:rPr>
  </w:style>
  <w:style w:type="paragraph" w:customStyle="1" w:styleId="3193">
    <w:name w:val="样式 3159 10 磅"/>
    <w:pPr>
      <w:widowControl w:val="0"/>
      <w:jc w:val="both"/>
    </w:pPr>
    <w:rPr>
      <w:rFonts w:ascii="Calibri" w:eastAsia="宋体" w:cs="Arial" w:hAnsi="Calibri"/>
      <w:kern w:val="2"/>
      <w:sz w:val="21"/>
      <w:szCs w:val="22"/>
      <w:lang w:val="en-US" w:eastAsia="zh-CN" w:bidi="ar-SA"/>
    </w:rPr>
  </w:style>
  <w:style w:type="paragraph" w:customStyle="1" w:styleId="3194">
    <w:name w:val="样式 3160 10 磅"/>
    <w:pPr>
      <w:widowControl w:val="0"/>
      <w:jc w:val="both"/>
    </w:pPr>
    <w:rPr>
      <w:rFonts w:ascii="Calibri" w:eastAsia="宋体" w:cs="Arial" w:hAnsi="Calibri"/>
      <w:kern w:val="2"/>
      <w:sz w:val="21"/>
      <w:szCs w:val="22"/>
      <w:lang w:val="en-US" w:eastAsia="zh-CN" w:bidi="ar-SA"/>
    </w:rPr>
  </w:style>
  <w:style w:type="paragraph" w:customStyle="1" w:styleId="3195">
    <w:name w:val="样式 3161 10 磅"/>
    <w:pPr>
      <w:widowControl w:val="0"/>
      <w:jc w:val="both"/>
    </w:pPr>
    <w:rPr>
      <w:rFonts w:ascii="Calibri" w:eastAsia="宋体" w:cs="Arial" w:hAnsi="Calibri"/>
      <w:kern w:val="2"/>
      <w:sz w:val="21"/>
      <w:szCs w:val="22"/>
      <w:lang w:val="en-US" w:eastAsia="zh-CN" w:bidi="ar-SA"/>
    </w:rPr>
  </w:style>
  <w:style w:type="paragraph" w:customStyle="1" w:styleId="3196">
    <w:name w:val="样式 3162 10 磅"/>
    <w:pPr>
      <w:widowControl w:val="0"/>
      <w:jc w:val="both"/>
    </w:pPr>
    <w:rPr>
      <w:rFonts w:ascii="Calibri" w:eastAsia="宋体" w:cs="Arial" w:hAnsi="Calibri"/>
      <w:kern w:val="2"/>
      <w:sz w:val="21"/>
      <w:szCs w:val="22"/>
      <w:lang w:val="en-US" w:eastAsia="zh-CN" w:bidi="ar-SA"/>
    </w:rPr>
  </w:style>
  <w:style w:type="paragraph" w:customStyle="1" w:styleId="3197">
    <w:name w:val="样式 3163 10 磅"/>
    <w:pPr>
      <w:widowControl w:val="0"/>
      <w:jc w:val="both"/>
    </w:pPr>
    <w:rPr>
      <w:rFonts w:ascii="Calibri" w:eastAsia="宋体" w:cs="Arial" w:hAnsi="Calibri"/>
      <w:kern w:val="2"/>
      <w:sz w:val="21"/>
      <w:szCs w:val="22"/>
      <w:lang w:val="en-US" w:eastAsia="zh-CN" w:bidi="ar-SA"/>
    </w:rPr>
  </w:style>
  <w:style w:type="paragraph" w:customStyle="1" w:styleId="3198">
    <w:name w:val="样式 3164 10 磅"/>
    <w:pPr>
      <w:widowControl w:val="0"/>
      <w:jc w:val="both"/>
    </w:pPr>
    <w:rPr>
      <w:rFonts w:ascii="Calibri" w:eastAsia="宋体" w:cs="Arial" w:hAnsi="Calibri"/>
      <w:kern w:val="2"/>
      <w:sz w:val="21"/>
      <w:szCs w:val="22"/>
      <w:lang w:val="en-US" w:eastAsia="zh-CN" w:bidi="ar-SA"/>
    </w:rPr>
  </w:style>
  <w:style w:type="paragraph" w:customStyle="1" w:styleId="3199">
    <w:name w:val="样式 3165 10 磅"/>
    <w:pPr>
      <w:widowControl w:val="0"/>
      <w:jc w:val="both"/>
    </w:pPr>
    <w:rPr>
      <w:rFonts w:ascii="Calibri" w:eastAsia="宋体" w:cs="Arial" w:hAnsi="Calibri"/>
      <w:kern w:val="2"/>
      <w:sz w:val="21"/>
      <w:szCs w:val="22"/>
      <w:lang w:val="en-US" w:eastAsia="zh-CN" w:bidi="ar-SA"/>
    </w:rPr>
  </w:style>
  <w:style w:type="paragraph" w:customStyle="1" w:styleId="3200">
    <w:name w:val="样式 3166 10 磅"/>
    <w:pPr>
      <w:widowControl w:val="0"/>
      <w:jc w:val="both"/>
    </w:pPr>
    <w:rPr>
      <w:rFonts w:ascii="Calibri" w:eastAsia="宋体" w:cs="Arial" w:hAnsi="Calibri"/>
      <w:kern w:val="2"/>
      <w:sz w:val="21"/>
      <w:szCs w:val="22"/>
      <w:lang w:val="en-US" w:eastAsia="zh-CN" w:bidi="ar-SA"/>
    </w:rPr>
  </w:style>
  <w:style w:type="paragraph" w:customStyle="1" w:styleId="3201">
    <w:name w:val="样式 3167 10 磅"/>
    <w:pPr>
      <w:widowControl w:val="0"/>
      <w:jc w:val="both"/>
    </w:pPr>
    <w:rPr>
      <w:rFonts w:ascii="Calibri" w:eastAsia="宋体" w:cs="Arial" w:hAnsi="Calibri"/>
      <w:kern w:val="2"/>
      <w:sz w:val="21"/>
      <w:szCs w:val="22"/>
      <w:lang w:val="en-US" w:eastAsia="zh-CN" w:bidi="ar-SA"/>
    </w:rPr>
  </w:style>
  <w:style w:type="paragraph" w:customStyle="1" w:styleId="3202">
    <w:name w:val="样式 3168 10 磅"/>
    <w:pPr>
      <w:widowControl w:val="0"/>
      <w:jc w:val="both"/>
    </w:pPr>
    <w:rPr>
      <w:rFonts w:ascii="Calibri" w:eastAsia="宋体" w:cs="Arial" w:hAnsi="Calibri"/>
      <w:kern w:val="2"/>
      <w:sz w:val="21"/>
      <w:szCs w:val="22"/>
      <w:lang w:val="en-US" w:eastAsia="zh-CN" w:bidi="ar-SA"/>
    </w:rPr>
  </w:style>
  <w:style w:type="paragraph" w:customStyle="1" w:styleId="3203">
    <w:name w:val="样式 3169 10 磅"/>
    <w:pPr>
      <w:widowControl w:val="0"/>
      <w:jc w:val="both"/>
    </w:pPr>
    <w:rPr>
      <w:rFonts w:ascii="Calibri" w:eastAsia="宋体" w:cs="Arial" w:hAnsi="Calibri"/>
      <w:kern w:val="2"/>
      <w:sz w:val="21"/>
      <w:szCs w:val="22"/>
      <w:lang w:val="en-US" w:eastAsia="zh-CN" w:bidi="ar-SA"/>
    </w:rPr>
  </w:style>
  <w:style w:type="paragraph" w:customStyle="1" w:styleId="3204">
    <w:name w:val="样式 3170 10 磅"/>
    <w:pPr>
      <w:widowControl w:val="0"/>
      <w:jc w:val="both"/>
    </w:pPr>
    <w:rPr>
      <w:rFonts w:ascii="Calibri" w:eastAsia="宋体" w:cs="Arial" w:hAnsi="Calibri"/>
      <w:kern w:val="2"/>
      <w:sz w:val="21"/>
      <w:szCs w:val="22"/>
      <w:lang w:val="en-US" w:eastAsia="zh-CN" w:bidi="ar-SA"/>
    </w:rPr>
  </w:style>
  <w:style w:type="paragraph" w:customStyle="1" w:styleId="3205">
    <w:name w:val="样式 3171 10 磅"/>
    <w:pPr>
      <w:widowControl w:val="0"/>
      <w:jc w:val="both"/>
    </w:pPr>
    <w:rPr>
      <w:rFonts w:ascii="Calibri" w:eastAsia="宋体" w:cs="Arial" w:hAnsi="Calibri"/>
      <w:kern w:val="2"/>
      <w:sz w:val="21"/>
      <w:szCs w:val="22"/>
      <w:lang w:val="en-US" w:eastAsia="zh-CN" w:bidi="ar-SA"/>
    </w:rPr>
  </w:style>
  <w:style w:type="paragraph" w:customStyle="1" w:styleId="3206">
    <w:name w:val="样式 3172 10 磅"/>
    <w:pPr>
      <w:widowControl w:val="0"/>
      <w:jc w:val="both"/>
    </w:pPr>
    <w:rPr>
      <w:rFonts w:ascii="Calibri" w:eastAsia="宋体" w:cs="Arial" w:hAnsi="Calibri"/>
      <w:kern w:val="2"/>
      <w:sz w:val="21"/>
      <w:szCs w:val="22"/>
      <w:lang w:val="en-US" w:eastAsia="zh-CN" w:bidi="ar-SA"/>
    </w:rPr>
  </w:style>
  <w:style w:type="paragraph" w:customStyle="1" w:styleId="3207">
    <w:name w:val="样式 3173 10 磅"/>
    <w:pPr>
      <w:widowControl w:val="0"/>
      <w:jc w:val="both"/>
    </w:pPr>
    <w:rPr>
      <w:rFonts w:ascii="Calibri" w:eastAsia="宋体" w:cs="Arial" w:hAnsi="Calibri"/>
      <w:kern w:val="2"/>
      <w:sz w:val="21"/>
      <w:szCs w:val="22"/>
      <w:lang w:val="en-US" w:eastAsia="zh-CN" w:bidi="ar-SA"/>
    </w:rPr>
  </w:style>
  <w:style w:type="paragraph" w:customStyle="1" w:styleId="3208">
    <w:name w:val="样式 3174 10 磅"/>
    <w:pPr>
      <w:widowControl w:val="0"/>
      <w:jc w:val="both"/>
    </w:pPr>
    <w:rPr>
      <w:rFonts w:ascii="Calibri" w:eastAsia="宋体" w:cs="Arial" w:hAnsi="Calibri"/>
      <w:kern w:val="2"/>
      <w:sz w:val="21"/>
      <w:szCs w:val="22"/>
      <w:lang w:val="en-US" w:eastAsia="zh-CN" w:bidi="ar-SA"/>
    </w:rPr>
  </w:style>
  <w:style w:type="paragraph" w:customStyle="1" w:styleId="3209">
    <w:name w:val="样式 3175 10 磅"/>
    <w:pPr>
      <w:widowControl w:val="0"/>
      <w:jc w:val="both"/>
    </w:pPr>
    <w:rPr>
      <w:rFonts w:ascii="Calibri" w:eastAsia="宋体" w:cs="Arial" w:hAnsi="Calibri"/>
      <w:kern w:val="2"/>
      <w:sz w:val="21"/>
      <w:szCs w:val="22"/>
      <w:lang w:val="en-US" w:eastAsia="zh-CN" w:bidi="ar-SA"/>
    </w:rPr>
  </w:style>
  <w:style w:type="paragraph" w:customStyle="1" w:styleId="3210">
    <w:name w:val="样式 3176 10 磅"/>
    <w:pPr>
      <w:widowControl w:val="0"/>
      <w:jc w:val="both"/>
    </w:pPr>
    <w:rPr>
      <w:rFonts w:ascii="Calibri" w:eastAsia="宋体" w:cs="Arial" w:hAnsi="Calibri"/>
      <w:kern w:val="2"/>
      <w:sz w:val="21"/>
      <w:szCs w:val="22"/>
      <w:lang w:val="en-US" w:eastAsia="zh-CN" w:bidi="ar-SA"/>
    </w:rPr>
  </w:style>
  <w:style w:type="paragraph" w:customStyle="1" w:styleId="3211">
    <w:name w:val="样式 3177 10 磅"/>
    <w:pPr>
      <w:widowControl w:val="0"/>
      <w:jc w:val="both"/>
    </w:pPr>
    <w:rPr>
      <w:rFonts w:ascii="Calibri" w:eastAsia="宋体" w:cs="Arial" w:hAnsi="Calibri"/>
      <w:kern w:val="2"/>
      <w:sz w:val="21"/>
      <w:szCs w:val="22"/>
      <w:lang w:val="en-US" w:eastAsia="zh-CN" w:bidi="ar-SA"/>
    </w:rPr>
  </w:style>
  <w:style w:type="paragraph" w:customStyle="1" w:styleId="3212">
    <w:name w:val="样式 3178 10 磅"/>
    <w:pPr>
      <w:widowControl w:val="0"/>
      <w:jc w:val="both"/>
    </w:pPr>
    <w:rPr>
      <w:rFonts w:ascii="Calibri" w:eastAsia="宋体" w:cs="Arial" w:hAnsi="Calibri"/>
      <w:kern w:val="2"/>
      <w:sz w:val="21"/>
      <w:szCs w:val="22"/>
      <w:lang w:val="en-US" w:eastAsia="zh-CN" w:bidi="ar-SA"/>
    </w:rPr>
  </w:style>
  <w:style w:type="paragraph" w:customStyle="1" w:styleId="3213">
    <w:name w:val="样式 3179 10 磅"/>
    <w:pPr>
      <w:widowControl w:val="0"/>
      <w:jc w:val="both"/>
    </w:pPr>
    <w:rPr>
      <w:rFonts w:ascii="Calibri" w:eastAsia="宋体" w:cs="Arial" w:hAnsi="Calibri"/>
      <w:kern w:val="2"/>
      <w:sz w:val="21"/>
      <w:szCs w:val="22"/>
      <w:lang w:val="en-US" w:eastAsia="zh-CN" w:bidi="ar-SA"/>
    </w:rPr>
  </w:style>
  <w:style w:type="paragraph" w:customStyle="1" w:styleId="3214">
    <w:name w:val="样式 3180 10 磅"/>
    <w:pPr>
      <w:widowControl w:val="0"/>
      <w:jc w:val="both"/>
    </w:pPr>
    <w:rPr>
      <w:rFonts w:ascii="Calibri" w:eastAsia="宋体" w:cs="Arial" w:hAnsi="Calibri"/>
      <w:kern w:val="2"/>
      <w:sz w:val="21"/>
      <w:szCs w:val="22"/>
      <w:lang w:val="en-US" w:eastAsia="zh-CN" w:bidi="ar-SA"/>
    </w:rPr>
  </w:style>
  <w:style w:type="paragraph" w:customStyle="1" w:styleId="3215">
    <w:name w:val="样式 3181 10 磅"/>
    <w:pPr>
      <w:widowControl w:val="0"/>
      <w:jc w:val="both"/>
    </w:pPr>
    <w:rPr>
      <w:rFonts w:ascii="Calibri" w:eastAsia="宋体" w:cs="Arial" w:hAnsi="Calibri"/>
      <w:kern w:val="2"/>
      <w:sz w:val="21"/>
      <w:szCs w:val="22"/>
      <w:lang w:val="en-US" w:eastAsia="zh-CN" w:bidi="ar-SA"/>
    </w:rPr>
  </w:style>
  <w:style w:type="paragraph" w:customStyle="1" w:styleId="3216">
    <w:name w:val="样式 3182 10 磅"/>
    <w:pPr>
      <w:widowControl w:val="0"/>
      <w:jc w:val="both"/>
    </w:pPr>
    <w:rPr>
      <w:rFonts w:ascii="Calibri" w:eastAsia="宋体" w:cs="Arial" w:hAnsi="Calibri"/>
      <w:kern w:val="2"/>
      <w:sz w:val="21"/>
      <w:szCs w:val="22"/>
      <w:lang w:val="en-US" w:eastAsia="zh-CN" w:bidi="ar-SA"/>
    </w:rPr>
  </w:style>
  <w:style w:type="paragraph" w:customStyle="1" w:styleId="3217">
    <w:name w:val="样式 3183 10 磅"/>
    <w:pPr>
      <w:widowControl w:val="0"/>
      <w:jc w:val="both"/>
    </w:pPr>
    <w:rPr>
      <w:rFonts w:ascii="Calibri" w:eastAsia="宋体" w:cs="Arial" w:hAnsi="Calibri"/>
      <w:kern w:val="2"/>
      <w:sz w:val="21"/>
      <w:szCs w:val="22"/>
      <w:lang w:val="en-US" w:eastAsia="zh-CN" w:bidi="ar-SA"/>
    </w:rPr>
  </w:style>
  <w:style w:type="paragraph" w:customStyle="1" w:styleId="3218">
    <w:name w:val="样式 3184 10 磅"/>
    <w:pPr>
      <w:widowControl w:val="0"/>
      <w:jc w:val="both"/>
    </w:pPr>
    <w:rPr>
      <w:rFonts w:ascii="Calibri" w:eastAsia="宋体" w:cs="Arial" w:hAnsi="Calibri"/>
      <w:kern w:val="2"/>
      <w:sz w:val="21"/>
      <w:szCs w:val="22"/>
      <w:lang w:val="en-US" w:eastAsia="zh-CN" w:bidi="ar-SA"/>
    </w:rPr>
  </w:style>
  <w:style w:type="paragraph" w:customStyle="1" w:styleId="3219">
    <w:name w:val="样式 3185 10 磅"/>
    <w:pPr>
      <w:widowControl w:val="0"/>
      <w:jc w:val="both"/>
    </w:pPr>
    <w:rPr>
      <w:rFonts w:ascii="Calibri" w:eastAsia="宋体" w:cs="Arial" w:hAnsi="Calibri"/>
      <w:kern w:val="2"/>
      <w:sz w:val="21"/>
      <w:szCs w:val="22"/>
      <w:lang w:val="en-US" w:eastAsia="zh-CN" w:bidi="ar-SA"/>
    </w:rPr>
  </w:style>
  <w:style w:type="paragraph" w:customStyle="1" w:styleId="3220">
    <w:name w:val="样式 3186 10 磅"/>
    <w:pPr>
      <w:widowControl w:val="0"/>
      <w:jc w:val="both"/>
    </w:pPr>
    <w:rPr>
      <w:rFonts w:ascii="Calibri" w:eastAsia="宋体" w:cs="Arial" w:hAnsi="Calibri"/>
      <w:kern w:val="2"/>
      <w:sz w:val="21"/>
      <w:szCs w:val="22"/>
      <w:lang w:val="en-US" w:eastAsia="zh-CN" w:bidi="ar-SA"/>
    </w:rPr>
  </w:style>
  <w:style w:type="paragraph" w:customStyle="1" w:styleId="3221">
    <w:name w:val="样式 3187 10 磅"/>
    <w:pPr>
      <w:widowControl w:val="0"/>
      <w:jc w:val="both"/>
    </w:pPr>
    <w:rPr>
      <w:rFonts w:ascii="Calibri" w:eastAsia="宋体" w:cs="Arial" w:hAnsi="Calibri"/>
      <w:kern w:val="2"/>
      <w:sz w:val="21"/>
      <w:szCs w:val="22"/>
      <w:lang w:val="en-US" w:eastAsia="zh-CN" w:bidi="ar-SA"/>
    </w:rPr>
  </w:style>
  <w:style w:type="paragraph" w:customStyle="1" w:styleId="3222">
    <w:name w:val="样式 3188 10 磅"/>
    <w:pPr>
      <w:widowControl w:val="0"/>
      <w:jc w:val="both"/>
    </w:pPr>
    <w:rPr>
      <w:rFonts w:ascii="Calibri" w:eastAsia="宋体" w:cs="Arial" w:hAnsi="Calibri"/>
      <w:kern w:val="2"/>
      <w:sz w:val="21"/>
      <w:szCs w:val="22"/>
      <w:lang w:val="en-US" w:eastAsia="zh-CN" w:bidi="ar-SA"/>
    </w:rPr>
  </w:style>
  <w:style w:type="paragraph" w:customStyle="1" w:styleId="3223">
    <w:name w:val="样式 3189 10 磅"/>
    <w:pPr>
      <w:widowControl w:val="0"/>
      <w:jc w:val="both"/>
    </w:pPr>
    <w:rPr>
      <w:rFonts w:ascii="Calibri" w:eastAsia="宋体" w:cs="Arial" w:hAnsi="Calibri"/>
      <w:kern w:val="2"/>
      <w:sz w:val="21"/>
      <w:szCs w:val="22"/>
      <w:lang w:val="en-US" w:eastAsia="zh-CN" w:bidi="ar-SA"/>
    </w:rPr>
  </w:style>
  <w:style w:type="paragraph" w:customStyle="1" w:styleId="3224">
    <w:name w:val="样式 3190 10 磅"/>
    <w:pPr>
      <w:widowControl w:val="0"/>
      <w:jc w:val="both"/>
    </w:pPr>
    <w:rPr>
      <w:rFonts w:ascii="Calibri" w:eastAsia="宋体" w:cs="Arial" w:hAnsi="Calibri"/>
      <w:kern w:val="2"/>
      <w:sz w:val="21"/>
      <w:szCs w:val="22"/>
      <w:lang w:val="en-US" w:eastAsia="zh-CN" w:bidi="ar-SA"/>
    </w:rPr>
  </w:style>
  <w:style w:type="paragraph" w:customStyle="1" w:styleId="3225">
    <w:name w:val="样式 3191 10 磅"/>
    <w:pPr>
      <w:widowControl w:val="0"/>
      <w:jc w:val="both"/>
    </w:pPr>
    <w:rPr>
      <w:rFonts w:ascii="Calibri" w:eastAsia="宋体" w:cs="Arial" w:hAnsi="Calibri"/>
      <w:kern w:val="2"/>
      <w:sz w:val="21"/>
      <w:szCs w:val="22"/>
      <w:lang w:val="en-US" w:eastAsia="zh-CN" w:bidi="ar-SA"/>
    </w:rPr>
  </w:style>
  <w:style w:type="paragraph" w:customStyle="1" w:styleId="3226">
    <w:name w:val="样式 3192 10 磅"/>
    <w:pPr>
      <w:widowControl w:val="0"/>
      <w:jc w:val="both"/>
    </w:pPr>
    <w:rPr>
      <w:rFonts w:ascii="Calibri" w:eastAsia="宋体" w:cs="Arial" w:hAnsi="Calibri"/>
      <w:kern w:val="2"/>
      <w:sz w:val="21"/>
      <w:szCs w:val="22"/>
      <w:lang w:val="en-US" w:eastAsia="zh-CN" w:bidi="ar-SA"/>
    </w:rPr>
  </w:style>
  <w:style w:type="paragraph" w:customStyle="1" w:styleId="3227">
    <w:name w:val="样式 3193 10 磅"/>
    <w:pPr>
      <w:widowControl w:val="0"/>
      <w:jc w:val="both"/>
    </w:pPr>
    <w:rPr>
      <w:rFonts w:ascii="Calibri" w:eastAsia="宋体" w:cs="Arial" w:hAnsi="Calibri"/>
      <w:kern w:val="2"/>
      <w:sz w:val="21"/>
      <w:szCs w:val="22"/>
      <w:lang w:val="en-US" w:eastAsia="zh-CN" w:bidi="ar-SA"/>
    </w:rPr>
  </w:style>
  <w:style w:type="paragraph" w:customStyle="1" w:styleId="3228">
    <w:name w:val="样式 3194 10 磅"/>
    <w:pPr>
      <w:widowControl w:val="0"/>
      <w:jc w:val="both"/>
    </w:pPr>
    <w:rPr>
      <w:rFonts w:ascii="Calibri" w:eastAsia="宋体" w:cs="Arial" w:hAnsi="Calibri"/>
      <w:kern w:val="2"/>
      <w:sz w:val="21"/>
      <w:szCs w:val="22"/>
      <w:lang w:val="en-US" w:eastAsia="zh-CN" w:bidi="ar-SA"/>
    </w:rPr>
  </w:style>
  <w:style w:type="paragraph" w:customStyle="1" w:styleId="3229">
    <w:name w:val="样式 3195 10 磅"/>
    <w:pPr>
      <w:widowControl w:val="0"/>
      <w:jc w:val="both"/>
    </w:pPr>
    <w:rPr>
      <w:rFonts w:ascii="Calibri" w:eastAsia="宋体" w:cs="Arial" w:hAnsi="Calibri"/>
      <w:kern w:val="2"/>
      <w:sz w:val="21"/>
      <w:szCs w:val="22"/>
      <w:lang w:val="en-US" w:eastAsia="zh-CN" w:bidi="ar-SA"/>
    </w:rPr>
  </w:style>
  <w:style w:type="paragraph" w:customStyle="1" w:styleId="3230">
    <w:name w:val="样式 3196 10 磅"/>
    <w:pPr>
      <w:widowControl w:val="0"/>
      <w:jc w:val="both"/>
    </w:pPr>
    <w:rPr>
      <w:rFonts w:ascii="Calibri" w:eastAsia="宋体" w:cs="Arial" w:hAnsi="Calibri"/>
      <w:kern w:val="2"/>
      <w:sz w:val="21"/>
      <w:szCs w:val="22"/>
      <w:lang w:val="en-US" w:eastAsia="zh-CN" w:bidi="ar-SA"/>
    </w:rPr>
  </w:style>
  <w:style w:type="paragraph" w:customStyle="1" w:styleId="3231">
    <w:name w:val="样式 3197 10 磅"/>
    <w:pPr>
      <w:widowControl w:val="0"/>
      <w:jc w:val="both"/>
    </w:pPr>
    <w:rPr>
      <w:rFonts w:ascii="Calibri" w:eastAsia="宋体" w:cs="Arial" w:hAnsi="Calibri"/>
      <w:kern w:val="2"/>
      <w:sz w:val="21"/>
      <w:szCs w:val="22"/>
      <w:lang w:val="en-US" w:eastAsia="zh-CN" w:bidi="ar-SA"/>
    </w:rPr>
  </w:style>
  <w:style w:type="paragraph" w:customStyle="1" w:styleId="3232">
    <w:name w:val="样式 3198 10 磅"/>
    <w:pPr>
      <w:widowControl w:val="0"/>
      <w:jc w:val="both"/>
    </w:pPr>
    <w:rPr>
      <w:rFonts w:ascii="Calibri" w:eastAsia="宋体" w:cs="Arial" w:hAnsi="Calibri"/>
      <w:kern w:val="2"/>
      <w:sz w:val="21"/>
      <w:szCs w:val="22"/>
      <w:lang w:val="en-US" w:eastAsia="zh-CN" w:bidi="ar-SA"/>
    </w:rPr>
  </w:style>
  <w:style w:type="paragraph" w:customStyle="1" w:styleId="3233">
    <w:name w:val="样式 3199 10 磅"/>
    <w:pPr>
      <w:widowControl w:val="0"/>
      <w:jc w:val="both"/>
    </w:pPr>
    <w:rPr>
      <w:rFonts w:ascii="Calibri" w:eastAsia="宋体" w:cs="Arial" w:hAnsi="Calibri"/>
      <w:kern w:val="2"/>
      <w:sz w:val="21"/>
      <w:szCs w:val="22"/>
      <w:lang w:val="en-US" w:eastAsia="zh-CN" w:bidi="ar-SA"/>
    </w:rPr>
  </w:style>
  <w:style w:type="paragraph" w:customStyle="1" w:styleId="3234">
    <w:name w:val="样式 3200 10 磅"/>
    <w:pPr>
      <w:widowControl w:val="0"/>
      <w:jc w:val="both"/>
    </w:pPr>
    <w:rPr>
      <w:rFonts w:ascii="Calibri" w:eastAsia="宋体" w:cs="Arial" w:hAnsi="Calibri"/>
      <w:kern w:val="2"/>
      <w:sz w:val="21"/>
      <w:szCs w:val="22"/>
      <w:lang w:val="en-US" w:eastAsia="zh-CN" w:bidi="ar-SA"/>
    </w:rPr>
  </w:style>
  <w:style w:type="paragraph" w:customStyle="1" w:styleId="3235">
    <w:name w:val="样式 3201 10 磅"/>
    <w:pPr>
      <w:widowControl w:val="0"/>
      <w:jc w:val="both"/>
    </w:pPr>
    <w:rPr>
      <w:rFonts w:ascii="Calibri" w:eastAsia="宋体" w:cs="Arial" w:hAnsi="Calibri"/>
      <w:kern w:val="2"/>
      <w:sz w:val="21"/>
      <w:szCs w:val="22"/>
      <w:lang w:val="en-US" w:eastAsia="zh-CN" w:bidi="ar-SA"/>
    </w:rPr>
  </w:style>
  <w:style w:type="paragraph" w:customStyle="1" w:styleId="3236">
    <w:name w:val="样式 3202 10 磅"/>
    <w:pPr>
      <w:widowControl w:val="0"/>
      <w:jc w:val="both"/>
    </w:pPr>
    <w:rPr>
      <w:rFonts w:ascii="Calibri" w:eastAsia="宋体" w:cs="Arial" w:hAnsi="Calibri"/>
      <w:kern w:val="2"/>
      <w:sz w:val="21"/>
      <w:szCs w:val="22"/>
      <w:lang w:val="en-US" w:eastAsia="zh-CN" w:bidi="ar-SA"/>
    </w:rPr>
  </w:style>
  <w:style w:type="paragraph" w:customStyle="1" w:styleId="3237">
    <w:name w:val="样式 3203 10 磅"/>
    <w:pPr>
      <w:widowControl w:val="0"/>
      <w:jc w:val="both"/>
    </w:pPr>
    <w:rPr>
      <w:rFonts w:ascii="Calibri" w:eastAsia="宋体" w:cs="Arial" w:hAnsi="Calibri"/>
      <w:kern w:val="2"/>
      <w:sz w:val="21"/>
      <w:szCs w:val="22"/>
      <w:lang w:val="en-US" w:eastAsia="zh-CN" w:bidi="ar-SA"/>
    </w:rPr>
  </w:style>
  <w:style w:type="paragraph" w:customStyle="1" w:styleId="3238">
    <w:name w:val="样式 3204 10 磅"/>
    <w:pPr>
      <w:widowControl w:val="0"/>
      <w:jc w:val="both"/>
    </w:pPr>
    <w:rPr>
      <w:rFonts w:ascii="Calibri" w:eastAsia="宋体" w:cs="Arial" w:hAnsi="Calibri"/>
      <w:kern w:val="2"/>
      <w:sz w:val="21"/>
      <w:szCs w:val="22"/>
      <w:lang w:val="en-US" w:eastAsia="zh-CN" w:bidi="ar-SA"/>
    </w:rPr>
  </w:style>
  <w:style w:type="paragraph" w:customStyle="1" w:styleId="3239">
    <w:name w:val="样式 3205 10 磅"/>
    <w:pPr>
      <w:widowControl w:val="0"/>
      <w:jc w:val="both"/>
    </w:pPr>
    <w:rPr>
      <w:rFonts w:ascii="Calibri" w:eastAsia="宋体" w:cs="Arial" w:hAnsi="Calibri"/>
      <w:kern w:val="2"/>
      <w:sz w:val="21"/>
      <w:szCs w:val="22"/>
      <w:lang w:val="en-US" w:eastAsia="zh-CN" w:bidi="ar-SA"/>
    </w:rPr>
  </w:style>
  <w:style w:type="paragraph" w:customStyle="1" w:styleId="3240">
    <w:name w:val="样式 3206 10 磅"/>
    <w:pPr>
      <w:widowControl w:val="0"/>
      <w:jc w:val="both"/>
    </w:pPr>
    <w:rPr>
      <w:rFonts w:ascii="Calibri" w:eastAsia="宋体" w:cs="Arial" w:hAnsi="Calibri"/>
      <w:kern w:val="2"/>
      <w:sz w:val="21"/>
      <w:szCs w:val="22"/>
      <w:lang w:val="en-US" w:eastAsia="zh-CN" w:bidi="ar-SA"/>
    </w:rPr>
  </w:style>
  <w:style w:type="paragraph" w:customStyle="1" w:styleId="3241">
    <w:name w:val="样式 3207 10 磅"/>
    <w:pPr>
      <w:widowControl w:val="0"/>
      <w:jc w:val="both"/>
    </w:pPr>
    <w:rPr>
      <w:rFonts w:ascii="Calibri" w:eastAsia="宋体" w:cs="Arial" w:hAnsi="Calibri"/>
      <w:kern w:val="2"/>
      <w:sz w:val="21"/>
      <w:szCs w:val="22"/>
      <w:lang w:val="en-US" w:eastAsia="zh-CN" w:bidi="ar-SA"/>
    </w:rPr>
  </w:style>
  <w:style w:type="paragraph" w:customStyle="1" w:styleId="3242">
    <w:name w:val="样式 3208 10 磅"/>
    <w:pPr>
      <w:widowControl w:val="0"/>
      <w:jc w:val="both"/>
    </w:pPr>
    <w:rPr>
      <w:rFonts w:ascii="Calibri" w:eastAsia="宋体" w:cs="Arial" w:hAnsi="Calibri"/>
      <w:kern w:val="2"/>
      <w:sz w:val="21"/>
      <w:szCs w:val="22"/>
      <w:lang w:val="en-US" w:eastAsia="zh-CN" w:bidi="ar-SA"/>
    </w:rPr>
  </w:style>
  <w:style w:type="paragraph" w:customStyle="1" w:styleId="3243">
    <w:name w:val="样式 3209 10 磅"/>
    <w:pPr>
      <w:widowControl w:val="0"/>
      <w:jc w:val="both"/>
    </w:pPr>
    <w:rPr>
      <w:rFonts w:ascii="Calibri" w:eastAsia="宋体" w:cs="Arial" w:hAnsi="Calibri"/>
      <w:kern w:val="2"/>
      <w:sz w:val="21"/>
      <w:szCs w:val="22"/>
      <w:lang w:val="en-US" w:eastAsia="zh-CN" w:bidi="ar-SA"/>
    </w:rPr>
  </w:style>
  <w:style w:type="paragraph" w:customStyle="1" w:styleId="3244">
    <w:name w:val="样式 3210 10 磅"/>
    <w:pPr>
      <w:widowControl w:val="0"/>
      <w:jc w:val="both"/>
    </w:pPr>
    <w:rPr>
      <w:rFonts w:ascii="Calibri" w:eastAsia="宋体" w:cs="Arial" w:hAnsi="Calibri"/>
      <w:kern w:val="2"/>
      <w:sz w:val="21"/>
      <w:szCs w:val="22"/>
      <w:lang w:val="en-US" w:eastAsia="zh-CN" w:bidi="ar-SA"/>
    </w:rPr>
  </w:style>
  <w:style w:type="paragraph" w:customStyle="1" w:styleId="3245">
    <w:name w:val="样式 3211 10 磅"/>
    <w:pPr>
      <w:widowControl w:val="0"/>
      <w:jc w:val="both"/>
    </w:pPr>
    <w:rPr>
      <w:rFonts w:ascii="Calibri" w:eastAsia="宋体" w:cs="Arial" w:hAnsi="Calibri"/>
      <w:kern w:val="2"/>
      <w:sz w:val="21"/>
      <w:szCs w:val="22"/>
      <w:lang w:val="en-US" w:eastAsia="zh-CN" w:bidi="ar-SA"/>
    </w:rPr>
  </w:style>
  <w:style w:type="paragraph" w:customStyle="1" w:styleId="3246">
    <w:name w:val="样式 3212 10 磅"/>
    <w:pPr>
      <w:widowControl w:val="0"/>
      <w:jc w:val="both"/>
    </w:pPr>
    <w:rPr>
      <w:rFonts w:ascii="Calibri" w:eastAsia="宋体" w:cs="Arial" w:hAnsi="Calibri"/>
      <w:kern w:val="2"/>
      <w:sz w:val="21"/>
      <w:szCs w:val="22"/>
      <w:lang w:val="en-US" w:eastAsia="zh-CN" w:bidi="ar-SA"/>
    </w:rPr>
  </w:style>
  <w:style w:type="paragraph" w:customStyle="1" w:styleId="3247">
    <w:name w:val="样式 3213 10 磅"/>
    <w:pPr>
      <w:widowControl w:val="0"/>
      <w:jc w:val="both"/>
    </w:pPr>
    <w:rPr>
      <w:rFonts w:ascii="Calibri" w:eastAsia="宋体" w:cs="Arial" w:hAnsi="Calibri"/>
      <w:kern w:val="2"/>
      <w:sz w:val="21"/>
      <w:szCs w:val="22"/>
      <w:lang w:val="en-US" w:eastAsia="zh-CN" w:bidi="ar-SA"/>
    </w:rPr>
  </w:style>
  <w:style w:type="paragraph" w:customStyle="1" w:styleId="3248">
    <w:name w:val="样式 3214 10 磅"/>
    <w:pPr>
      <w:widowControl w:val="0"/>
      <w:jc w:val="both"/>
    </w:pPr>
    <w:rPr>
      <w:rFonts w:ascii="Calibri" w:eastAsia="宋体" w:cs="Arial" w:hAnsi="Calibri"/>
      <w:kern w:val="2"/>
      <w:sz w:val="21"/>
      <w:szCs w:val="22"/>
      <w:lang w:val="en-US" w:eastAsia="zh-CN" w:bidi="ar-SA"/>
    </w:rPr>
  </w:style>
  <w:style w:type="paragraph" w:customStyle="1" w:styleId="3249">
    <w:name w:val="样式 3215 10 磅"/>
    <w:pPr>
      <w:widowControl w:val="0"/>
      <w:jc w:val="both"/>
    </w:pPr>
    <w:rPr>
      <w:rFonts w:ascii="Calibri" w:eastAsia="宋体" w:cs="Arial" w:hAnsi="Calibri"/>
      <w:kern w:val="2"/>
      <w:sz w:val="21"/>
      <w:szCs w:val="22"/>
      <w:lang w:val="en-US" w:eastAsia="zh-CN" w:bidi="ar-SA"/>
    </w:rPr>
  </w:style>
  <w:style w:type="paragraph" w:customStyle="1" w:styleId="3250">
    <w:name w:val="样式 3216 10 磅"/>
    <w:pPr>
      <w:widowControl w:val="0"/>
      <w:jc w:val="both"/>
    </w:pPr>
    <w:rPr>
      <w:rFonts w:ascii="Calibri" w:eastAsia="宋体" w:cs="Arial" w:hAnsi="Calibri"/>
      <w:kern w:val="2"/>
      <w:sz w:val="21"/>
      <w:szCs w:val="22"/>
      <w:lang w:val="en-US" w:eastAsia="zh-CN" w:bidi="ar-SA"/>
    </w:rPr>
  </w:style>
  <w:style w:type="paragraph" w:customStyle="1" w:styleId="3251">
    <w:name w:val="样式 3217 10 磅"/>
    <w:pPr>
      <w:widowControl w:val="0"/>
      <w:jc w:val="both"/>
    </w:pPr>
    <w:rPr>
      <w:rFonts w:ascii="Calibri" w:eastAsia="宋体" w:cs="Arial" w:hAnsi="Calibri"/>
      <w:kern w:val="2"/>
      <w:sz w:val="21"/>
      <w:szCs w:val="22"/>
      <w:lang w:val="en-US" w:eastAsia="zh-CN" w:bidi="ar-SA"/>
    </w:rPr>
  </w:style>
  <w:style w:type="paragraph" w:customStyle="1" w:styleId="3252">
    <w:name w:val="样式 3218 10 磅"/>
    <w:pPr>
      <w:widowControl w:val="0"/>
      <w:jc w:val="both"/>
    </w:pPr>
    <w:rPr>
      <w:rFonts w:ascii="Calibri" w:eastAsia="宋体" w:cs="Arial" w:hAnsi="Calibri"/>
      <w:kern w:val="2"/>
      <w:sz w:val="21"/>
      <w:szCs w:val="22"/>
      <w:lang w:val="en-US" w:eastAsia="zh-CN" w:bidi="ar-SA"/>
    </w:rPr>
  </w:style>
  <w:style w:type="paragraph" w:customStyle="1" w:styleId="3253">
    <w:name w:val="样式 3219 10 磅"/>
    <w:pPr>
      <w:widowControl w:val="0"/>
      <w:jc w:val="both"/>
    </w:pPr>
    <w:rPr>
      <w:rFonts w:ascii="Calibri" w:eastAsia="宋体" w:cs="Arial" w:hAnsi="Calibri"/>
      <w:kern w:val="2"/>
      <w:sz w:val="21"/>
      <w:szCs w:val="22"/>
      <w:lang w:val="en-US" w:eastAsia="zh-CN" w:bidi="ar-SA"/>
    </w:rPr>
  </w:style>
  <w:style w:type="paragraph" w:customStyle="1" w:styleId="3254">
    <w:name w:val="样式 3220 10 磅"/>
    <w:pPr>
      <w:widowControl w:val="0"/>
      <w:jc w:val="both"/>
    </w:pPr>
    <w:rPr>
      <w:rFonts w:ascii="Calibri" w:eastAsia="宋体" w:cs="Arial" w:hAnsi="Calibri"/>
      <w:kern w:val="2"/>
      <w:sz w:val="21"/>
      <w:szCs w:val="22"/>
      <w:lang w:val="en-US" w:eastAsia="zh-CN" w:bidi="ar-SA"/>
    </w:rPr>
  </w:style>
  <w:style w:type="paragraph" w:customStyle="1" w:styleId="3255">
    <w:name w:val="样式 3221 10 磅"/>
    <w:pPr>
      <w:widowControl w:val="0"/>
      <w:jc w:val="both"/>
    </w:pPr>
    <w:rPr>
      <w:rFonts w:ascii="Calibri" w:eastAsia="宋体" w:cs="Arial" w:hAnsi="Calibri"/>
      <w:kern w:val="2"/>
      <w:sz w:val="21"/>
      <w:szCs w:val="22"/>
      <w:lang w:val="en-US" w:eastAsia="zh-CN" w:bidi="ar-SA"/>
    </w:rPr>
  </w:style>
  <w:style w:type="paragraph" w:customStyle="1" w:styleId="3256">
    <w:name w:val="样式 3222 10 磅"/>
    <w:pPr>
      <w:widowControl w:val="0"/>
      <w:jc w:val="both"/>
    </w:pPr>
    <w:rPr>
      <w:rFonts w:ascii="Calibri" w:eastAsia="宋体" w:cs="Arial" w:hAnsi="Calibri"/>
      <w:kern w:val="2"/>
      <w:sz w:val="21"/>
      <w:szCs w:val="22"/>
      <w:lang w:val="en-US" w:eastAsia="zh-CN" w:bidi="ar-SA"/>
    </w:rPr>
  </w:style>
  <w:style w:type="paragraph" w:customStyle="1" w:styleId="3257">
    <w:name w:val="样式 3223 10 磅"/>
    <w:pPr>
      <w:widowControl w:val="0"/>
      <w:jc w:val="both"/>
    </w:pPr>
    <w:rPr>
      <w:rFonts w:ascii="Calibri" w:eastAsia="宋体" w:cs="Arial" w:hAnsi="Calibri"/>
      <w:kern w:val="2"/>
      <w:sz w:val="21"/>
      <w:szCs w:val="22"/>
      <w:lang w:val="en-US" w:eastAsia="zh-CN" w:bidi="ar-SA"/>
    </w:rPr>
  </w:style>
  <w:style w:type="paragraph" w:customStyle="1" w:styleId="3258">
    <w:name w:val="样式 32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9">
    <w:name w:val="样式 32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0">
    <w:name w:val="样式 32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1">
    <w:name w:val="样式 32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2">
    <w:name w:val="样式 32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3">
    <w:name w:val="样式 32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4">
    <w:name w:val="样式 32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5">
    <w:name w:val="样式 32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6">
    <w:name w:val="样式 32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7">
    <w:name w:val="样式 32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8">
    <w:name w:val="样式 32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9">
    <w:name w:val="样式 32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0">
    <w:name w:val="样式 32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1">
    <w:name w:val="样式 32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2">
    <w:name w:val="样式 32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3">
    <w:name w:val="样式 32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4">
    <w:name w:val="样式 32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5">
    <w:name w:val="样式 32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6">
    <w:name w:val="样式 32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7">
    <w:name w:val="样式 32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8">
    <w:name w:val="样式 32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9">
    <w:name w:val="样式 32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0">
    <w:name w:val="样式 32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1">
    <w:name w:val="样式 32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2">
    <w:name w:val="样式 32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3">
    <w:name w:val="样式 32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4">
    <w:name w:val="样式 32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5">
    <w:name w:val="样式 32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6">
    <w:name w:val="样式 32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7">
    <w:name w:val="样式 32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8">
    <w:name w:val="样式 32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9">
    <w:name w:val="样式 32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0">
    <w:name w:val="样式 32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1">
    <w:name w:val="样式 32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2">
    <w:name w:val="样式 3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3">
    <w:name w:val="样式 32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4">
    <w:name w:val="样式 32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5">
    <w:name w:val="样式 3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6">
    <w:name w:val="样式 3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7">
    <w:name w:val="样式 3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8">
    <w:name w:val="样式 3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9">
    <w:name w:val="样式 3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0">
    <w:name w:val="样式 3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1">
    <w:name w:val="样式 3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2">
    <w:name w:val="样式 3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3">
    <w:name w:val="样式 3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4">
    <w:name w:val="样式 3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5">
    <w:name w:val="样式 3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6">
    <w:name w:val="样式 3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7">
    <w:name w:val="样式 3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8">
    <w:name w:val="样式 3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9">
    <w:name w:val="样式 3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0">
    <w:name w:val="样式 3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1">
    <w:name w:val="样式 3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2">
    <w:name w:val="样式 3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3">
    <w:name w:val="样式 3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4">
    <w:name w:val="样式 3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5">
    <w:name w:val="样式 3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6">
    <w:name w:val="样式 3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7">
    <w:name w:val="样式 3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8">
    <w:name w:val="样式 3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9">
    <w:name w:val="样式 3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0">
    <w:name w:val="样式 3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1">
    <w:name w:val="样式 3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2">
    <w:name w:val="样式 3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3">
    <w:name w:val="样式 3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4">
    <w:name w:val="样式 3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5">
    <w:name w:val="样式 3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6">
    <w:name w:val="样式 3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7">
    <w:name w:val="样式 3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8">
    <w:name w:val="样式 3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9">
    <w:name w:val="样式 3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0">
    <w:name w:val="样式 3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1">
    <w:name w:val="样式 3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2">
    <w:name w:val="样式 3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3">
    <w:name w:val="样式 3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4">
    <w:name w:val="样式 3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5">
    <w:name w:val="样式 3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6">
    <w:name w:val="样式 3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7">
    <w:name w:val="样式 3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8">
    <w:name w:val="样式 3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9">
    <w:name w:val="样式 3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0">
    <w:name w:val="样式 3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1">
    <w:name w:val="样式 3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2">
    <w:name w:val="样式 3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3">
    <w:name w:val="样式 3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4">
    <w:name w:val="样式 3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5">
    <w:name w:val="样式 3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6">
    <w:name w:val="样式 3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7">
    <w:name w:val="样式 3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8">
    <w:name w:val="样式 3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9">
    <w:name w:val="样式 3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0">
    <w:name w:val="样式 3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1">
    <w:name w:val="样式 3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2">
    <w:name w:val="样式 3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3">
    <w:name w:val="样式 3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4">
    <w:name w:val="样式 3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5">
    <w:name w:val="样式 3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6">
    <w:name w:val="样式 3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7">
    <w:name w:val="样式 3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8">
    <w:name w:val="样式 3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9">
    <w:name w:val="样式 3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0">
    <w:name w:val="样式 3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1">
    <w:name w:val="样式 3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2">
    <w:name w:val="样式 3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3">
    <w:name w:val="样式 3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4">
    <w:name w:val="样式 3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5">
    <w:name w:val="样式 3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6">
    <w:name w:val="样式 3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7">
    <w:name w:val="样式 3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8">
    <w:name w:val="样式 3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9">
    <w:name w:val="样式 3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0">
    <w:name w:val="样式 3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1">
    <w:name w:val="样式 3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2">
    <w:name w:val="样式 3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3">
    <w:name w:val="样式 3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4">
    <w:name w:val="样式 3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5">
    <w:name w:val="样式 3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6">
    <w:name w:val="样式 3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7">
    <w:name w:val="样式 3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8">
    <w:name w:val="样式 3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9">
    <w:name w:val="样式 3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0">
    <w:name w:val="样式 3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1">
    <w:name w:val="样式 3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2">
    <w:name w:val="样式 3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3">
    <w:name w:val="样式 3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4">
    <w:name w:val="样式 3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5">
    <w:name w:val="样式 3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6">
    <w:name w:val="样式 3352 10 磅"/>
    <w:pPr>
      <w:widowControl w:val="0"/>
      <w:jc w:val="both"/>
    </w:pPr>
    <w:rPr>
      <w:rFonts w:ascii="Times New Roman" w:eastAsia="宋体" w:cs="Times New Roman" w:hAnsi="Times New Roman"/>
      <w:kern w:val="2"/>
      <w:sz w:val="21"/>
      <w:szCs w:val="24"/>
      <w:lang w:val="en-US" w:eastAsia="zh-CN" w:bidi="ar-SA"/>
    </w:rPr>
  </w:style>
  <w:style w:type="paragraph" w:customStyle="1" w:styleId="3387">
    <w:name w:val="样式 3353 10 磅"/>
    <w:pPr>
      <w:widowControl w:val="0"/>
      <w:jc w:val="both"/>
    </w:pPr>
    <w:rPr>
      <w:rFonts w:ascii="Times New Roman" w:eastAsia="宋体" w:cs="Times New Roman" w:hAnsi="Times New Roman"/>
      <w:kern w:val="2"/>
      <w:sz w:val="21"/>
      <w:szCs w:val="24"/>
      <w:lang w:val="en-US" w:eastAsia="zh-CN" w:bidi="ar-SA"/>
    </w:rPr>
  </w:style>
  <w:style w:type="paragraph" w:customStyle="1" w:styleId="3388">
    <w:name w:val="样式 3354 10 磅"/>
    <w:pPr>
      <w:widowControl w:val="0"/>
      <w:jc w:val="both"/>
    </w:pPr>
    <w:rPr>
      <w:rFonts w:ascii="Times New Roman" w:eastAsia="宋体" w:cs="Times New Roman" w:hAnsi="Times New Roman"/>
      <w:kern w:val="2"/>
      <w:sz w:val="21"/>
      <w:szCs w:val="24"/>
      <w:lang w:val="en-US" w:eastAsia="zh-CN" w:bidi="ar-SA"/>
    </w:rPr>
  </w:style>
  <w:style w:type="paragraph" w:customStyle="1" w:styleId="3389">
    <w:name w:val="样式 3355 10 磅"/>
    <w:pPr>
      <w:widowControl w:val="0"/>
      <w:jc w:val="both"/>
    </w:pPr>
    <w:rPr>
      <w:rFonts w:ascii="Times New Roman" w:eastAsia="宋体" w:cs="Times New Roman" w:hAnsi="Times New Roman"/>
      <w:kern w:val="2"/>
      <w:sz w:val="21"/>
      <w:szCs w:val="24"/>
      <w:lang w:val="en-US" w:eastAsia="zh-CN" w:bidi="ar-SA"/>
    </w:rPr>
  </w:style>
  <w:style w:type="paragraph" w:customStyle="1" w:styleId="3390">
    <w:name w:val="样式 3356 10 磅"/>
    <w:pPr>
      <w:widowControl w:val="0"/>
      <w:jc w:val="both"/>
    </w:pPr>
    <w:rPr>
      <w:rFonts w:ascii="Times New Roman" w:eastAsia="宋体" w:cs="Times New Roman" w:hAnsi="Times New Roman"/>
      <w:kern w:val="2"/>
      <w:sz w:val="21"/>
      <w:szCs w:val="24"/>
      <w:lang w:val="en-US" w:eastAsia="zh-CN" w:bidi="ar-SA"/>
    </w:rPr>
  </w:style>
  <w:style w:type="paragraph" w:customStyle="1" w:styleId="3391">
    <w:name w:val="样式 3357 10 磅"/>
    <w:pPr>
      <w:widowControl w:val="0"/>
      <w:jc w:val="both"/>
    </w:pPr>
    <w:rPr>
      <w:rFonts w:ascii="Times New Roman" w:eastAsia="宋体" w:cs="Times New Roman" w:hAnsi="Times New Roman"/>
      <w:kern w:val="2"/>
      <w:sz w:val="21"/>
      <w:szCs w:val="24"/>
      <w:lang w:val="en-US" w:eastAsia="zh-CN" w:bidi="ar-SA"/>
    </w:rPr>
  </w:style>
  <w:style w:type="paragraph" w:customStyle="1" w:styleId="3392">
    <w:name w:val="样式 3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3">
    <w:name w:val="样式 3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4">
    <w:name w:val="样式 3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5">
    <w:name w:val="样式 3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6">
    <w:name w:val="样式 3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7">
    <w:name w:val="样式 3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8">
    <w:name w:val="样式 3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9">
    <w:name w:val="样式 3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0">
    <w:name w:val="样式 3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1">
    <w:name w:val="样式 3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2">
    <w:name w:val="样式 3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3">
    <w:name w:val="样式 3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4">
    <w:name w:val="样式 3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5">
    <w:name w:val="样式 3371 10 磅"/>
    <w:pPr>
      <w:widowControl w:val="0"/>
      <w:jc w:val="both"/>
    </w:pPr>
    <w:rPr>
      <w:rFonts w:ascii="Calibri" w:eastAsia="宋体" w:cs="Arial" w:hAnsi="Calibri"/>
      <w:kern w:val="2"/>
      <w:sz w:val="21"/>
      <w:szCs w:val="22"/>
      <w:lang w:val="en-US" w:eastAsia="zh-CN" w:bidi="ar-SA"/>
    </w:rPr>
  </w:style>
  <w:style w:type="paragraph" w:customStyle="1" w:styleId="3406">
    <w:name w:val="样式 3372 10 磅"/>
    <w:pPr>
      <w:widowControl w:val="0"/>
      <w:jc w:val="both"/>
    </w:pPr>
    <w:rPr>
      <w:rFonts w:ascii="Calibri" w:eastAsia="宋体" w:cs="Arial" w:hAnsi="Calibri"/>
      <w:kern w:val="2"/>
      <w:sz w:val="21"/>
      <w:szCs w:val="22"/>
      <w:lang w:val="en-US" w:eastAsia="zh-CN" w:bidi="ar-SA"/>
    </w:rPr>
  </w:style>
  <w:style w:type="paragraph" w:customStyle="1" w:styleId="3407">
    <w:name w:val="样式 3373 10 磅"/>
    <w:pPr>
      <w:widowControl w:val="0"/>
      <w:jc w:val="both"/>
    </w:pPr>
    <w:rPr>
      <w:rFonts w:ascii="Times New Roman" w:eastAsia="宋体" w:cs="Times New Roman" w:hAnsi="Times New Roman"/>
      <w:kern w:val="2"/>
      <w:sz w:val="21"/>
      <w:szCs w:val="24"/>
      <w:lang w:val="en-US" w:eastAsia="zh-CN" w:bidi="ar-SA"/>
    </w:rPr>
  </w:style>
  <w:style w:type="paragraph" w:customStyle="1" w:styleId="3408">
    <w:name w:val="样式 3374 10 磅"/>
    <w:pPr>
      <w:widowControl w:val="0"/>
      <w:jc w:val="both"/>
    </w:pPr>
    <w:rPr>
      <w:rFonts w:ascii="Times New Roman" w:eastAsia="宋体" w:cs="Times New Roman" w:hAnsi="Times New Roman"/>
      <w:kern w:val="2"/>
      <w:sz w:val="21"/>
      <w:szCs w:val="24"/>
      <w:lang w:val="en-US" w:eastAsia="zh-CN" w:bidi="ar-SA"/>
    </w:rPr>
  </w:style>
  <w:style w:type="paragraph" w:customStyle="1" w:styleId="3409">
    <w:name w:val="样式 3375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png"/><Relationship Id="rId4" Type="http://schemas.openxmlformats.org/officeDocument/2006/relationships/footer" Target="footer2.xml"/><Relationship Id="rId5" Type="http://schemas.openxmlformats.org/officeDocument/2006/relationships/image" Target="media/11.emf"/><Relationship Id="rId6" Type="http://schemas.openxmlformats.org/officeDocument/2006/relationships/oleObject" Target="embeddings/oleObject1.bin"/><Relationship Id="rId7" Type="http://schemas.openxmlformats.org/officeDocument/2006/relationships/image" Target="media/13.emf"/><Relationship Id="rId8" Type="http://schemas.openxmlformats.org/officeDocument/2006/relationships/oleObject" Target="embeddings/oleObject2.bin"/><Relationship Id="rId9" Type="http://schemas.openxmlformats.org/officeDocument/2006/relationships/image" Target="media/15.jpg"/><Relationship Id="rId10" Type="http://schemas.openxmlformats.org/officeDocument/2006/relationships/image" Target="media/18.emf"/><Relationship Id="rId11" Type="http://schemas.openxmlformats.org/officeDocument/2006/relationships/oleObject" Target="embeddings/oleObject3.bin"/><Relationship Id="rId12" Type="http://schemas.openxmlformats.org/officeDocument/2006/relationships/styles" Target="styles.xml"/><Relationship Id="rId13" Type="http://schemas.openxmlformats.org/officeDocument/2006/relationships/fontTable" Target="fontTable.xml"/></Relationships>
</file>

<file path=docProps/app.xml><?xml version="1.0" encoding="utf-8"?>
<Properties xmlns="http://schemas.openxmlformats.org/officeDocument/2006/extended-properties">
  <Template>Normal.eit</Template>
  <TotalTime>14126755</TotalTime>
  <Application>Yozo_Office</Application>
  <Pages>35</Pages>
  <Words>9427</Words>
  <Characters>11869</Characters>
  <Lines>2397</Lines>
  <Paragraphs>1161</Paragraphs>
  <CharactersWithSpaces>12190</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赵辰瑜</cp:lastModifiedBy>
  <cp:revision>3</cp:revision>
  <cp:lastPrinted>2021-03-24T01:34:00Z</cp:lastPrinted>
  <dcterms:created xsi:type="dcterms:W3CDTF">2019-04-01T07:55:00Z</dcterms:created>
  <dcterms:modified xsi:type="dcterms:W3CDTF">2024-04-30T00:42:53Z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2052-11.1.0.11365</vt:lpwstr>
  </property>
</Properties>
</file>