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rPr>
          <w:sz w:val="48"/>
          <w:szCs w:val="48"/>
          <w:highlight w:val="auto"/>
        </w:rPr>
      </w:pPr>
    </w:p>
    <w:p>
      <w:pPr>
        <w:jc w:val="center"/>
        <w:rPr>
          <w:sz w:val="48"/>
          <w:szCs w:val="48"/>
          <w:highlight w:val="auto"/>
        </w:rPr>
      </w:pPr>
    </w:p>
    <w:p>
      <w:pPr>
        <w:jc w:val="center"/>
        <w:rPr>
          <w:rFonts w:hint="eastAsia"/>
          <w:sz w:val="48"/>
          <w:szCs w:val="48"/>
          <w:highlight w:val="auto"/>
        </w:rPr>
      </w:pPr>
      <w:r>
        <w:rPr>
          <w:rFonts w:hint="eastAsia"/>
          <w:sz w:val="48"/>
          <w:szCs w:val="48"/>
          <w:highlight w:val="auto"/>
        </w:rPr>
        <w:t xml:space="preserve">                   </w:t>
      </w:r>
    </w:p>
    <w:p>
      <w:pPr>
        <w:jc w:val="center"/>
        <w:rPr>
          <w:sz w:val="84"/>
          <w:szCs w:val="84"/>
          <w:highlight w:val="auto"/>
        </w:rPr>
      </w:pPr>
      <w:r>
        <w:rPr>
          <w:sz w:val="48"/>
          <w:szCs w:val="48"/>
          <w:highlight w:val="auto"/>
        </w:rPr>
        <w:drawing>
          <wp:inline distT="0" distB="0" distL="68578" distR="68578">
            <wp:extent cx="3061970" cy="3061970"/>
            <wp:effectExtent l="0" t="0" r="0" b="0"/>
            <wp:docPr id="4" name="图片 4"/>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p>
    <w:p>
      <w:pPr>
        <w:jc w:val="center"/>
        <w:rPr>
          <w:sz w:val="84"/>
          <w:szCs w:val="84"/>
          <w:highlight w:val="auto"/>
        </w:rPr>
      </w:pPr>
    </w:p>
    <w:p>
      <w:pPr>
        <w:jc w:val="center"/>
        <w:rPr>
          <w:rFonts w:hint="eastAsia"/>
          <w:sz w:val="84"/>
          <w:szCs w:val="84"/>
          <w:highlight w:val="auto"/>
        </w:rPr>
      </w:pPr>
      <w:r>
        <w:rPr>
          <w:sz w:val="84"/>
          <w:szCs w:val="84"/>
          <w:highlight w:val="auto"/>
        </w:rPr>
        <w:t>集宁</w:t>
      </w:r>
      <w:r>
        <w:rPr>
          <w:rFonts w:hint="eastAsia"/>
          <w:sz w:val="84"/>
          <w:szCs w:val="84"/>
          <w:highlight w:val="auto"/>
        </w:rPr>
        <w:t>海关部门预算</w:t>
      </w:r>
    </w:p>
    <w:p>
      <w:pPr>
        <w:jc w:val="center"/>
        <w:rPr>
          <w:rFonts w:hint="eastAsia"/>
          <w:sz w:val="44"/>
          <w:szCs w:val="44"/>
          <w:highlight w:val="auto"/>
        </w:rPr>
      </w:pPr>
      <w:r>
        <w:rPr>
          <w:rFonts w:hint="eastAsia"/>
          <w:sz w:val="44"/>
          <w:szCs w:val="44"/>
        </w:rPr>
        <w:t>20</w:t>
      </w:r>
      <w:r>
        <w:rPr>
          <w:sz w:val="44"/>
          <w:szCs w:val="44"/>
        </w:rPr>
        <w:t>26</w:t>
      </w:r>
      <w:r>
        <w:rPr>
          <w:rFonts w:hint="eastAsia"/>
          <w:sz w:val="44"/>
          <w:szCs w:val="44"/>
          <w:highlight w:val="auto"/>
        </w:rPr>
        <w:t>年</w:t>
      </w: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jc w:val="center"/>
        <w:rPr>
          <w:rFonts w:hint="eastAsia"/>
          <w:sz w:val="44"/>
          <w:szCs w:val="44"/>
          <w:highlight w:val="auto"/>
        </w:rPr>
      </w:pPr>
    </w:p>
    <w:p>
      <w:pPr>
        <w:rPr>
          <w:b/>
          <w:sz w:val="84"/>
          <w:szCs w:val="84"/>
          <w:highlight w:val="auto"/>
        </w:rPr>
      </w:pPr>
    </w:p>
    <w:p>
      <w:pPr>
        <w:jc w:val="center"/>
        <w:rPr>
          <w:b/>
          <w:sz w:val="84"/>
          <w:szCs w:val="84"/>
          <w:highlight w:val="auto"/>
        </w:rPr>
      </w:pPr>
      <w:r>
        <w:rPr>
          <w:rFonts w:hint="eastAsia"/>
          <w:b/>
          <w:sz w:val="84"/>
          <w:szCs w:val="84"/>
          <w:highlight w:val="auto"/>
        </w:rPr>
        <w:t>目</w:t>
      </w:r>
      <w:r>
        <w:rPr>
          <w:b/>
          <w:sz w:val="84"/>
          <w:szCs w:val="84"/>
          <w:highlight w:val="auto"/>
        </w:rPr>
        <w:t xml:space="preserve">  </w:t>
      </w:r>
      <w:r>
        <w:rPr>
          <w:rFonts w:hint="eastAsia"/>
          <w:b/>
          <w:sz w:val="84"/>
          <w:szCs w:val="84"/>
          <w:highlight w:val="auto"/>
        </w:rPr>
        <w:t>录</w:t>
      </w:r>
    </w:p>
    <w:p>
      <w:pPr>
        <w:jc w:val="center"/>
        <w:rPr>
          <w:b/>
          <w:sz w:val="84"/>
          <w:szCs w:val="84"/>
          <w:highlight w:val="auto"/>
        </w:rPr>
      </w:pPr>
    </w:p>
    <w:p>
      <w:pPr>
        <w:rPr>
          <w:b/>
          <w:sz w:val="44"/>
          <w:szCs w:val="44"/>
          <w:highlight w:val="auto"/>
        </w:rPr>
      </w:pPr>
      <w:r>
        <w:rPr>
          <w:rFonts w:hint="eastAsia"/>
          <w:b/>
          <w:sz w:val="44"/>
          <w:szCs w:val="44"/>
          <w:highlight w:val="auto"/>
        </w:rPr>
        <w:t xml:space="preserve">第一部分  </w:t>
      </w:r>
      <w:r>
        <w:rPr>
          <w:b/>
          <w:sz w:val="44"/>
          <w:szCs w:val="44"/>
        </w:rPr>
        <w:t>集宁</w:t>
      </w:r>
      <w:r>
        <w:rPr>
          <w:rFonts w:hint="eastAsia"/>
          <w:b/>
          <w:sz w:val="44"/>
          <w:szCs w:val="44"/>
          <w:highlight w:val="auto"/>
        </w:rPr>
        <w:t>海关</w:t>
      </w:r>
      <w:r>
        <w:rPr>
          <w:b/>
          <w:sz w:val="44"/>
          <w:szCs w:val="44"/>
          <w:highlight w:val="auto"/>
        </w:rPr>
        <w:t>单位</w:t>
      </w:r>
      <w:r>
        <w:rPr>
          <w:rFonts w:hint="eastAsia"/>
          <w:b/>
          <w:sz w:val="44"/>
          <w:szCs w:val="44"/>
          <w:highlight w:val="auto"/>
        </w:rPr>
        <w:t>概况</w:t>
      </w:r>
    </w:p>
    <w:p>
      <w:pPr>
        <w:rPr>
          <w:rFonts w:hint="eastAsia"/>
          <w:sz w:val="36"/>
          <w:szCs w:val="36"/>
          <w:highlight w:val="auto"/>
        </w:rPr>
      </w:pPr>
      <w:r>
        <w:rPr>
          <w:rFonts w:hint="eastAsia"/>
          <w:sz w:val="36"/>
          <w:szCs w:val="36"/>
          <w:highlight w:val="auto"/>
        </w:rPr>
        <w:t>一、主要职</w:t>
      </w:r>
      <w:r>
        <w:rPr>
          <w:sz w:val="36"/>
          <w:szCs w:val="36"/>
          <w:highlight w:val="auto"/>
        </w:rPr>
        <w:t>能</w:t>
      </w:r>
    </w:p>
    <w:p>
      <w:pPr>
        <w:rPr>
          <w:rFonts w:hint="eastAsia"/>
          <w:sz w:val="36"/>
          <w:szCs w:val="36"/>
          <w:highlight w:val="auto"/>
        </w:rPr>
      </w:pPr>
      <w:r>
        <w:rPr>
          <w:rFonts w:hint="eastAsia"/>
          <w:sz w:val="36"/>
          <w:szCs w:val="36"/>
          <w:highlight w:val="auto"/>
        </w:rPr>
        <w:t>二、</w:t>
      </w:r>
      <w:r>
        <w:rPr>
          <w:sz w:val="36"/>
          <w:szCs w:val="36"/>
          <w:highlight w:val="auto"/>
        </w:rPr>
        <w:t>集宁海关</w:t>
      </w:r>
      <w:r>
        <w:rPr>
          <w:rFonts w:hint="eastAsia"/>
          <w:sz w:val="36"/>
          <w:szCs w:val="36"/>
          <w:highlight w:val="auto"/>
        </w:rPr>
        <w:t xml:space="preserve">构成情况 </w:t>
      </w:r>
    </w:p>
    <w:p>
      <w:pPr>
        <w:rPr>
          <w:b/>
          <w:sz w:val="44"/>
          <w:szCs w:val="44"/>
          <w:highlight w:val="auto"/>
        </w:rPr>
      </w:pPr>
      <w:r>
        <w:rPr>
          <w:rFonts w:hint="eastAsia"/>
          <w:b/>
          <w:sz w:val="44"/>
          <w:szCs w:val="44"/>
          <w:highlight w:val="auto"/>
        </w:rPr>
        <w:t xml:space="preserve">第二部分  </w:t>
      </w:r>
      <w:r>
        <w:rPr>
          <w:b/>
          <w:sz w:val="44"/>
          <w:szCs w:val="44"/>
        </w:rPr>
        <w:t>集宁</w:t>
      </w:r>
      <w:r>
        <w:rPr>
          <w:rFonts w:hint="eastAsia"/>
          <w:b/>
          <w:sz w:val="44"/>
          <w:szCs w:val="44"/>
          <w:highlight w:val="auto"/>
        </w:rPr>
        <w:t>海关</w:t>
      </w:r>
      <w:r>
        <w:rPr>
          <w:b/>
          <w:sz w:val="44"/>
          <w:szCs w:val="44"/>
        </w:rPr>
        <w:t>2026</w:t>
      </w:r>
      <w:r>
        <w:rPr>
          <w:rFonts w:hint="eastAsia"/>
          <w:b/>
          <w:sz w:val="44"/>
          <w:szCs w:val="44"/>
          <w:highlight w:val="auto"/>
        </w:rPr>
        <w:t>年部门预算表</w:t>
      </w:r>
    </w:p>
    <w:p>
      <w:pPr>
        <w:pStyle w:val="3119"/>
        <w:rPr>
          <w:color w:val="3366FF"/>
          <w:sz w:val="36"/>
          <w:szCs w:val="36"/>
        </w:rPr>
      </w:pPr>
      <w:r>
        <w:rPr>
          <w:rFonts w:ascii="宋体" w:hint="eastAsia"/>
          <w:sz w:val="36"/>
          <w:szCs w:val="36"/>
        </w:rPr>
        <w:t>一、</w:t>
      </w:r>
      <w:r>
        <w:rPr>
          <w:rFonts w:ascii="宋体"/>
          <w:sz w:val="36"/>
          <w:szCs w:val="36"/>
        </w:rPr>
        <w:t>部门</w:t>
      </w:r>
      <w:r>
        <w:rPr>
          <w:rFonts w:ascii="宋体" w:hint="eastAsia"/>
          <w:sz w:val="36"/>
          <w:szCs w:val="36"/>
        </w:rPr>
        <w:t>收支总表</w:t>
      </w:r>
    </w:p>
    <w:p>
      <w:pPr>
        <w:pStyle w:val="3120"/>
        <w:rPr>
          <w:sz w:val="36"/>
          <w:szCs w:val="36"/>
        </w:rPr>
      </w:pPr>
      <w:r>
        <w:rPr>
          <w:rFonts w:ascii="宋体" w:hint="eastAsia"/>
          <w:sz w:val="36"/>
          <w:szCs w:val="36"/>
        </w:rPr>
        <w:t>二、部门收入总表</w:t>
      </w:r>
    </w:p>
    <w:p>
      <w:pPr>
        <w:pStyle w:val="3121"/>
        <w:rPr>
          <w:sz w:val="36"/>
          <w:szCs w:val="36"/>
        </w:rPr>
      </w:pPr>
      <w:r>
        <w:rPr>
          <w:rFonts w:ascii="宋体" w:hint="eastAsia"/>
          <w:sz w:val="36"/>
          <w:szCs w:val="36"/>
        </w:rPr>
        <w:t>三、部门支出总表</w:t>
      </w:r>
    </w:p>
    <w:p>
      <w:pPr>
        <w:pStyle w:val="3119"/>
        <w:rPr>
          <w:sz w:val="36"/>
          <w:szCs w:val="36"/>
        </w:rPr>
      </w:pPr>
      <w:r>
        <w:rPr>
          <w:rFonts w:ascii="宋体" w:hint="eastAsia"/>
          <w:sz w:val="36"/>
          <w:szCs w:val="36"/>
        </w:rPr>
        <w:t>四、</w:t>
      </w:r>
      <w:r>
        <w:rPr>
          <w:rFonts w:ascii="宋体"/>
          <w:sz w:val="36"/>
          <w:szCs w:val="36"/>
        </w:rPr>
        <w:t>财政拨款收支总表</w:t>
      </w:r>
    </w:p>
    <w:p>
      <w:pPr>
        <w:pStyle w:val="3119"/>
        <w:rPr>
          <w:sz w:val="36"/>
          <w:szCs w:val="36"/>
        </w:rPr>
      </w:pPr>
      <w:r>
        <w:rPr>
          <w:rFonts w:ascii="宋体" w:hint="eastAsia"/>
          <w:sz w:val="36"/>
          <w:szCs w:val="36"/>
        </w:rPr>
        <w:t>五、</w:t>
      </w:r>
      <w:r>
        <w:rPr>
          <w:rFonts w:ascii="宋体"/>
          <w:sz w:val="36"/>
          <w:szCs w:val="36"/>
        </w:rPr>
        <w:t>一般公共预算支出表</w:t>
      </w:r>
    </w:p>
    <w:p>
      <w:pPr>
        <w:pStyle w:val="3119"/>
        <w:rPr>
          <w:color w:val="339966"/>
          <w:sz w:val="36"/>
          <w:szCs w:val="36"/>
        </w:rPr>
      </w:pPr>
      <w:r>
        <w:rPr>
          <w:rFonts w:ascii="宋体" w:hint="eastAsia"/>
          <w:sz w:val="36"/>
          <w:szCs w:val="36"/>
        </w:rPr>
        <w:t>六、</w:t>
      </w:r>
      <w:r>
        <w:rPr>
          <w:rFonts w:ascii="宋体"/>
          <w:sz w:val="36"/>
          <w:szCs w:val="36"/>
        </w:rPr>
        <w:t>一般公共预算基本支出表</w:t>
      </w:r>
    </w:p>
    <w:p>
      <w:pPr>
        <w:pStyle w:val="3119"/>
        <w:rPr>
          <w:sz w:val="36"/>
          <w:szCs w:val="36"/>
        </w:rPr>
      </w:pPr>
      <w:r>
        <w:rPr>
          <w:rFonts w:ascii="宋体" w:hint="eastAsia"/>
          <w:sz w:val="36"/>
          <w:szCs w:val="36"/>
        </w:rPr>
        <w:t>七、</w:t>
      </w:r>
      <w:r>
        <w:rPr>
          <w:rFonts w:ascii="宋体"/>
          <w:sz w:val="36"/>
          <w:szCs w:val="36"/>
        </w:rPr>
        <w:t>政府性基金预算支出表</w:t>
      </w:r>
    </w:p>
    <w:p>
      <w:pPr>
        <w:pStyle w:val="3119"/>
        <w:rPr>
          <w:rFonts w:ascii="宋体" w:hint="eastAsia"/>
          <w:sz w:val="36"/>
          <w:szCs w:val="36"/>
        </w:rPr>
      </w:pPr>
      <w:r>
        <w:rPr>
          <w:rFonts w:ascii="宋体" w:hint="eastAsia"/>
          <w:sz w:val="36"/>
          <w:szCs w:val="36"/>
        </w:rPr>
        <w:t>八、</w:t>
      </w:r>
      <w:r>
        <w:rPr>
          <w:rFonts w:ascii="宋体"/>
          <w:sz w:val="36"/>
          <w:szCs w:val="36"/>
        </w:rPr>
        <w:t>国有资本经营预算支出表</w:t>
      </w:r>
    </w:p>
    <w:p>
      <w:pPr>
        <w:rPr>
          <w:sz w:val="36"/>
          <w:szCs w:val="36"/>
          <w:highlight w:val="auto"/>
        </w:rPr>
      </w:pPr>
      <w:r>
        <w:rPr>
          <w:rFonts w:ascii="宋体"/>
          <w:sz w:val="36"/>
          <w:szCs w:val="36"/>
        </w:rPr>
        <w:t>九、</w:t>
      </w:r>
      <w:r>
        <w:rPr>
          <w:rFonts w:ascii="宋体" w:hint="eastAsia"/>
          <w:sz w:val="36"/>
          <w:szCs w:val="36"/>
        </w:rPr>
        <w:t>财政拨款预算“三公”经费支出表</w:t>
      </w:r>
    </w:p>
    <w:p>
      <w:pPr>
        <w:ind w:left="2164" w:hangingChars="492" w:hanging="2164"/>
        <w:rPr>
          <w:b/>
          <w:sz w:val="44"/>
          <w:szCs w:val="44"/>
          <w:highlight w:val="auto"/>
        </w:rPr>
      </w:pPr>
      <w:r>
        <w:rPr>
          <w:rFonts w:hint="eastAsia"/>
          <w:b/>
          <w:sz w:val="44"/>
          <w:szCs w:val="44"/>
          <w:highlight w:val="auto"/>
        </w:rPr>
        <w:t xml:space="preserve">第三部分  </w:t>
      </w:r>
      <w:r>
        <w:rPr>
          <w:b/>
          <w:sz w:val="44"/>
          <w:szCs w:val="44"/>
          <w:highlight w:val="auto"/>
        </w:rPr>
        <w:t>集宁</w:t>
      </w:r>
      <w:r>
        <w:rPr>
          <w:rFonts w:hint="eastAsia"/>
          <w:b/>
          <w:sz w:val="44"/>
          <w:szCs w:val="44"/>
          <w:highlight w:val="auto"/>
        </w:rPr>
        <w:t>海关</w:t>
      </w:r>
      <w:r>
        <w:rPr>
          <w:b/>
          <w:sz w:val="44"/>
          <w:szCs w:val="44"/>
        </w:rPr>
        <w:t>2026</w:t>
      </w:r>
      <w:r>
        <w:rPr>
          <w:rFonts w:hint="eastAsia"/>
          <w:b/>
          <w:sz w:val="44"/>
          <w:szCs w:val="44"/>
          <w:highlight w:val="auto"/>
        </w:rPr>
        <w:t>年部门预算情况说明</w:t>
      </w:r>
    </w:p>
    <w:p>
      <w:pPr>
        <w:rPr>
          <w:rFonts w:hint="eastAsia"/>
          <w:b/>
          <w:sz w:val="44"/>
          <w:szCs w:val="44"/>
          <w:highlight w:val="auto"/>
        </w:rPr>
      </w:pPr>
      <w:r>
        <w:rPr>
          <w:rFonts w:hint="eastAsia"/>
          <w:b/>
          <w:sz w:val="44"/>
          <w:szCs w:val="44"/>
          <w:highlight w:val="auto"/>
        </w:rPr>
        <w:t>第四部分  名词解释</w:t>
      </w:r>
    </w:p>
    <w:p>
      <w:pPr>
        <w:rPr>
          <w:b/>
          <w:sz w:val="44"/>
          <w:szCs w:val="44"/>
          <w:highlight w:val="auto"/>
        </w:rPr>
      </w:pPr>
      <w:r>
        <w:rPr>
          <w:rFonts w:hint="eastAsia"/>
          <w:b/>
          <w:sz w:val="44"/>
          <w:szCs w:val="44"/>
          <w:highlight w:val="auto"/>
        </w:rPr>
        <w:t>第五部分  附件</w:t>
      </w:r>
    </w:p>
    <w:p>
      <w:pPr>
        <w:rPr>
          <w:b/>
          <w:sz w:val="44"/>
          <w:szCs w:val="44"/>
          <w:highlight w:val="auto"/>
        </w:rPr>
        <w:sectPr>
          <w:footerReference w:type="default" r:id="rId2"/>
          <w:pgSz w:w="11906" w:h="16838"/>
          <w:pgMar w:top="1440" w:right="1797" w:bottom="1440" w:left="1797" w:header="851" w:footer="992" w:gutter="0"/>
          <w:pgNumType/>
          <w:docGrid w:type="linesAndChars" w:linePitch="312" w:charSpace="0"/>
        </w:sect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jc w:val="center"/>
        <w:rPr>
          <w:b/>
          <w:sz w:val="84"/>
          <w:szCs w:val="84"/>
          <w:highlight w:val="auto"/>
        </w:rPr>
      </w:pPr>
      <w:r>
        <w:rPr>
          <w:rFonts w:hint="eastAsia"/>
          <w:b/>
          <w:sz w:val="84"/>
          <w:szCs w:val="84"/>
          <w:highlight w:val="auto"/>
        </w:rPr>
        <w:t>第一部分</w:t>
      </w:r>
    </w:p>
    <w:p>
      <w:pPr>
        <w:jc w:val="center"/>
        <w:rPr>
          <w:b/>
          <w:sz w:val="84"/>
          <w:szCs w:val="84"/>
          <w:highlight w:val="auto"/>
        </w:rPr>
      </w:pPr>
      <w:r>
        <w:rPr>
          <w:b/>
          <w:sz w:val="84"/>
          <w:szCs w:val="84"/>
          <w:highlight w:val="auto"/>
        </w:rPr>
        <w:t>集宁</w:t>
      </w:r>
      <w:r>
        <w:rPr>
          <w:rFonts w:hint="eastAsia"/>
          <w:b/>
          <w:sz w:val="84"/>
          <w:szCs w:val="84"/>
          <w:highlight w:val="auto"/>
        </w:rPr>
        <w:t>海关</w:t>
      </w:r>
      <w:r>
        <w:rPr>
          <w:b/>
          <w:sz w:val="84"/>
          <w:szCs w:val="84"/>
          <w:highlight w:val="auto"/>
        </w:rPr>
        <w:t>单位</w:t>
      </w:r>
      <w:r>
        <w:rPr>
          <w:rFonts w:hint="eastAsia"/>
          <w:b/>
          <w:sz w:val="84"/>
          <w:szCs w:val="84"/>
          <w:highlight w:val="auto"/>
        </w:rPr>
        <w:t>概况</w:t>
      </w:r>
    </w:p>
    <w:p>
      <w:pPr>
        <w:spacing w:line="560" w:lineRule="exact"/>
        <w:rPr>
          <w:rFonts w:eastAsia="方正仿宋_GBK"/>
          <w:sz w:val="32"/>
          <w:szCs w:val="32"/>
          <w:highlight w:val="auto"/>
        </w:rPr>
      </w:pPr>
    </w:p>
    <w:p>
      <w:pPr>
        <w:autoSpaceDN w:val="0"/>
        <w:spacing w:line="560" w:lineRule="exact"/>
        <w:ind w:firstLineChars="200" w:firstLine="640"/>
        <w:rPr>
          <w:rFonts w:ascii="方正黑体_GBK" w:eastAsia="方正黑体_GBK" w:cs="方正黑体_GBK"/>
          <w:sz w:val="32"/>
          <w:szCs w:val="32"/>
          <w:lang w:bidi="ar-SA"/>
          <w:highlight w:val="auto"/>
        </w:rPr>
      </w:pPr>
      <w:r>
        <w:rPr>
          <w:rFonts w:eastAsia="方正仿宋_GBK" w:hint="eastAsia"/>
          <w:sz w:val="32"/>
          <w:szCs w:val="32"/>
          <w:highlight w:val="auto"/>
        </w:rPr>
        <w:br w:type="page"/>
      </w:r>
      <w:r>
        <w:rPr>
          <w:rFonts w:ascii="方正黑体_GBK" w:eastAsia="方正黑体_GBK" w:cs="方正黑体_GBK" w:hint="eastAsia"/>
          <w:sz w:val="32"/>
          <w:szCs w:val="32"/>
          <w:lang w:bidi="ar-SA"/>
          <w:highlight w:val="auto"/>
        </w:rPr>
        <w:t>一、主要职能</w:t>
      </w:r>
    </w:p>
    <w:p>
      <w:pPr>
        <w:pStyle w:val="3104"/>
        <w:pBdr>
          <w:top w:val="none" w:sz="0" w:space="0" w:color="auto"/>
          <w:left w:val="none" w:sz="0" w:space="0" w:color="auto"/>
          <w:bottom w:val="none" w:sz="0" w:space="0" w:color="auto"/>
          <w:right w:val="none" w:sz="0" w:space="0" w:color="auto"/>
        </w:pBdr>
        <w:spacing w:line="599" w:lineRule="atLeast"/>
        <w:ind w:left="0" w:firstLine="640"/>
        <w:outlineLvl w:val="0"/>
        <w:rPr>
          <w:rFonts w:ascii="方正仿宋_GBK" w:eastAsia="方正仿宋_GBK" w:hint="eastAsia"/>
          <w:kern w:val="36"/>
          <w:sz w:val="32"/>
          <w:szCs w:val="32"/>
        </w:rPr>
      </w:pPr>
      <w:r>
        <w:rPr>
          <w:rFonts w:ascii="方正仿宋_GBK" w:eastAsia="方正仿宋_GBK"/>
          <w:b w:val="0"/>
          <w:bCs w:val="0"/>
          <w:vanish w:val="0"/>
          <w:color w:val="auto"/>
          <w:kern w:val="36"/>
          <w:sz w:val="32"/>
          <w:szCs w:val="32"/>
          <w:vertAlign w:val="baseline"/>
        </w:rPr>
        <w:t>集宁海关是受呼和浩特海关直接领导，按授权负责指定区域范围内海关各类管理工作的执行机构，为正处级隶属海关。主要负责党的基层组织建设和干部队伍建设；办理具体海关业务，反馈执法作业结果；完成呼和浩特海关交办的其他工作。</w:t>
      </w:r>
    </w:p>
    <w:p>
      <w:pPr>
        <w:autoSpaceDN w:val="0"/>
        <w:spacing w:line="560" w:lineRule="exact"/>
        <w:ind w:firstLineChars="200" w:firstLine="640"/>
        <w:rPr>
          <w:rFonts w:ascii="方正黑体_GBK" w:eastAsia="方正黑体_GBK" w:cs="方正黑体_GBK" w:hint="eastAsia"/>
          <w:sz w:val="32"/>
          <w:szCs w:val="32"/>
          <w:lang w:bidi="ar-SA"/>
          <w:highlight w:val="auto"/>
        </w:rPr>
      </w:pPr>
      <w:r>
        <w:rPr>
          <w:rFonts w:ascii="方正黑体_GBK" w:eastAsia="方正黑体_GBK" w:cs="方正黑体_GBK" w:hint="eastAsia"/>
          <w:sz w:val="32"/>
          <w:szCs w:val="32"/>
          <w:lang w:bidi="ar-SA"/>
          <w:highlight w:val="auto"/>
        </w:rPr>
        <w:t>二、</w:t>
      </w:r>
      <w:r>
        <w:rPr>
          <w:rFonts w:ascii="方正黑体_GBK" w:eastAsia="方正黑体_GBK" w:cs="方正黑体_GBK"/>
          <w:sz w:val="32"/>
          <w:szCs w:val="32"/>
          <w:lang w:bidi="ar-SA"/>
          <w:highlight w:val="auto"/>
        </w:rPr>
        <w:t>集宁海关</w:t>
      </w:r>
      <w:r>
        <w:rPr>
          <w:rFonts w:ascii="方正黑体_GBK" w:eastAsia="方正黑体_GBK" w:cs="方正黑体_GBK" w:hint="eastAsia"/>
          <w:sz w:val="32"/>
          <w:szCs w:val="32"/>
          <w:lang w:bidi="ar-SA"/>
          <w:highlight w:val="auto"/>
        </w:rPr>
        <w:t>构成情况</w:t>
      </w:r>
    </w:p>
    <w:p>
      <w:pPr>
        <w:pStyle w:val="3105"/>
        <w:pBdr>
          <w:top w:val="none" w:sz="0" w:space="0" w:color="auto"/>
          <w:left w:val="none" w:sz="0" w:space="0" w:color="auto"/>
          <w:bottom w:val="none" w:sz="0" w:space="0" w:color="auto"/>
          <w:right w:val="none" w:sz="0" w:space="0" w:color="auto"/>
        </w:pBdr>
        <w:spacing w:line="599" w:lineRule="atLeast"/>
        <w:ind w:left="0" w:firstLine="640"/>
        <w:outlineLvl w:val="0"/>
        <w:rPr>
          <w:rFonts w:ascii="方正仿宋_GBK" w:eastAsia="方正仿宋_GBK"/>
          <w:b w:val="0"/>
          <w:bCs w:val="0"/>
          <w:vanish w:val="0"/>
          <w:color w:val="auto"/>
          <w:kern w:val="36"/>
          <w:sz w:val="32"/>
          <w:szCs w:val="32"/>
          <w:vertAlign w:val="baseline"/>
        </w:rPr>
      </w:pPr>
      <w:r>
        <w:rPr>
          <w:rFonts w:ascii="方正仿宋_GBK" w:eastAsia="方正仿宋_GBK" w:hint="eastAsia"/>
          <w:b w:val="0"/>
          <w:bCs w:val="0"/>
          <w:vanish w:val="0"/>
          <w:color w:val="auto"/>
          <w:kern w:val="36"/>
          <w:sz w:val="32"/>
          <w:szCs w:val="32"/>
          <w:vertAlign w:val="baseline"/>
        </w:rPr>
        <w:t>全关内设</w:t>
      </w:r>
      <w:r>
        <w:rPr>
          <w:rFonts w:ascii="方正仿宋_GBK" w:eastAsia="方正仿宋_GBK"/>
          <w:b w:val="0"/>
          <w:bCs w:val="0"/>
          <w:vanish w:val="0"/>
          <w:color w:val="auto"/>
          <w:kern w:val="36"/>
          <w:sz w:val="32"/>
          <w:szCs w:val="32"/>
          <w:vertAlign w:val="baseline"/>
        </w:rPr>
        <w:t>4</w:t>
      </w:r>
      <w:r>
        <w:rPr>
          <w:rFonts w:ascii="方正仿宋_GBK" w:eastAsia="方正仿宋_GBK" w:hint="eastAsia"/>
          <w:b w:val="0"/>
          <w:bCs w:val="0"/>
          <w:vanish w:val="0"/>
          <w:color w:val="auto"/>
          <w:kern w:val="36"/>
          <w:sz w:val="32"/>
          <w:szCs w:val="32"/>
          <w:vertAlign w:val="baseline"/>
        </w:rPr>
        <w:t>个业务科室，分别为办公室，综合业务科，查验一科，查验二科</w:t>
      </w:r>
      <w:r>
        <w:rPr>
          <w:rFonts w:ascii="方正仿宋_GBK" w:eastAsia="方正仿宋_GBK"/>
          <w:b w:val="0"/>
          <w:bCs w:val="0"/>
          <w:vanish w:val="0"/>
          <w:color w:val="auto"/>
          <w:kern w:val="36"/>
          <w:sz w:val="32"/>
          <w:szCs w:val="32"/>
          <w:vertAlign w:val="baseline"/>
        </w:rPr>
        <w:t>。</w:t>
      </w:r>
    </w:p>
    <w:p>
      <w:pPr>
        <w:pStyle w:val="3416"/>
        <w:pBdr>
          <w:top w:val="none" w:sz="0" w:space="0" w:color="auto"/>
          <w:left w:val="none" w:sz="0" w:space="0" w:color="auto"/>
          <w:bottom w:val="none" w:sz="0" w:space="0" w:color="auto"/>
          <w:right w:val="none" w:sz="0" w:space="0" w:color="auto"/>
        </w:pBdr>
        <w:spacing w:line="599" w:lineRule="atLeast"/>
        <w:ind w:left="0" w:firstLine="640"/>
        <w:outlineLvl w:val="0"/>
        <w:rPr>
          <w:rFonts w:ascii="方正仿宋_GBK" w:eastAsia="方正仿宋_GBK" w:hint="eastAsia"/>
          <w:kern w:val="36"/>
          <w:sz w:val="32"/>
          <w:szCs w:val="32"/>
        </w:rPr>
      </w:pPr>
      <w:r>
        <w:rPr>
          <w:rFonts w:ascii="方正仿宋_GBK" w:eastAsia="方正仿宋_GBK" w:hint="eastAsia"/>
          <w:b w:val="0"/>
          <w:bCs w:val="0"/>
          <w:vanish w:val="0"/>
          <w:color w:val="auto"/>
          <w:kern w:val="36"/>
          <w:sz w:val="32"/>
          <w:szCs w:val="32"/>
          <w:vertAlign w:val="baseline"/>
        </w:rPr>
        <w:t>集宁海关属于内陆型海关，现有2个业务现场：</w:t>
      </w:r>
      <w:r>
        <w:rPr>
          <w:rFonts w:ascii="方正仿宋_GBK" w:eastAsia="方正仿宋_GBK"/>
          <w:b w:val="0"/>
          <w:bCs w:val="0"/>
          <w:vanish w:val="0"/>
          <w:color w:val="auto"/>
          <w:kern w:val="36"/>
          <w:sz w:val="32"/>
          <w:szCs w:val="32"/>
          <w:vertAlign w:val="baseline"/>
        </w:rPr>
        <w:t>内蒙古</w:t>
      </w:r>
      <w:r>
        <w:rPr>
          <w:rFonts w:ascii="方正仿宋_GBK" w:eastAsia="方正仿宋_GBK" w:hint="eastAsia"/>
          <w:b w:val="0"/>
          <w:bCs w:val="0"/>
          <w:vanish w:val="0"/>
          <w:color w:val="auto"/>
          <w:kern w:val="36"/>
          <w:sz w:val="32"/>
          <w:szCs w:val="32"/>
          <w:vertAlign w:val="baseline"/>
        </w:rPr>
        <w:t>亚欧国际海关监管</w:t>
      </w:r>
      <w:r>
        <w:rPr>
          <w:rFonts w:ascii="方正仿宋_GBK" w:eastAsia="方正仿宋_GBK"/>
          <w:b w:val="0"/>
          <w:bCs w:val="0"/>
          <w:vanish w:val="0"/>
          <w:color w:val="auto"/>
          <w:kern w:val="36"/>
          <w:sz w:val="32"/>
          <w:szCs w:val="32"/>
          <w:vertAlign w:val="baseline"/>
        </w:rPr>
        <w:t>作业</w:t>
      </w:r>
      <w:r>
        <w:rPr>
          <w:rFonts w:ascii="方正仿宋_GBK" w:eastAsia="方正仿宋_GBK" w:hint="eastAsia"/>
          <w:b w:val="0"/>
          <w:bCs w:val="0"/>
          <w:vanish w:val="0"/>
          <w:color w:val="auto"/>
          <w:kern w:val="36"/>
          <w:sz w:val="32"/>
          <w:szCs w:val="32"/>
          <w:vertAlign w:val="baseline"/>
        </w:rPr>
        <w:t>场所，七苏木保税物流中心（B）型</w:t>
      </w:r>
      <w:r>
        <w:rPr>
          <w:rFonts w:ascii="方正仿宋_GBK" w:eastAsia="方正仿宋_GBK"/>
          <w:b w:val="0"/>
          <w:bCs w:val="0"/>
          <w:vanish w:val="0"/>
          <w:color w:val="auto"/>
          <w:kern w:val="36"/>
          <w:sz w:val="32"/>
          <w:szCs w:val="32"/>
          <w:vertAlign w:val="baseline"/>
        </w:rPr>
        <w:t>。</w:t>
      </w:r>
    </w:p>
    <w:p>
      <w:pPr>
        <w:pStyle w:val="3405"/>
        <w:spacing w:line="560" w:lineRule="exact"/>
        <w:ind w:left="0"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纳入</w:t>
      </w:r>
      <w:r>
        <w:rPr>
          <w:rFonts w:ascii="Times New Roman" w:eastAsia="方正仿宋_GBK" w:hAnsi="Times New Roman"/>
          <w:sz w:val="32"/>
          <w:szCs w:val="32"/>
        </w:rPr>
        <w:t>集宁</w:t>
      </w:r>
      <w:r>
        <w:rPr>
          <w:rFonts w:ascii="Times New Roman" w:eastAsia="方正仿宋_GBK" w:hAnsi="Times New Roman" w:hint="eastAsia"/>
          <w:sz w:val="32"/>
          <w:szCs w:val="32"/>
        </w:rPr>
        <w:t>海关2026年部门预算编制范围的</w:t>
      </w:r>
      <w:r>
        <w:rPr>
          <w:rFonts w:ascii="Times New Roman" w:eastAsia="方正仿宋_GBK" w:hAnsi="Times New Roman"/>
          <w:sz w:val="32"/>
          <w:szCs w:val="32"/>
        </w:rPr>
        <w:t>三级预算</w:t>
      </w:r>
      <w:r>
        <w:rPr>
          <w:rFonts w:ascii="Times New Roman" w:eastAsia="方正仿宋_GBK" w:hAnsi="Times New Roman" w:hint="eastAsia"/>
          <w:sz w:val="32"/>
          <w:szCs w:val="32"/>
        </w:rPr>
        <w:t>单位如下：</w:t>
      </w:r>
    </w:p>
    <w:tbl>
      <w:tblPr>
        <w:tblpPr w:leftFromText="180" w:rightFromText="180" w:vertAnchor="text" w:horzAnchor="page" w:tblpX="3594" w:tblpY="507"/>
        <w:tblOverlap w:val="never"/>
        <w:tblW w:w="452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154"/>
        <w:gridCol w:w="3370"/>
      </w:tblGrid>
      <w:tr>
        <w:trPr>
          <w:trHeight w:val="624"/>
        </w:trPr>
        <w:tc>
          <w:tcPr>
            <w:tcW w:w="1154" w:type="dxa"/>
            <w:tcBorders>
              <w:top w:val="single" w:sz="4" w:space="0" w:color="auto"/>
              <w:left w:val="single" w:sz="4" w:space="0" w:color="auto"/>
              <w:bottom w:val="single" w:sz="4" w:space="0" w:color="auto"/>
              <w:right w:val="single" w:sz="4" w:space="0" w:color="auto"/>
              <w:tl2br w:val="nil"/>
              <w:tr2bl w:val="nil"/>
            </w:tcBorders>
            <w:shd w:val="clear" w:color="auto" w:fill="auto"/>
            <w:noWrap/>
            <w:vAlign w:val="center"/>
          </w:tcPr>
          <w:p>
            <w:pPr>
              <w:pStyle w:val="3405"/>
              <w:widowControl/>
              <w:jc w:val="center"/>
              <w:rPr>
                <w:rFonts w:ascii="Times New Roman" w:eastAsia="方正黑体_GBK" w:cs="宋体" w:hAnsi="Times New Roman"/>
                <w:kern w:val="0"/>
                <w:sz w:val="20"/>
                <w:szCs w:val="20"/>
                <w:lang w:bidi="ar-SA"/>
              </w:rPr>
            </w:pPr>
            <w:r>
              <w:rPr>
                <w:rFonts w:ascii="Times New Roman" w:eastAsia="方正黑体_GBK" w:cs="宋体" w:hAnsi="Times New Roman" w:hint="eastAsia"/>
                <w:kern w:val="0"/>
                <w:sz w:val="20"/>
                <w:szCs w:val="20"/>
                <w:lang w:bidi="ar-SA"/>
              </w:rPr>
              <w:t>序号</w:t>
            </w:r>
          </w:p>
        </w:tc>
        <w:tc>
          <w:tcPr>
            <w:tcW w:w="3370" w:type="dxa"/>
            <w:tcBorders>
              <w:top w:val="single" w:sz="4" w:space="0" w:color="auto"/>
              <w:left w:val="nil"/>
              <w:bottom w:val="single" w:sz="4" w:space="0" w:color="auto"/>
              <w:right w:val="single" w:sz="4" w:space="0" w:color="auto"/>
              <w:tl2br w:val="nil"/>
              <w:tr2bl w:val="nil"/>
            </w:tcBorders>
            <w:shd w:val="clear" w:color="auto" w:fill="auto"/>
            <w:noWrap/>
            <w:vAlign w:val="center"/>
          </w:tcPr>
          <w:p>
            <w:pPr>
              <w:pStyle w:val="3405"/>
              <w:widowControl/>
              <w:jc w:val="center"/>
              <w:rPr>
                <w:rFonts w:ascii="Times New Roman" w:eastAsia="方正黑体_GBK" w:cs="宋体" w:hAnsi="Times New Roman"/>
                <w:kern w:val="0"/>
                <w:sz w:val="20"/>
                <w:szCs w:val="20"/>
                <w:lang w:bidi="ar-SA"/>
              </w:rPr>
            </w:pPr>
            <w:r>
              <w:rPr>
                <w:rFonts w:ascii="Times New Roman" w:eastAsia="方正黑体_GBK" w:cs="宋体" w:hAnsi="Times New Roman" w:hint="eastAsia"/>
                <w:kern w:val="0"/>
                <w:sz w:val="20"/>
                <w:szCs w:val="20"/>
                <w:lang w:bidi="ar-SA"/>
              </w:rPr>
              <w:t>单位名称</w:t>
            </w:r>
          </w:p>
        </w:tc>
      </w:tr>
      <w:tr>
        <w:trPr>
          <w:trHeight w:val="624"/>
        </w:trPr>
        <w:tc>
          <w:tcPr>
            <w:tcW w:w="1154" w:type="dxa"/>
            <w:tcBorders>
              <w:top w:val="nil"/>
              <w:left w:val="single" w:sz="4" w:space="0" w:color="auto"/>
              <w:bottom w:val="single" w:sz="4" w:space="0" w:color="auto"/>
              <w:right w:val="single" w:sz="4" w:space="0" w:color="auto"/>
              <w:tl2br w:val="nil"/>
              <w:tr2bl w:val="nil"/>
            </w:tcBorders>
            <w:shd w:val="clear" w:color="auto" w:fill="auto"/>
            <w:noWrap/>
            <w:vAlign w:val="center"/>
          </w:tcPr>
          <w:p>
            <w:pPr>
              <w:pStyle w:val="3405"/>
              <w:widowControl/>
              <w:jc w:val="center"/>
              <w:rPr>
                <w:rFonts w:ascii="Times New Roman" w:cs="Times New Roman" w:hAnsi="Times New Roman"/>
                <w:kern w:val="0"/>
                <w:sz w:val="20"/>
                <w:szCs w:val="20"/>
                <w:lang w:bidi="ar-SA"/>
              </w:rPr>
            </w:pPr>
            <w:r>
              <w:rPr>
                <w:rFonts w:ascii="Times New Roman" w:cs="Times New Roman" w:hAnsi="Times New Roman"/>
                <w:kern w:val="0"/>
                <w:sz w:val="20"/>
                <w:szCs w:val="20"/>
                <w:lang w:bidi="ar-SA"/>
              </w:rPr>
              <w:t>1</w:t>
            </w:r>
          </w:p>
        </w:tc>
        <w:tc>
          <w:tcPr>
            <w:tcW w:w="3370" w:type="dxa"/>
            <w:tcBorders>
              <w:top w:val="nil"/>
              <w:left w:val="nil"/>
              <w:bottom w:val="single" w:sz="4" w:space="0" w:color="auto"/>
              <w:right w:val="single" w:sz="4" w:space="0" w:color="auto"/>
              <w:tl2br w:val="nil"/>
              <w:tr2bl w:val="nil"/>
            </w:tcBorders>
            <w:shd w:val="clear" w:color="auto" w:fill="auto"/>
            <w:noWrap/>
            <w:vAlign w:val="center"/>
          </w:tcPr>
          <w:p>
            <w:pPr>
              <w:pStyle w:val="3405"/>
              <w:widowControl/>
              <w:jc w:val="center"/>
              <w:rPr>
                <w:rFonts w:ascii="Times New Roman" w:eastAsia="方正仿宋_GBK" w:cs="宋体" w:hAnsi="Times New Roman"/>
                <w:kern w:val="0"/>
                <w:sz w:val="20"/>
                <w:szCs w:val="20"/>
                <w:lang w:bidi="ar-SA"/>
              </w:rPr>
            </w:pPr>
            <w:r>
              <w:rPr>
                <w:rFonts w:ascii="Times New Roman" w:eastAsia="方正仿宋_GBK" w:cs="宋体" w:hAnsi="Times New Roman" w:hint="eastAsia"/>
                <w:kern w:val="0"/>
                <w:sz w:val="20"/>
                <w:szCs w:val="20"/>
                <w:lang w:bidi="ar-SA"/>
              </w:rPr>
              <w:t>中华人民共和国集宁海关</w:t>
            </w:r>
          </w:p>
        </w:tc>
      </w:tr>
    </w:tbl>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rPr>
          <w:b/>
          <w:sz w:val="44"/>
          <w:szCs w:val="44"/>
          <w:highlight w:val="auto"/>
        </w:rPr>
      </w:pPr>
    </w:p>
    <w:p>
      <w:pPr>
        <w:jc w:val="center"/>
        <w:rPr>
          <w:b/>
          <w:sz w:val="72"/>
          <w:szCs w:val="72"/>
          <w:highlight w:val="auto"/>
        </w:rPr>
      </w:pPr>
      <w:r>
        <w:rPr>
          <w:rFonts w:hint="eastAsia"/>
          <w:b/>
          <w:sz w:val="72"/>
          <w:szCs w:val="72"/>
          <w:highlight w:val="auto"/>
        </w:rPr>
        <w:t>第二部分</w:t>
      </w:r>
      <w:r>
        <w:rPr>
          <w:b/>
          <w:sz w:val="72"/>
          <w:szCs w:val="72"/>
          <w:highlight w:val="auto"/>
        </w:rPr>
        <w:t xml:space="preserve">  </w:t>
      </w:r>
    </w:p>
    <w:p>
      <w:pPr>
        <w:ind w:left="-315"/>
        <w:jc w:val="center"/>
        <w:rPr>
          <w:b/>
          <w:sz w:val="72"/>
          <w:szCs w:val="72"/>
          <w:highlight w:val="auto"/>
        </w:rPr>
      </w:pPr>
      <w:r>
        <w:rPr>
          <w:b/>
          <w:sz w:val="72"/>
          <w:szCs w:val="72"/>
          <w:highlight w:val="auto"/>
        </w:rPr>
        <w:t>集宁</w:t>
      </w:r>
      <w:r>
        <w:rPr>
          <w:rFonts w:hint="eastAsia"/>
          <w:b/>
          <w:sz w:val="72"/>
          <w:szCs w:val="72"/>
          <w:highlight w:val="auto"/>
        </w:rPr>
        <w:t>海关</w:t>
      </w:r>
      <w:r>
        <w:rPr>
          <w:b/>
          <w:sz w:val="72"/>
          <w:szCs w:val="72"/>
        </w:rPr>
        <w:t>2026</w:t>
      </w:r>
      <w:r>
        <w:rPr>
          <w:rFonts w:hint="eastAsia"/>
          <w:b/>
          <w:sz w:val="72"/>
          <w:szCs w:val="72"/>
          <w:highlight w:val="auto"/>
        </w:rPr>
        <w:t>年</w:t>
      </w:r>
    </w:p>
    <w:p>
      <w:pPr>
        <w:ind w:left="-315"/>
        <w:jc w:val="center"/>
        <w:rPr>
          <w:b/>
          <w:sz w:val="72"/>
          <w:szCs w:val="72"/>
          <w:highlight w:val="auto"/>
        </w:rPr>
        <w:sectPr>
          <w:footerReference w:type="default" r:id="rId4"/>
          <w:pgSz w:w="11906" w:h="16838"/>
          <w:pgMar w:top="1440" w:right="1797" w:bottom="1440" w:left="1797" w:header="851" w:footer="992" w:gutter="0"/>
          <w:pgNumType/>
          <w:docGrid w:type="linesAndChars" w:linePitch="312" w:charSpace="0"/>
        </w:sectPr>
      </w:pPr>
      <w:r>
        <w:rPr>
          <w:rFonts w:hint="eastAsia"/>
          <w:b/>
          <w:sz w:val="72"/>
          <w:szCs w:val="72"/>
          <w:highlight w:val="auto"/>
        </w:rPr>
        <w:t>部门预算表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rFonts w:hint="eastAsia"/>
                <w:sz w:val="20"/>
                <w:highlight w:val="auto"/>
              </w:rPr>
            </w:pPr>
            <w:bookmarkStart w:id="0" w:name="RANGE!A1:D18"/>
            <w:bookmarkEnd w:id="0"/>
          </w:p>
        </w:tc>
        <w:tc>
          <w:tcPr>
            <w:tcW w:w="3461" w:type="dxa"/>
            <w:tcBorders>
              <w:top w:val="nil"/>
              <w:left w:val="nil"/>
              <w:bottom w:val="nil"/>
              <w:right w:val="nil"/>
              <w:tl2br w:val="nil"/>
              <w:tr2bl w:val="nil"/>
            </w:tcBorders>
            <w:noWrap/>
            <w:vAlign w:val="center"/>
          </w:tcPr>
          <w:p>
            <w:pPr>
              <w:rPr>
                <w:rFonts w:hint="eastAsia"/>
                <w:sz w:val="16"/>
                <w:highlight w:val="auto"/>
              </w:rPr>
            </w:pPr>
          </w:p>
        </w:tc>
        <w:tc>
          <w:tcPr>
            <w:tcW w:w="4447" w:type="dxa"/>
            <w:tcBorders>
              <w:top w:val="nil"/>
              <w:left w:val="nil"/>
              <w:bottom w:val="nil"/>
              <w:right w:val="nil"/>
              <w:tl2br w:val="nil"/>
              <w:tr2bl w:val="nil"/>
            </w:tcBorders>
            <w:noWrap/>
            <w:vAlign w:val="center"/>
          </w:tcPr>
          <w:p>
            <w:pPr>
              <w:rPr>
                <w:rFonts w:hint="eastAsia"/>
                <w:sz w:val="16"/>
                <w:highlight w:val="auto"/>
              </w:rPr>
            </w:pPr>
          </w:p>
        </w:tc>
        <w:tc>
          <w:tcPr>
            <w:tcW w:w="3565" w:type="dxa"/>
            <w:tcBorders>
              <w:top w:val="nil"/>
              <w:left w:val="nil"/>
              <w:bottom w:val="nil"/>
              <w:right w:val="nil"/>
              <w:tl2br w:val="nil"/>
              <w:tr2bl w:val="nil"/>
            </w:tcBorders>
            <w:noWrap/>
            <w:vAlign w:val="center"/>
          </w:tcPr>
          <w:p>
            <w:pPr>
              <w:jc w:val="right"/>
              <w:rPr>
                <w:rFonts w:ascii="黑体" w:eastAsia="黑体" w:cs="黑体"/>
                <w:sz w:val="20"/>
                <w:szCs w:val="20"/>
                <w:lang w:bidi="ar-SA"/>
                <w:highlight w:val="auto"/>
              </w:rPr>
            </w:pPr>
          </w:p>
          <w:p>
            <w:pPr>
              <w:jc w:val="right"/>
              <w:rPr>
                <w:rFonts w:ascii="黑体" w:eastAsia="黑体" w:cs="黑体"/>
                <w:sz w:val="20"/>
                <w:szCs w:val="20"/>
                <w:lang w:bidi="ar-SA"/>
                <w:highlight w:val="auto"/>
              </w:rPr>
            </w:pPr>
          </w:p>
          <w:p>
            <w:pPr>
              <w:jc w:val="right"/>
              <w:rPr>
                <w:rFonts w:hint="eastAsia"/>
                <w:szCs w:val="21"/>
                <w:highlight w:val="auto"/>
              </w:rPr>
            </w:pPr>
            <w:r>
              <w:rPr>
                <w:rFonts w:ascii="黑体" w:eastAsia="黑体" w:cs="黑体" w:hint="eastAsia"/>
                <w:sz w:val="20"/>
                <w:szCs w:val="20"/>
                <w:lang w:bidi="ar-SA"/>
                <w:highlight w:val="auto"/>
              </w:rPr>
              <w:t>部门公开表1</w:t>
            </w:r>
          </w:p>
        </w:tc>
      </w:tr>
      <w:tr>
        <w:trPr>
          <w:trHeight w:val="170"/>
        </w:trPr>
        <w:tc>
          <w:tcPr>
            <w:tcW w:w="15616" w:type="dxa"/>
            <w:gridSpan w:val="4"/>
            <w:tcBorders>
              <w:top w:val="nil"/>
              <w:left w:val="nil"/>
              <w:bottom w:val="nil"/>
              <w:right w:val="nil"/>
              <w:tl2br w:val="nil"/>
              <w:tr2bl w:val="nil"/>
            </w:tcBorders>
            <w:noWrap/>
            <w:vAlign w:val="center"/>
          </w:tcPr>
          <w:p>
            <w:pPr>
              <w:jc w:val="center"/>
              <w:rPr>
                <w:rFonts w:hint="eastAsia"/>
                <w:b/>
                <w:color w:val="000000"/>
                <w:sz w:val="36"/>
                <w:szCs w:val="36"/>
                <w:highlight w:val="auto"/>
              </w:rPr>
            </w:pPr>
            <w:r>
              <w:rPr>
                <w:rFonts w:hint="eastAsia"/>
                <w:b/>
                <w:color w:val="000000"/>
                <w:sz w:val="36"/>
                <w:szCs w:val="36"/>
                <w:highlight w:val="auto"/>
              </w:rPr>
              <w:t>部门收支总表</w:t>
            </w:r>
          </w:p>
        </w:tc>
      </w:tr>
      <w:tr>
        <w:trPr>
          <w:trHeight w:hRule="exact" w:val="509"/>
        </w:trPr>
        <w:tc>
          <w:tcPr>
            <w:tcW w:w="7604" w:type="dxa"/>
            <w:gridSpan w:val="2"/>
            <w:tcBorders>
              <w:top w:val="nil"/>
              <w:left w:val="nil"/>
              <w:bottom w:val="single" w:sz="4" w:space="0" w:color="auto"/>
              <w:right w:val="nil"/>
              <w:tl2br w:val="nil"/>
              <w:tr2bl w:val="nil"/>
            </w:tcBorders>
            <w:noWrap/>
            <w:vAlign w:val="center"/>
          </w:tcPr>
          <w:p>
            <w:pPr>
              <w:rPr>
                <w:rFonts w:hint="eastAsia"/>
                <w:color w:val="000000"/>
                <w:szCs w:val="21"/>
                <w:highlight w:val="auto"/>
              </w:rPr>
            </w:pPr>
          </w:p>
        </w:tc>
        <w:tc>
          <w:tcPr>
            <w:tcW w:w="8012" w:type="dxa"/>
            <w:gridSpan w:val="2"/>
            <w:tcBorders>
              <w:top w:val="nil"/>
              <w:left w:val="nil"/>
              <w:bottom w:val="single" w:sz="4" w:space="0" w:color="auto"/>
              <w:right w:val="nil"/>
              <w:tl2br w:val="nil"/>
              <w:tr2bl w:val="nil"/>
            </w:tcBorders>
            <w:noWrap/>
            <w:vAlign w:val="center"/>
          </w:tcPr>
          <w:p>
            <w:pPr>
              <w:jc w:val="right"/>
              <w:rPr>
                <w:rFonts w:hint="eastAsia"/>
                <w:color w:val="000000"/>
                <w:szCs w:val="21"/>
                <w:highlight w:val="auto"/>
              </w:rPr>
            </w:pPr>
            <w:r>
              <w:rPr>
                <w:rFonts w:hint="eastAsia"/>
                <w:color w:val="000000"/>
                <w:sz w:val="20"/>
                <w:szCs w:val="20"/>
                <w:highlight w:val="auto"/>
              </w:rPr>
              <w:t>单位：万元</w:t>
            </w:r>
          </w:p>
        </w:tc>
      </w:tr>
      <w:tr>
        <w:trPr>
          <w:trHeight w:hRule="exact" w:val="509"/>
        </w:trPr>
        <w:tc>
          <w:tcPr>
            <w:tcW w:w="7604"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highlight w:val="auto"/>
              </w:rPr>
            </w:pPr>
            <w:r>
              <w:rPr>
                <w:color w:val="000000"/>
                <w:sz w:val="24"/>
                <w:highlight w:val="auto"/>
              </w:rPr>
              <w:t>收入</w:t>
            </w:r>
          </w:p>
        </w:tc>
        <w:tc>
          <w:tcPr>
            <w:tcW w:w="8012"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highlight w:val="auto"/>
              </w:rPr>
            </w:pPr>
            <w:r>
              <w:rPr>
                <w:color w:val="000000"/>
                <w:sz w:val="24"/>
                <w:highlight w:val="auto"/>
              </w:rPr>
              <w:t>支出</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highlight w:val="auto"/>
              </w:rPr>
            </w:pPr>
            <w:r>
              <w:rPr>
                <w:color w:val="000000"/>
                <w:sz w:val="24"/>
                <w:highlight w:val="auto"/>
              </w:rPr>
              <w:t>项目</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center"/>
              <w:rPr>
                <w:color w:val="000000"/>
                <w:sz w:val="24"/>
                <w:highlight w:val="auto"/>
              </w:rPr>
            </w:pPr>
            <w:r>
              <w:rPr>
                <w:color w:val="000000"/>
                <w:sz w:val="24"/>
                <w:highlight w:val="auto"/>
              </w:rPr>
              <w:t>预算数</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highlight w:val="auto"/>
              </w:rPr>
            </w:pPr>
            <w:r>
              <w:rPr>
                <w:color w:val="000000"/>
                <w:sz w:val="24"/>
                <w:highlight w:val="auto"/>
              </w:rPr>
              <w:t>项目</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color w:val="000000"/>
                <w:sz w:val="24"/>
                <w:highlight w:val="auto"/>
              </w:rPr>
            </w:pPr>
            <w:r>
              <w:rPr>
                <w:color w:val="000000"/>
                <w:sz w:val="24"/>
                <w:highlight w:val="auto"/>
              </w:rPr>
              <w:t>预算数</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一、一般公共预算拨款收入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844.80</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一、一般公共服务支出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r>
              <w:rPr>
                <w:color w:val="000000"/>
                <w:sz w:val="24"/>
                <w:highlight w:val="auto"/>
              </w:rPr>
              <w:t>906.86</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二、政府性基金预算拨款收入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二、外交支出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三、国有资本经营预算拨款收入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三、公共安全支出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四、事业收入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四、教育支出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五、事业单位经营收入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五、社会保障和就业支出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r>
              <w:rPr>
                <w:color w:val="000000"/>
                <w:sz w:val="24"/>
                <w:highlight w:val="auto"/>
              </w:rPr>
              <w:t>70.84</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六、其他收入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150.00</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六、卫生健康支出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r>
              <w:rPr>
                <w:color w:val="000000"/>
                <w:sz w:val="24"/>
                <w:highlight w:val="auto"/>
              </w:rPr>
              <w:t>23.21</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七、住房保障支出</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77.77</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p>
        </w:tc>
        <w:tc>
          <w:tcPr>
            <w:tcW w:w="4447" w:type="dxa"/>
            <w:tcBorders>
              <w:top w:val="nil"/>
              <w:left w:val="nil"/>
              <w:bottom w:val="nil"/>
              <w:right w:val="nil"/>
              <w:tl2br w:val="nil"/>
              <w:tr2bl w:val="nil"/>
            </w:tcBorders>
            <w:noWrap/>
            <w:vAlign w:val="center"/>
          </w:tcPr>
          <w:p>
            <w:pPr>
              <w:rPr>
                <w:color w:val="000000"/>
                <w:sz w:val="24"/>
                <w:highlight w:val="auto"/>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本年收入合计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995.00</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本年支出合计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1078.68</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使用非财政拨款结余</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highlight w:val="auto"/>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结转下年(非财政拨款)</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上年结转</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highlight w:val="auto"/>
              </w:rPr>
            </w:pPr>
            <w:r>
              <w:rPr>
                <w:color w:val="000000"/>
                <w:sz w:val="24"/>
                <w:highlight w:val="auto"/>
              </w:rPr>
              <w:t>83.88</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收入总计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1078.68</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highlight w:val="auto"/>
              </w:rPr>
            </w:pPr>
            <w:r>
              <w:rPr>
                <w:color w:val="000000"/>
                <w:sz w:val="24"/>
                <w:highlight w:val="auto"/>
              </w:rPr>
              <w:t>支出总计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highlight w:val="auto"/>
              </w:rPr>
            </w:pPr>
            <w:r>
              <w:rPr>
                <w:color w:val="000000"/>
                <w:sz w:val="24"/>
                <w:highlight w:val="auto"/>
              </w:rPr>
              <w:t>1078.68</w:t>
            </w:r>
          </w:p>
        </w:tc>
      </w:tr>
    </w:tbl>
    <w:p>
      <w:pPr>
        <w:widowControl/>
        <w:spacing w:line="160" w:lineRule="atLeast"/>
        <w:rPr>
          <w:rFonts w:cs="宋体" w:hint="eastAsia"/>
          <w:kern w:val="0"/>
          <w:sz w:val="15"/>
          <w:szCs w:val="15"/>
          <w:lang w:bidi="ar-SA"/>
          <w:highlight w:val="auto"/>
        </w:rPr>
      </w:pPr>
    </w:p>
    <w:p>
      <w:pPr>
        <w:rPr>
          <w:highlight w:val="auto"/>
        </w:rPr>
      </w:pPr>
      <w:r>
        <w:rPr>
          <w:rFonts w:hint="eastAsia"/>
          <w:sz w:val="20"/>
          <w:szCs w:val="20"/>
          <w:highlight w:val="auto"/>
        </w:rPr>
        <w:br w:type="page"/>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rFonts w:hint="eastAsia"/>
                <w:sz w:val="20"/>
                <w:highlight w:val="auto"/>
              </w:rPr>
            </w:pPr>
          </w:p>
        </w:tc>
        <w:tc>
          <w:tcPr>
            <w:tcW w:w="3461" w:type="dxa"/>
            <w:tcBorders>
              <w:top w:val="nil"/>
              <w:left w:val="nil"/>
              <w:bottom w:val="nil"/>
              <w:right w:val="nil"/>
              <w:tl2br w:val="nil"/>
              <w:tr2bl w:val="nil"/>
            </w:tcBorders>
            <w:noWrap/>
            <w:vAlign w:val="center"/>
          </w:tcPr>
          <w:p>
            <w:pPr>
              <w:rPr>
                <w:rFonts w:hint="eastAsia"/>
                <w:sz w:val="16"/>
                <w:highlight w:val="auto"/>
              </w:rPr>
            </w:pPr>
          </w:p>
        </w:tc>
        <w:tc>
          <w:tcPr>
            <w:tcW w:w="4447" w:type="dxa"/>
            <w:tcBorders>
              <w:top w:val="nil"/>
              <w:left w:val="nil"/>
              <w:bottom w:val="nil"/>
              <w:right w:val="nil"/>
              <w:tl2br w:val="nil"/>
              <w:tr2bl w:val="nil"/>
            </w:tcBorders>
            <w:noWrap/>
            <w:vAlign w:val="center"/>
          </w:tcPr>
          <w:p>
            <w:pPr>
              <w:rPr>
                <w:rFonts w:hint="eastAsia"/>
                <w:sz w:val="16"/>
                <w:highlight w:val="auto"/>
              </w:rPr>
            </w:pPr>
          </w:p>
        </w:tc>
        <w:tc>
          <w:tcPr>
            <w:tcW w:w="3565" w:type="dxa"/>
            <w:tcBorders>
              <w:top w:val="nil"/>
              <w:left w:val="nil"/>
              <w:bottom w:val="nil"/>
              <w:right w:val="nil"/>
              <w:tl2br w:val="nil"/>
              <w:tr2bl w:val="nil"/>
            </w:tcBorders>
            <w:noWrap/>
            <w:vAlign w:val="center"/>
          </w:tcPr>
          <w:p>
            <w:pPr>
              <w:jc w:val="right"/>
              <w:rPr>
                <w:rFonts w:ascii="黑体" w:eastAsia="黑体" w:cs="黑体"/>
                <w:sz w:val="20"/>
                <w:szCs w:val="20"/>
                <w:lang w:bidi="ar-SA"/>
                <w:highlight w:val="auto"/>
              </w:rPr>
            </w:pPr>
          </w:p>
          <w:p>
            <w:pPr>
              <w:jc w:val="right"/>
              <w:rPr>
                <w:rFonts w:hint="eastAsia"/>
                <w:szCs w:val="21"/>
                <w:highlight w:val="auto"/>
              </w:rPr>
            </w:pPr>
            <w:r>
              <w:rPr>
                <w:rFonts w:ascii="黑体" w:eastAsia="黑体" w:cs="黑体" w:hint="eastAsia"/>
                <w:sz w:val="20"/>
                <w:szCs w:val="20"/>
                <w:lang w:bidi="ar-SA"/>
                <w:highlight w:val="auto"/>
              </w:rPr>
              <w:t>部门公开表2</w:t>
            </w:r>
          </w:p>
        </w:tc>
      </w:tr>
    </w:tbl>
    <w:p>
      <w:pPr>
        <w:jc w:val="center"/>
        <w:rPr>
          <w:rFonts w:cs="Microsoft JhengHei" w:hint="eastAsia"/>
          <w:sz w:val="28"/>
          <w:szCs w:val="28"/>
          <w:lang w:bidi="ar-SA"/>
          <w:highlight w:val="auto"/>
        </w:rPr>
      </w:pPr>
      <w:r>
        <w:rPr>
          <w:rFonts w:cs="Microsoft JhengHei" w:hint="eastAsia"/>
          <w:b/>
          <w:snapToGrid w:val="0"/>
          <w:color w:val="000000"/>
          <w:sz w:val="36"/>
          <w:szCs w:val="36"/>
          <w:lang w:bidi="ar-SA"/>
          <w:highlight w:val="auto"/>
        </w:rPr>
        <w:t>部门收入总表</w:t>
      </w:r>
    </w:p>
    <w:tbl>
      <w:tblPr>
        <w:jc w:val="left"/>
        <w:tblInd w:w="0" w:type="dxa"/>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604"/>
        <w:gridCol w:w="8012"/>
      </w:tblGrid>
      <w:tr>
        <w:trPr>
          <w:trHeight w:hRule="exact" w:val="509"/>
        </w:trPr>
        <w:tc>
          <w:tcPr>
            <w:tcW w:w="7604" w:type="dxa"/>
            <w:tcBorders>
              <w:top w:val="nil"/>
              <w:left w:val="nil"/>
              <w:bottom w:val="nil"/>
              <w:right w:val="nil"/>
              <w:tl2br w:val="nil"/>
              <w:tr2bl w:val="nil"/>
            </w:tcBorders>
            <w:noWrap/>
            <w:vAlign w:val="center"/>
          </w:tcPr>
          <w:p>
            <w:pPr>
              <w:pStyle w:val="2290"/>
              <w:rPr>
                <w:rFonts w:hint="eastAsia"/>
                <w:color w:val="000000"/>
                <w:szCs w:val="21"/>
                <w:highlight w:val="auto"/>
              </w:rPr>
            </w:pPr>
          </w:p>
        </w:tc>
        <w:tc>
          <w:tcPr>
            <w:tcW w:w="8012" w:type="dxa"/>
            <w:tcBorders>
              <w:top w:val="nil"/>
              <w:left w:val="nil"/>
              <w:bottom w:val="nil"/>
              <w:right w:val="nil"/>
              <w:tl2br w:val="nil"/>
              <w:tr2bl w:val="nil"/>
            </w:tcBorders>
            <w:noWrap/>
            <w:vAlign w:val="center"/>
          </w:tcPr>
          <w:p>
            <w:pPr>
              <w:pStyle w:val="2289"/>
              <w:jc w:val="right"/>
              <w:rPr>
                <w:rFonts w:hint="eastAsia"/>
                <w:color w:val="000000"/>
                <w:szCs w:val="21"/>
                <w:highlight w:val="auto"/>
              </w:rPr>
            </w:pPr>
            <w:r>
              <w:rPr>
                <w:rFonts w:hint="eastAsia"/>
                <w:color w:val="000000"/>
                <w:sz w:val="20"/>
                <w:szCs w:val="20"/>
                <w:highlight w:val="auto"/>
              </w:rPr>
              <w:t>单位：万元</w:t>
            </w:r>
          </w:p>
        </w:tc>
      </w:tr>
    </w:tbl>
    <w:p>
      <w:pPr>
        <w:pStyle w:val="2288"/>
        <w:spacing w:line="94" w:lineRule="auto"/>
        <w:rPr>
          <w:rFonts w:ascii="Times New Roman" w:eastAsia="宋体" w:hAnsi="Times New Roman"/>
          <w:sz w:val="2"/>
          <w:highlight w:val="auto"/>
        </w:rPr>
      </w:pPr>
    </w:p>
    <w:tbl>
      <w:tblPr>
        <w:tblpPr w:leftFromText="180" w:rightFromText="180" w:vertAnchor="text" w:horzAnchor="page" w:tblpX="1596" w:tblpY="369"/>
        <w:tblOverlap w:val="never"/>
        <w:tblW w:w="13608"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1201"/>
        <w:gridCol w:w="1360"/>
        <w:gridCol w:w="1201"/>
        <w:gridCol w:w="880"/>
        <w:gridCol w:w="880"/>
        <w:gridCol w:w="1116"/>
        <w:gridCol w:w="1120"/>
        <w:gridCol w:w="1139"/>
        <w:gridCol w:w="1134"/>
        <w:gridCol w:w="1087"/>
        <w:gridCol w:w="1201"/>
        <w:gridCol w:w="1290"/>
      </w:tblGrid>
      <w:tr>
        <w:trPr>
          <w:trHeight w:val="270"/>
        </w:trPr>
        <w:tc>
          <w:tcPr>
            <w:tcW w:w="1201" w:type="dxa"/>
            <w:tcBorders>
              <w:top w:val="nil"/>
              <w:left w:val="nil"/>
              <w:bottom w:val="nil"/>
              <w:right w:val="nil"/>
            </w:tcBorders>
            <w:shd w:val="clear" w:color="auto" w:fill="auto"/>
            <w:noWrap/>
            <w:vAlign w:val="center"/>
          </w:tcPr>
          <w:p>
            <w:pPr>
              <w:pStyle w:val="3256"/>
              <w:widowControl/>
              <w:jc w:val="left"/>
              <w:rPr>
                <w:rFonts w:ascii="Times New Roman" w:eastAsia="宋体" w:cs="宋体" w:hAnsi="Times New Roman"/>
                <w:kern w:val="0"/>
                <w:sz w:val="24"/>
                <w:szCs w:val="24"/>
              </w:rPr>
            </w:pPr>
          </w:p>
        </w:tc>
        <w:tc>
          <w:tcPr>
            <w:tcW w:w="1360" w:type="dxa"/>
            <w:tcBorders>
              <w:top w:val="nil"/>
              <w:left w:val="nil"/>
              <w:bottom w:val="nil"/>
              <w:right w:val="nil"/>
            </w:tcBorders>
            <w:shd w:val="clear" w:color="auto" w:fill="auto"/>
            <w:noWrap/>
            <w:vAlign w:val="center"/>
          </w:tcPr>
          <w:p>
            <w:pPr>
              <w:pStyle w:val="3255"/>
              <w:widowControl/>
              <w:jc w:val="left"/>
              <w:rPr>
                <w:rFonts w:ascii="Times New Roman" w:eastAsia="Times New Roman" w:cs="Times New Roman" w:hAnsi="Times New Roman"/>
                <w:kern w:val="0"/>
                <w:sz w:val="20"/>
                <w:szCs w:val="20"/>
              </w:rPr>
            </w:pPr>
          </w:p>
        </w:tc>
        <w:tc>
          <w:tcPr>
            <w:tcW w:w="1201" w:type="dxa"/>
            <w:tcBorders>
              <w:top w:val="nil"/>
              <w:left w:val="nil"/>
              <w:bottom w:val="nil"/>
              <w:right w:val="nil"/>
            </w:tcBorders>
            <w:shd w:val="clear" w:color="auto" w:fill="auto"/>
            <w:noWrap/>
            <w:vAlign w:val="center"/>
          </w:tcPr>
          <w:p>
            <w:pPr>
              <w:pStyle w:val="3254"/>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pStyle w:val="3253"/>
              <w:widowControl/>
              <w:jc w:val="left"/>
              <w:rPr>
                <w:rFonts w:ascii="Times New Roman" w:eastAsia="Times New Roman" w:cs="Times New Roman" w:hAnsi="Times New Roman"/>
                <w:kern w:val="0"/>
                <w:sz w:val="20"/>
                <w:szCs w:val="20"/>
              </w:rPr>
            </w:pPr>
          </w:p>
        </w:tc>
        <w:tc>
          <w:tcPr>
            <w:tcW w:w="880" w:type="dxa"/>
            <w:tcBorders>
              <w:top w:val="nil"/>
              <w:left w:val="nil"/>
              <w:bottom w:val="nil"/>
              <w:right w:val="nil"/>
            </w:tcBorders>
            <w:shd w:val="clear" w:color="auto" w:fill="auto"/>
            <w:noWrap/>
            <w:vAlign w:val="center"/>
          </w:tcPr>
          <w:p>
            <w:pPr>
              <w:pStyle w:val="3252"/>
              <w:widowControl/>
              <w:jc w:val="left"/>
              <w:rPr>
                <w:rFonts w:ascii="Times New Roman" w:eastAsia="Times New Roman" w:cs="Times New Roman" w:hAnsi="Times New Roman"/>
                <w:kern w:val="0"/>
                <w:sz w:val="20"/>
                <w:szCs w:val="20"/>
              </w:rPr>
            </w:pPr>
          </w:p>
        </w:tc>
        <w:tc>
          <w:tcPr>
            <w:tcW w:w="1116" w:type="dxa"/>
            <w:tcBorders>
              <w:top w:val="nil"/>
              <w:left w:val="nil"/>
              <w:bottom w:val="nil"/>
              <w:right w:val="nil"/>
            </w:tcBorders>
            <w:shd w:val="clear" w:color="auto" w:fill="auto"/>
            <w:noWrap/>
            <w:vAlign w:val="center"/>
          </w:tcPr>
          <w:p>
            <w:pPr>
              <w:pStyle w:val="3251"/>
              <w:widowControl/>
              <w:jc w:val="left"/>
              <w:rPr>
                <w:rFonts w:ascii="Times New Roman" w:eastAsia="Times New Roman" w:cs="Times New Roman" w:hAnsi="Times New Roman"/>
                <w:kern w:val="0"/>
                <w:sz w:val="20"/>
                <w:szCs w:val="20"/>
              </w:rPr>
            </w:pPr>
          </w:p>
        </w:tc>
        <w:tc>
          <w:tcPr>
            <w:tcW w:w="1120" w:type="dxa"/>
            <w:tcBorders>
              <w:top w:val="nil"/>
              <w:left w:val="nil"/>
              <w:bottom w:val="nil"/>
              <w:right w:val="nil"/>
            </w:tcBorders>
            <w:shd w:val="clear" w:color="auto" w:fill="auto"/>
            <w:noWrap/>
            <w:vAlign w:val="center"/>
          </w:tcPr>
          <w:p>
            <w:pPr>
              <w:pStyle w:val="3250"/>
              <w:widowControl/>
              <w:jc w:val="left"/>
              <w:rPr>
                <w:rFonts w:ascii="Times New Roman" w:eastAsia="Times New Roman" w:cs="Times New Roman" w:hAnsi="Times New Roman"/>
                <w:kern w:val="0"/>
                <w:sz w:val="20"/>
                <w:szCs w:val="20"/>
              </w:rPr>
            </w:pPr>
          </w:p>
        </w:tc>
        <w:tc>
          <w:tcPr>
            <w:tcW w:w="1139" w:type="dxa"/>
            <w:tcBorders>
              <w:top w:val="nil"/>
              <w:left w:val="nil"/>
              <w:bottom w:val="nil"/>
              <w:right w:val="nil"/>
            </w:tcBorders>
            <w:shd w:val="clear" w:color="auto" w:fill="auto"/>
            <w:noWrap/>
            <w:vAlign w:val="center"/>
          </w:tcPr>
          <w:p>
            <w:pPr>
              <w:pStyle w:val="3249"/>
              <w:widowControl/>
              <w:jc w:val="left"/>
              <w:rPr>
                <w:rFonts w:ascii="Times New Roman" w:eastAsia="Times New Roman" w:cs="Times New Roman" w:hAnsi="Times New Roman"/>
                <w:kern w:val="0"/>
                <w:sz w:val="20"/>
                <w:szCs w:val="20"/>
              </w:rPr>
            </w:pPr>
          </w:p>
        </w:tc>
        <w:tc>
          <w:tcPr>
            <w:tcW w:w="1134" w:type="dxa"/>
            <w:tcBorders>
              <w:top w:val="nil"/>
              <w:left w:val="nil"/>
              <w:bottom w:val="nil"/>
              <w:right w:val="nil"/>
            </w:tcBorders>
            <w:shd w:val="clear" w:color="auto" w:fill="auto"/>
            <w:noWrap/>
            <w:vAlign w:val="center"/>
          </w:tcPr>
          <w:p>
            <w:pPr>
              <w:pStyle w:val="3248"/>
              <w:widowControl/>
              <w:jc w:val="left"/>
              <w:rPr>
                <w:rFonts w:ascii="Times New Roman" w:eastAsia="Times New Roman" w:cs="Times New Roman" w:hAnsi="Times New Roman"/>
                <w:kern w:val="0"/>
                <w:sz w:val="20"/>
                <w:szCs w:val="20"/>
              </w:rPr>
            </w:pPr>
          </w:p>
        </w:tc>
        <w:tc>
          <w:tcPr>
            <w:tcW w:w="1087" w:type="dxa"/>
            <w:tcBorders>
              <w:top w:val="nil"/>
              <w:left w:val="nil"/>
              <w:bottom w:val="nil"/>
              <w:right w:val="nil"/>
            </w:tcBorders>
            <w:shd w:val="clear" w:color="auto" w:fill="auto"/>
            <w:noWrap/>
            <w:vAlign w:val="center"/>
          </w:tcPr>
          <w:p>
            <w:pPr>
              <w:pStyle w:val="3247"/>
              <w:widowControl/>
              <w:jc w:val="left"/>
              <w:rPr>
                <w:rFonts w:ascii="Times New Roman" w:eastAsia="Times New Roman" w:cs="Times New Roman" w:hAnsi="Times New Roman"/>
                <w:kern w:val="0"/>
                <w:sz w:val="20"/>
                <w:szCs w:val="20"/>
              </w:rPr>
            </w:pPr>
          </w:p>
        </w:tc>
        <w:tc>
          <w:tcPr>
            <w:tcW w:w="2491" w:type="dxa"/>
            <w:gridSpan w:val="2"/>
            <w:tcBorders>
              <w:top w:val="nil"/>
              <w:left w:val="nil"/>
              <w:bottom w:val="nil"/>
              <w:right w:val="nil"/>
            </w:tcBorders>
            <w:shd w:val="clear" w:color="auto" w:fill="auto"/>
            <w:noWrap/>
            <w:vAlign w:val="center"/>
          </w:tcPr>
          <w:p>
            <w:pPr>
              <w:pStyle w:val="3246"/>
              <w:widowControl/>
              <w:rPr>
                <w:rFonts w:ascii="Times New Roman" w:eastAsia="黑体" w:cs="宋体" w:hAnsi="Times New Roman"/>
                <w:kern w:val="0"/>
                <w:sz w:val="20"/>
                <w:szCs w:val="20"/>
              </w:rPr>
            </w:pPr>
          </w:p>
        </w:tc>
      </w:tr>
      <w:tr>
        <w:trPr>
          <w:trHeight w:val="270"/>
        </w:trPr>
        <w:tc>
          <w:tcPr>
            <w:tcW w:w="1201" w:type="dxa"/>
            <w:tcBorders>
              <w:top w:val="nil"/>
              <w:left w:val="nil"/>
              <w:bottom w:val="single" w:sz="4" w:space="0" w:color="auto"/>
              <w:right w:val="nil"/>
            </w:tcBorders>
            <w:shd w:val="clear" w:color="auto" w:fill="auto"/>
            <w:noWrap/>
            <w:vAlign w:val="center"/>
          </w:tcPr>
          <w:p>
            <w:pPr>
              <w:pStyle w:val="3244"/>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360" w:type="dxa"/>
            <w:tcBorders>
              <w:top w:val="nil"/>
              <w:left w:val="nil"/>
              <w:bottom w:val="single" w:sz="4" w:space="0" w:color="auto"/>
              <w:right w:val="nil"/>
            </w:tcBorders>
            <w:shd w:val="clear" w:color="auto" w:fill="auto"/>
            <w:noWrap/>
            <w:vAlign w:val="center"/>
          </w:tcPr>
          <w:p>
            <w:pPr>
              <w:pStyle w:val="3243"/>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01" w:type="dxa"/>
            <w:tcBorders>
              <w:top w:val="nil"/>
              <w:left w:val="nil"/>
              <w:bottom w:val="single" w:sz="4" w:space="0" w:color="auto"/>
              <w:right w:val="nil"/>
            </w:tcBorders>
            <w:shd w:val="clear" w:color="auto" w:fill="auto"/>
            <w:noWrap/>
            <w:vAlign w:val="center"/>
          </w:tcPr>
          <w:p>
            <w:pPr>
              <w:pStyle w:val="3242"/>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pStyle w:val="3241"/>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880" w:type="dxa"/>
            <w:tcBorders>
              <w:top w:val="nil"/>
              <w:left w:val="nil"/>
              <w:bottom w:val="single" w:sz="4" w:space="0" w:color="auto"/>
              <w:right w:val="nil"/>
            </w:tcBorders>
            <w:shd w:val="clear" w:color="auto" w:fill="auto"/>
            <w:noWrap/>
            <w:vAlign w:val="center"/>
          </w:tcPr>
          <w:p>
            <w:pPr>
              <w:pStyle w:val="3240"/>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16" w:type="dxa"/>
            <w:tcBorders>
              <w:top w:val="nil"/>
              <w:left w:val="nil"/>
              <w:bottom w:val="single" w:sz="4" w:space="0" w:color="auto"/>
              <w:right w:val="nil"/>
            </w:tcBorders>
            <w:shd w:val="clear" w:color="auto" w:fill="auto"/>
            <w:noWrap/>
            <w:vAlign w:val="center"/>
          </w:tcPr>
          <w:p>
            <w:pPr>
              <w:pStyle w:val="3239"/>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20" w:type="dxa"/>
            <w:tcBorders>
              <w:top w:val="nil"/>
              <w:left w:val="nil"/>
              <w:bottom w:val="single" w:sz="4" w:space="0" w:color="auto"/>
              <w:right w:val="nil"/>
            </w:tcBorders>
            <w:shd w:val="clear" w:color="auto" w:fill="auto"/>
            <w:noWrap/>
            <w:vAlign w:val="center"/>
          </w:tcPr>
          <w:p>
            <w:pPr>
              <w:pStyle w:val="3238"/>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9" w:type="dxa"/>
            <w:tcBorders>
              <w:top w:val="nil"/>
              <w:left w:val="nil"/>
              <w:bottom w:val="single" w:sz="4" w:space="0" w:color="auto"/>
              <w:right w:val="nil"/>
            </w:tcBorders>
            <w:shd w:val="clear" w:color="auto" w:fill="auto"/>
            <w:noWrap/>
            <w:vAlign w:val="center"/>
          </w:tcPr>
          <w:p>
            <w:pPr>
              <w:pStyle w:val="3237"/>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134" w:type="dxa"/>
            <w:tcBorders>
              <w:top w:val="nil"/>
              <w:left w:val="nil"/>
              <w:bottom w:val="single" w:sz="4" w:space="0" w:color="auto"/>
              <w:right w:val="nil"/>
            </w:tcBorders>
            <w:shd w:val="clear" w:color="auto" w:fill="auto"/>
            <w:noWrap/>
            <w:vAlign w:val="center"/>
          </w:tcPr>
          <w:p>
            <w:pPr>
              <w:pStyle w:val="3236"/>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087" w:type="dxa"/>
            <w:tcBorders>
              <w:top w:val="nil"/>
              <w:left w:val="nil"/>
              <w:bottom w:val="single" w:sz="4" w:space="0" w:color="auto"/>
              <w:right w:val="nil"/>
            </w:tcBorders>
            <w:shd w:val="clear" w:color="auto" w:fill="auto"/>
            <w:noWrap/>
            <w:vAlign w:val="center"/>
          </w:tcPr>
          <w:p>
            <w:pPr>
              <w:pStyle w:val="3235"/>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01" w:type="dxa"/>
            <w:tcBorders>
              <w:top w:val="nil"/>
              <w:left w:val="nil"/>
              <w:bottom w:val="single" w:sz="4" w:space="0" w:color="auto"/>
              <w:right w:val="nil"/>
            </w:tcBorders>
            <w:shd w:val="clear" w:color="auto" w:fill="auto"/>
            <w:noWrap/>
            <w:vAlign w:val="center"/>
          </w:tcPr>
          <w:p>
            <w:pPr>
              <w:pStyle w:val="3234"/>
              <w:widowControl/>
              <w:jc w:val="left"/>
              <w:rPr>
                <w:rFonts w:ascii="Times New Roman" w:eastAsia="宋体" w:cs="宋体" w:hAnsi="Times New Roman"/>
                <w:kern w:val="0"/>
                <w:sz w:val="18"/>
                <w:szCs w:val="18"/>
              </w:rPr>
            </w:pPr>
            <w:r>
              <w:rPr>
                <w:rFonts w:ascii="Times New Roman" w:eastAsia="宋体" w:cs="宋体" w:hAnsi="Times New Roman" w:hint="eastAsia"/>
                <w:kern w:val="0"/>
                <w:sz w:val="18"/>
                <w:szCs w:val="18"/>
              </w:rPr>
              <w:t>　</w:t>
            </w:r>
          </w:p>
        </w:tc>
        <w:tc>
          <w:tcPr>
            <w:tcW w:w="1290" w:type="dxa"/>
            <w:tcBorders>
              <w:top w:val="nil"/>
              <w:left w:val="nil"/>
              <w:bottom w:val="single" w:sz="4" w:space="0" w:color="auto"/>
              <w:right w:val="nil"/>
            </w:tcBorders>
            <w:shd w:val="clear" w:color="auto" w:fill="auto"/>
            <w:noWrap/>
            <w:vAlign w:val="center"/>
          </w:tcPr>
          <w:p>
            <w:pPr>
              <w:pStyle w:val="3233"/>
              <w:widowControl/>
              <w:jc w:val="left"/>
              <w:rPr>
                <w:rFonts w:ascii="Times New Roman" w:eastAsia="宋体" w:cs="宋体" w:hAnsi="Times New Roman"/>
                <w:kern w:val="0"/>
                <w:sz w:val="18"/>
                <w:szCs w:val="18"/>
              </w:rPr>
            </w:pPr>
          </w:p>
        </w:tc>
      </w:tr>
      <w:tr>
        <w:trPr>
          <w:trHeight w:val="270"/>
        </w:trPr>
        <w:tc>
          <w:tcPr>
            <w:tcW w:w="1201" w:type="dxa"/>
            <w:vMerge w:val="restart"/>
            <w:tcBorders>
              <w:top w:val="nil"/>
              <w:left w:val="single" w:sz="4" w:space="0" w:color="auto"/>
              <w:bottom w:val="single" w:sz="4" w:space="0" w:color="auto"/>
              <w:right w:val="single" w:sz="4" w:space="0" w:color="auto"/>
            </w:tcBorders>
            <w:shd w:val="clear" w:color="auto" w:fill="auto"/>
            <w:vAlign w:val="center"/>
          </w:tcPr>
          <w:p>
            <w:pPr>
              <w:pStyle w:val="3232"/>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合计</w:t>
            </w:r>
          </w:p>
        </w:tc>
        <w:tc>
          <w:tcPr>
            <w:tcW w:w="1360" w:type="dxa"/>
            <w:vMerge w:val="restart"/>
            <w:tcBorders>
              <w:top w:val="nil"/>
              <w:left w:val="single" w:sz="4" w:space="0" w:color="auto"/>
              <w:bottom w:val="nil"/>
              <w:right w:val="single" w:sz="4" w:space="0" w:color="auto"/>
            </w:tcBorders>
            <w:shd w:val="clear" w:color="auto" w:fill="auto"/>
            <w:vAlign w:val="center"/>
          </w:tcPr>
          <w:p>
            <w:pPr>
              <w:pStyle w:val="3231"/>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上年结转</w:t>
            </w:r>
          </w:p>
        </w:tc>
        <w:tc>
          <w:tcPr>
            <w:tcW w:w="1201" w:type="dxa"/>
            <w:vMerge w:val="restart"/>
            <w:tcBorders>
              <w:top w:val="nil"/>
              <w:left w:val="single" w:sz="4" w:space="0" w:color="auto"/>
              <w:bottom w:val="single" w:sz="4" w:space="0" w:color="auto"/>
              <w:right w:val="single" w:sz="4" w:space="0" w:color="auto"/>
            </w:tcBorders>
            <w:shd w:val="clear" w:color="auto" w:fill="auto"/>
            <w:vAlign w:val="center"/>
          </w:tcPr>
          <w:p>
            <w:pPr>
              <w:pStyle w:val="3230"/>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一般公共预算拨款收入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pStyle w:val="3229"/>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政府性基金预算拨款收入</w:t>
            </w:r>
          </w:p>
        </w:tc>
        <w:tc>
          <w:tcPr>
            <w:tcW w:w="880" w:type="dxa"/>
            <w:vMerge w:val="restart"/>
            <w:tcBorders>
              <w:top w:val="nil"/>
              <w:left w:val="single" w:sz="4" w:space="0" w:color="auto"/>
              <w:bottom w:val="single" w:sz="4" w:space="0" w:color="auto"/>
              <w:right w:val="single" w:sz="4" w:space="0" w:color="auto"/>
            </w:tcBorders>
            <w:shd w:val="clear" w:color="auto" w:fill="auto"/>
            <w:vAlign w:val="center"/>
          </w:tcPr>
          <w:p>
            <w:pPr>
              <w:pStyle w:val="3228"/>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国有资本经营预算拨款收入</w:t>
            </w:r>
          </w:p>
        </w:tc>
        <w:tc>
          <w:tcPr>
            <w:tcW w:w="2236"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pPr>
              <w:pStyle w:val="3227"/>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事业收入</w:t>
            </w:r>
          </w:p>
        </w:tc>
        <w:tc>
          <w:tcPr>
            <w:tcW w:w="1139" w:type="dxa"/>
            <w:vMerge w:val="restart"/>
            <w:tcBorders>
              <w:top w:val="single" w:sz="4" w:space="0" w:color="auto"/>
              <w:left w:val="single" w:sz="4" w:space="0" w:color="auto"/>
              <w:bottom w:val="nil"/>
              <w:right w:val="nil"/>
            </w:tcBorders>
            <w:shd w:val="clear" w:color="auto" w:fill="auto"/>
            <w:vAlign w:val="center"/>
          </w:tcPr>
          <w:p>
            <w:pPr>
              <w:pStyle w:val="3226"/>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事业单位经营收入</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pStyle w:val="3225"/>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上级补助收入</w:t>
            </w:r>
          </w:p>
        </w:tc>
        <w:tc>
          <w:tcPr>
            <w:tcW w:w="108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224"/>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附属单位上缴收入</w:t>
            </w:r>
          </w:p>
        </w:tc>
        <w:tc>
          <w:tcPr>
            <w:tcW w:w="120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223"/>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其他收入</w:t>
            </w:r>
          </w:p>
        </w:tc>
        <w:tc>
          <w:tcPr>
            <w:tcW w:w="12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pPr>
              <w:pStyle w:val="3222"/>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使用非财政拨款结余</w:t>
            </w:r>
          </w:p>
        </w:tc>
      </w:tr>
      <w:tr>
        <w:trPr>
          <w:trHeight w:val="480"/>
        </w:trPr>
        <w:tc>
          <w:tcPr>
            <w:tcW w:w="1216" w:type="dxa"/>
            <w:vMerge/>
            <w:tcBorders>
              <w:top w:val="nil"/>
              <w:left w:val="single" w:sz="4" w:space="0" w:color="auto"/>
              <w:bottom w:val="single" w:sz="4" w:space="0" w:color="auto"/>
              <w:right w:val="single" w:sz="4" w:space="0" w:color="auto"/>
            </w:tcBorders>
            <w:vAlign w:val="center"/>
          </w:tcPr>
          <w:p/>
        </w:tc>
        <w:tc>
          <w:tcPr>
            <w:tcW w:w="1360" w:type="dxa"/>
            <w:vMerge/>
            <w:tcBorders>
              <w:top w:val="nil"/>
              <w:left w:val="single" w:sz="4" w:space="0" w:color="auto"/>
              <w:bottom w:val="nil"/>
              <w:right w:val="single" w:sz="4" w:space="0" w:color="auto"/>
            </w:tcBorders>
            <w:vAlign w:val="center"/>
          </w:tcPr>
          <w:p/>
        </w:tc>
        <w:tc>
          <w:tcPr>
            <w:tcW w:w="122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880" w:type="dxa"/>
            <w:vMerge/>
            <w:tcBorders>
              <w:top w:val="nil"/>
              <w:left w:val="single" w:sz="4" w:space="0" w:color="auto"/>
              <w:bottom w:val="single" w:sz="4" w:space="0" w:color="auto"/>
              <w:right w:val="single" w:sz="4" w:space="0" w:color="auto"/>
            </w:tcBorders>
            <w:vAlign w:val="center"/>
          </w:tcPr>
          <w:p/>
        </w:tc>
        <w:tc>
          <w:tcPr>
            <w:tcW w:w="1116" w:type="dxa"/>
            <w:tcBorders>
              <w:top w:val="single" w:sz="4" w:space="0" w:color="auto"/>
              <w:left w:val="nil"/>
              <w:bottom w:val="single" w:sz="4" w:space="0" w:color="auto"/>
              <w:right w:val="single" w:sz="4" w:space="0" w:color="auto"/>
            </w:tcBorders>
            <w:shd w:val="clear" w:color="auto" w:fill="auto"/>
            <w:vAlign w:val="center"/>
          </w:tcPr>
          <w:p>
            <w:pPr>
              <w:pStyle w:val="3221"/>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金额</w:t>
            </w:r>
          </w:p>
        </w:tc>
        <w:tc>
          <w:tcPr>
            <w:tcW w:w="1120" w:type="dxa"/>
            <w:tcBorders>
              <w:top w:val="single" w:sz="4" w:space="0" w:color="auto"/>
              <w:left w:val="nil"/>
              <w:bottom w:val="single" w:sz="4" w:space="0" w:color="auto"/>
              <w:right w:val="single" w:sz="4" w:space="0" w:color="auto"/>
            </w:tcBorders>
            <w:shd w:val="clear" w:color="auto" w:fill="auto"/>
            <w:vAlign w:val="center"/>
          </w:tcPr>
          <w:p>
            <w:pPr>
              <w:pStyle w:val="3220"/>
              <w:widowControl/>
              <w:jc w:val="center"/>
              <w:rPr>
                <w:rFonts w:ascii="Times New Roman" w:eastAsia="宋体" w:cs="宋体" w:hAnsi="Times New Roman"/>
                <w:kern w:val="0"/>
                <w:sz w:val="20"/>
                <w:szCs w:val="20"/>
              </w:rPr>
            </w:pPr>
            <w:r>
              <w:rPr>
                <w:rFonts w:ascii="Times New Roman" w:eastAsia="宋体" w:cs="宋体" w:hAnsi="Times New Roman" w:hint="eastAsia"/>
                <w:kern w:val="0"/>
                <w:sz w:val="20"/>
                <w:szCs w:val="20"/>
              </w:rPr>
              <w:t>其中</w:t>
            </w:r>
            <w:r>
              <w:rPr>
                <w:rFonts w:ascii="Times New Roman" w:eastAsia="宋体" w:cs="宋体" w:hAnsi="Times New Roman" w:hint="eastAsia"/>
                <w:kern w:val="0"/>
                <w:sz w:val="20"/>
                <w:szCs w:val="20"/>
                <w:lang w:eastAsia="zh-CN"/>
              </w:rPr>
              <w:t>：</w:t>
            </w:r>
            <w:r>
              <w:rPr>
                <w:rFonts w:ascii="Times New Roman" w:eastAsia="宋体" w:cs="宋体" w:hAnsi="Times New Roman" w:hint="eastAsia"/>
                <w:kern w:val="0"/>
                <w:sz w:val="20"/>
                <w:szCs w:val="20"/>
              </w:rPr>
              <w:t>教育收费</w:t>
            </w:r>
          </w:p>
        </w:tc>
        <w:tc>
          <w:tcPr>
            <w:tcW w:w="1139" w:type="dxa"/>
            <w:vMerge/>
            <w:tcBorders>
              <w:top w:val="single" w:sz="4" w:space="0" w:color="auto"/>
              <w:left w:val="single" w:sz="4" w:space="0" w:color="auto"/>
              <w:bottom w:val="nil"/>
              <w:right w:val="nil"/>
            </w:tcBorders>
            <w:vAlign w:val="center"/>
          </w:tcPr>
          <w:p/>
        </w:tc>
        <w:tc>
          <w:tcPr>
            <w:tcW w:w="1134" w:type="dxa"/>
            <w:vMerge/>
            <w:tcBorders>
              <w:top w:val="single" w:sz="4" w:space="0" w:color="auto"/>
              <w:left w:val="single" w:sz="4" w:space="0" w:color="auto"/>
              <w:bottom w:val="single" w:sz="4" w:space="0" w:color="000000"/>
              <w:right w:val="single" w:sz="4" w:space="0" w:color="auto"/>
            </w:tcBorders>
            <w:vAlign w:val="center"/>
          </w:tcPr>
          <w:p/>
        </w:tc>
        <w:tc>
          <w:tcPr>
            <w:tcW w:w="1087" w:type="dxa"/>
            <w:vMerge/>
            <w:tcBorders>
              <w:top w:val="single" w:sz="4" w:space="0" w:color="auto"/>
              <w:left w:val="single" w:sz="4" w:space="0" w:color="auto"/>
              <w:bottom w:val="single" w:sz="4" w:space="0" w:color="auto"/>
              <w:right w:val="single" w:sz="4" w:space="0" w:color="auto"/>
            </w:tcBorders>
            <w:vAlign w:val="center"/>
          </w:tcPr>
          <w:p/>
        </w:tc>
        <w:tc>
          <w:tcPr>
            <w:tcW w:w="1166" w:type="dxa"/>
            <w:vMerge/>
            <w:tcBorders>
              <w:top w:val="single" w:sz="4" w:space="0" w:color="auto"/>
              <w:left w:val="single" w:sz="4" w:space="0" w:color="auto"/>
              <w:bottom w:val="single" w:sz="4" w:space="0" w:color="auto"/>
              <w:right w:val="single" w:sz="4" w:space="0" w:color="auto"/>
            </w:tcBorders>
            <w:vAlign w:val="center"/>
          </w:tcPr>
          <w:p/>
        </w:tc>
        <w:tc>
          <w:tcPr>
            <w:tcW w:w="1290" w:type="dxa"/>
            <w:vMerge/>
            <w:tcBorders>
              <w:top w:val="single" w:sz="4" w:space="0" w:color="auto"/>
              <w:left w:val="single" w:sz="4" w:space="0" w:color="auto"/>
              <w:bottom w:val="single" w:sz="4" w:space="0" w:color="auto"/>
              <w:right w:val="single" w:sz="4" w:space="0" w:color="auto"/>
            </w:tcBorders>
            <w:vAlign w:val="center"/>
          </w:tcPr>
          <w:p/>
        </w:tc>
      </w:tr>
      <w:tr>
        <w:trPr>
          <w:trHeight w:val="270"/>
        </w:trPr>
        <w:tc>
          <w:tcPr>
            <w:tcW w:w="1201" w:type="dxa"/>
            <w:tcBorders>
              <w:top w:val="nil"/>
              <w:left w:val="single" w:sz="4" w:space="0" w:color="auto"/>
              <w:bottom w:val="single" w:sz="4" w:space="0" w:color="auto"/>
              <w:right w:val="single" w:sz="4" w:space="0" w:color="auto"/>
            </w:tcBorders>
            <w:shd w:val="clear" w:color="auto" w:fill="auto"/>
            <w:vAlign w:val="center"/>
          </w:tcPr>
          <w:p>
            <w:pPr>
              <w:pStyle w:val="3219"/>
              <w:widowControl/>
              <w:jc w:val="right"/>
              <w:rPr>
                <w:rFonts w:ascii="Times New Roman" w:eastAsia="宋体" w:cs="宋体" w:hAnsi="Times New Roman"/>
                <w:kern w:val="0"/>
                <w:sz w:val="20"/>
                <w:szCs w:val="20"/>
              </w:rPr>
            </w:pPr>
            <w:r>
              <w:rPr>
                <w:rFonts w:ascii="Times New Roman" w:eastAsia="宋体" w:cs="宋体" w:hAnsi="Times New Roman"/>
                <w:kern w:val="0"/>
                <w:sz w:val="20"/>
                <w:szCs w:val="20"/>
              </w:rPr>
              <w:t>1078.88</w:t>
            </w:r>
          </w:p>
        </w:tc>
        <w:tc>
          <w:tcPr>
            <w:tcW w:w="1360" w:type="dxa"/>
            <w:tcBorders>
              <w:top w:val="single" w:sz="4" w:space="0" w:color="auto"/>
              <w:left w:val="nil"/>
              <w:bottom w:val="single" w:sz="4" w:space="0" w:color="auto"/>
              <w:right w:val="single" w:sz="4" w:space="0" w:color="auto"/>
            </w:tcBorders>
            <w:shd w:val="clear" w:color="auto" w:fill="auto"/>
            <w:vAlign w:val="center"/>
          </w:tcPr>
          <w:p>
            <w:pPr>
              <w:pStyle w:val="3218"/>
              <w:widowControl/>
              <w:jc w:val="right"/>
              <w:rPr>
                <w:rFonts w:ascii="Times New Roman" w:eastAsia="宋体" w:cs="宋体" w:hAnsi="Times New Roman"/>
                <w:kern w:val="0"/>
                <w:sz w:val="20"/>
                <w:szCs w:val="20"/>
              </w:rPr>
            </w:pPr>
            <w:r>
              <w:rPr>
                <w:rFonts w:ascii="Times New Roman" w:eastAsia="宋体" w:cs="宋体" w:hAnsi="Times New Roman"/>
                <w:kern w:val="0"/>
                <w:sz w:val="20"/>
                <w:szCs w:val="20"/>
              </w:rPr>
              <w:t>83.88</w:t>
            </w:r>
          </w:p>
        </w:tc>
        <w:tc>
          <w:tcPr>
            <w:tcW w:w="1201" w:type="dxa"/>
            <w:tcBorders>
              <w:top w:val="nil"/>
              <w:left w:val="nil"/>
              <w:bottom w:val="single" w:sz="4" w:space="0" w:color="auto"/>
              <w:right w:val="single" w:sz="4" w:space="0" w:color="auto"/>
            </w:tcBorders>
            <w:shd w:val="clear" w:color="auto" w:fill="auto"/>
            <w:vAlign w:val="center"/>
          </w:tcPr>
          <w:p>
            <w:pPr>
              <w:pStyle w:val="3217"/>
              <w:widowControl/>
              <w:jc w:val="right"/>
              <w:rPr>
                <w:rFonts w:ascii="Times New Roman" w:eastAsia="宋体" w:cs="宋体" w:hAnsi="Times New Roman"/>
                <w:kern w:val="0"/>
                <w:sz w:val="20"/>
                <w:szCs w:val="20"/>
              </w:rPr>
            </w:pPr>
            <w:r>
              <w:rPr>
                <w:rFonts w:ascii="Times New Roman" w:eastAsia="宋体" w:cs="宋体" w:hAnsi="Times New Roman"/>
                <w:kern w:val="0"/>
                <w:sz w:val="20"/>
                <w:szCs w:val="20"/>
              </w:rPr>
              <w:t>844.8</w:t>
            </w:r>
          </w:p>
        </w:tc>
        <w:tc>
          <w:tcPr>
            <w:tcW w:w="880" w:type="dxa"/>
            <w:tcBorders>
              <w:top w:val="nil"/>
              <w:left w:val="nil"/>
              <w:bottom w:val="single" w:sz="4" w:space="0" w:color="auto"/>
              <w:right w:val="single" w:sz="4" w:space="0" w:color="auto"/>
            </w:tcBorders>
            <w:shd w:val="clear" w:color="auto" w:fill="auto"/>
            <w:vAlign w:val="center"/>
          </w:tcPr>
          <w:p>
            <w:pPr>
              <w:pStyle w:val="3216"/>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880" w:type="dxa"/>
            <w:tcBorders>
              <w:top w:val="nil"/>
              <w:left w:val="nil"/>
              <w:bottom w:val="single" w:sz="4" w:space="0" w:color="auto"/>
              <w:right w:val="single" w:sz="4" w:space="0" w:color="auto"/>
            </w:tcBorders>
            <w:shd w:val="clear" w:color="auto" w:fill="auto"/>
            <w:vAlign w:val="center"/>
          </w:tcPr>
          <w:p>
            <w:pPr>
              <w:pStyle w:val="3215"/>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116" w:type="dxa"/>
            <w:tcBorders>
              <w:top w:val="nil"/>
              <w:left w:val="nil"/>
              <w:bottom w:val="single" w:sz="4" w:space="0" w:color="auto"/>
              <w:right w:val="single" w:sz="4" w:space="0" w:color="auto"/>
            </w:tcBorders>
            <w:shd w:val="clear" w:color="auto" w:fill="auto"/>
            <w:vAlign w:val="center"/>
          </w:tcPr>
          <w:p>
            <w:pPr>
              <w:pStyle w:val="3214"/>
              <w:widowControl/>
              <w:jc w:val="right"/>
              <w:rPr>
                <w:rFonts w:ascii="Times New Roman" w:eastAsia="宋体" w:cs="宋体" w:hAnsi="Times New Roman"/>
                <w:kern w:val="0"/>
                <w:sz w:val="20"/>
                <w:szCs w:val="20"/>
              </w:rPr>
            </w:pPr>
          </w:p>
        </w:tc>
        <w:tc>
          <w:tcPr>
            <w:tcW w:w="1120" w:type="dxa"/>
            <w:tcBorders>
              <w:top w:val="single" w:sz="4" w:space="0" w:color="auto"/>
              <w:left w:val="nil"/>
              <w:bottom w:val="single" w:sz="4" w:space="0" w:color="auto"/>
              <w:right w:val="single" w:sz="4" w:space="0" w:color="auto"/>
            </w:tcBorders>
            <w:shd w:val="clear" w:color="auto" w:fill="auto"/>
            <w:vAlign w:val="center"/>
          </w:tcPr>
          <w:p>
            <w:pPr>
              <w:pStyle w:val="3213"/>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139" w:type="dxa"/>
            <w:tcBorders>
              <w:top w:val="single" w:sz="4" w:space="0" w:color="auto"/>
              <w:left w:val="nil"/>
              <w:bottom w:val="single" w:sz="4" w:space="0" w:color="auto"/>
              <w:right w:val="single" w:sz="4" w:space="0" w:color="auto"/>
            </w:tcBorders>
            <w:shd w:val="clear" w:color="auto" w:fill="auto"/>
            <w:vAlign w:val="center"/>
          </w:tcPr>
          <w:p>
            <w:pPr>
              <w:pStyle w:val="3212"/>
              <w:widowControl/>
              <w:jc w:val="right"/>
              <w:rPr>
                <w:rFonts w:ascii="Times New Roman" w:eastAsia="宋体" w:cs="宋体" w:hAnsi="Times New Roman"/>
                <w:kern w:val="0"/>
                <w:sz w:val="20"/>
                <w:szCs w:val="20"/>
              </w:rPr>
            </w:pPr>
          </w:p>
        </w:tc>
        <w:tc>
          <w:tcPr>
            <w:tcW w:w="1134" w:type="dxa"/>
            <w:tcBorders>
              <w:top w:val="single" w:sz="4" w:space="0" w:color="auto"/>
              <w:left w:val="nil"/>
              <w:bottom w:val="single" w:sz="4" w:space="0" w:color="auto"/>
              <w:right w:val="single" w:sz="4" w:space="0" w:color="auto"/>
            </w:tcBorders>
            <w:shd w:val="clear" w:color="auto" w:fill="auto"/>
            <w:vAlign w:val="center"/>
          </w:tcPr>
          <w:p>
            <w:pPr>
              <w:pStyle w:val="3211"/>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087" w:type="dxa"/>
            <w:tcBorders>
              <w:top w:val="nil"/>
              <w:left w:val="nil"/>
              <w:bottom w:val="single" w:sz="4" w:space="0" w:color="auto"/>
              <w:right w:val="single" w:sz="4" w:space="0" w:color="auto"/>
            </w:tcBorders>
            <w:shd w:val="clear" w:color="auto" w:fill="auto"/>
            <w:vAlign w:val="center"/>
          </w:tcPr>
          <w:p>
            <w:pPr>
              <w:pStyle w:val="3210"/>
              <w:widowControl/>
              <w:jc w:val="right"/>
              <w:rPr>
                <w:rFonts w:ascii="Times New Roman" w:eastAsia="宋体" w:cs="宋体" w:hAnsi="Times New Roman"/>
                <w:kern w:val="0"/>
                <w:sz w:val="20"/>
                <w:szCs w:val="20"/>
              </w:rPr>
            </w:pPr>
            <w:r>
              <w:rPr>
                <w:rFonts w:ascii="Times New Roman" w:eastAsia="宋体" w:cs="宋体" w:hAnsi="Times New Roman" w:hint="eastAsia"/>
                <w:kern w:val="0"/>
                <w:sz w:val="20"/>
                <w:szCs w:val="20"/>
              </w:rPr>
              <w:t>　</w:t>
            </w:r>
          </w:p>
        </w:tc>
        <w:tc>
          <w:tcPr>
            <w:tcW w:w="1201" w:type="dxa"/>
            <w:tcBorders>
              <w:top w:val="nil"/>
              <w:left w:val="nil"/>
              <w:bottom w:val="single" w:sz="4" w:space="0" w:color="auto"/>
              <w:right w:val="single" w:sz="4" w:space="0" w:color="auto"/>
            </w:tcBorders>
            <w:shd w:val="clear" w:color="auto" w:fill="auto"/>
            <w:vAlign w:val="center"/>
          </w:tcPr>
          <w:p>
            <w:pPr>
              <w:pStyle w:val="3209"/>
              <w:widowControl/>
              <w:jc w:val="right"/>
              <w:rPr>
                <w:rFonts w:ascii="Times New Roman" w:eastAsia="宋体" w:cs="宋体" w:hAnsi="Times New Roman"/>
                <w:kern w:val="0"/>
                <w:sz w:val="20"/>
                <w:szCs w:val="20"/>
              </w:rPr>
            </w:pPr>
            <w:r>
              <w:rPr>
                <w:rFonts w:ascii="Times New Roman" w:eastAsia="宋体" w:cs="宋体" w:hAnsi="Times New Roman"/>
                <w:kern w:val="0"/>
                <w:sz w:val="20"/>
                <w:szCs w:val="20"/>
              </w:rPr>
              <w:t>150.20</w:t>
            </w:r>
          </w:p>
        </w:tc>
        <w:tc>
          <w:tcPr>
            <w:tcW w:w="1290" w:type="dxa"/>
            <w:tcBorders>
              <w:top w:val="nil"/>
              <w:left w:val="nil"/>
              <w:bottom w:val="single" w:sz="4" w:space="0" w:color="auto"/>
              <w:right w:val="single" w:sz="4" w:space="0" w:color="auto"/>
            </w:tcBorders>
            <w:shd w:val="clear" w:color="auto" w:fill="auto"/>
            <w:vAlign w:val="center"/>
          </w:tcPr>
          <w:p>
            <w:pPr>
              <w:pStyle w:val="3208"/>
              <w:widowControl/>
              <w:jc w:val="right"/>
              <w:rPr>
                <w:rFonts w:ascii="Times New Roman" w:eastAsia="宋体" w:cs="宋体" w:hAnsi="Times New Roman"/>
                <w:kern w:val="0"/>
                <w:sz w:val="20"/>
                <w:szCs w:val="20"/>
              </w:rPr>
            </w:pPr>
          </w:p>
        </w:tc>
      </w:tr>
    </w:tbl>
    <w:p>
      <w:pPr>
        <w:pStyle w:val="2288"/>
        <w:rPr>
          <w:rFonts w:ascii="Times New Roman" w:eastAsia="宋体" w:hAnsi="Times New Roman"/>
          <w:highlight w:val="auto"/>
        </w:rPr>
        <w:sectPr>
          <w:pgSz w:w="16840" w:h="11907"/>
          <w:pgMar w:top="397" w:right="720" w:bottom="397" w:left="720" w:header="0" w:footer="0" w:gutter="0"/>
          <w:pgNumType/>
          <w:docGrid w:linePitch="285" w:charSpace="0"/>
        </w:sectPr>
      </w:pPr>
    </w:p>
    <w:p>
      <w:pPr>
        <w:jc w:val="right"/>
        <w:rPr>
          <w:rFonts w:ascii="黑体" w:eastAsia="黑体" w:cs="黑体"/>
          <w:sz w:val="20"/>
          <w:szCs w:val="20"/>
          <w:lang w:bidi="ar-SA"/>
          <w:highlight w:val="auto"/>
        </w:rPr>
      </w:pPr>
    </w:p>
    <w:p>
      <w:pPr>
        <w:jc w:val="right"/>
        <w:rPr>
          <w:rFonts w:ascii="黑体" w:eastAsia="黑体" w:cs="黑体"/>
          <w:sz w:val="20"/>
          <w:szCs w:val="20"/>
          <w:lang w:bidi="ar-SA"/>
          <w:highlight w:val="auto"/>
        </w:rPr>
      </w:pPr>
    </w:p>
    <w:p>
      <w:pPr>
        <w:jc w:val="right"/>
        <w:rPr>
          <w:rFonts w:ascii="方正黑体_GBK" w:eastAsia="方正黑体_GBK" w:cs="方正黑体_GBK" w:hint="eastAsia"/>
          <w:sz w:val="20"/>
          <w:szCs w:val="20"/>
          <w:lang w:bidi="ar-SA"/>
          <w:highlight w:val="auto"/>
        </w:rPr>
      </w:pPr>
      <w:r>
        <w:rPr>
          <w:rFonts w:ascii="黑体" w:eastAsia="黑体" w:cs="黑体" w:hint="eastAsia"/>
          <w:sz w:val="20"/>
          <w:szCs w:val="20"/>
          <w:lang w:bidi="ar-SA"/>
          <w:highlight w:val="auto"/>
        </w:rPr>
        <w:t>部门公开表3</w:t>
      </w:r>
    </w:p>
    <w:p>
      <w:pPr>
        <w:jc w:val="center"/>
        <w:rPr>
          <w:rFonts w:cs="Microsoft JhengHei" w:hint="eastAsia"/>
          <w:sz w:val="36"/>
          <w:szCs w:val="36"/>
          <w:lang w:bidi="ar-SA"/>
          <w:highlight w:val="auto"/>
        </w:rPr>
      </w:pPr>
      <w:r>
        <w:rPr>
          <w:rFonts w:cs="Microsoft JhengHei" w:hint="eastAsia"/>
          <w:b/>
          <w:snapToGrid w:val="0"/>
          <w:color w:val="000000"/>
          <w:sz w:val="36"/>
          <w:szCs w:val="36"/>
          <w:lang w:bidi="ar-SA"/>
          <w:highlight w:val="auto"/>
        </w:rPr>
        <w:t>部门支出总表</w:t>
      </w:r>
    </w:p>
    <w:p>
      <w:pPr>
        <w:pStyle w:val="2307"/>
        <w:spacing w:before="49" w:line="180" w:lineRule="auto"/>
        <w:ind w:firstLine="9999"/>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2"/>
          <w:sz w:val="20"/>
          <w:szCs w:val="20"/>
          <w:lang w:bidi="ar-SA"/>
          <w:highlight w:val="auto"/>
        </w:rPr>
        <w:t>单位：万元</w:t>
      </w:r>
    </w:p>
    <w:p>
      <w:pPr>
        <w:pStyle w:val="2307"/>
        <w:spacing w:line="125" w:lineRule="auto"/>
        <w:rPr>
          <w:rFonts w:ascii="Times New Roman" w:eastAsia="宋体" w:hAnsi="Times New Roman"/>
          <w:sz w:val="2"/>
          <w:highlight w:val="auto"/>
        </w:rPr>
      </w:pPr>
    </w:p>
    <w:tbl>
      <w:tblPr>
        <w:jc w:val="center"/>
        <w:tblW w:w="10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60"/>
        <w:gridCol w:w="1016"/>
      </w:tblGrid>
      <w:tr>
        <w:trPr>
          <w:trHeight w:val="895"/>
        </w:trPr>
        <w:tc>
          <w:tcPr>
            <w:tcW w:w="1221" w:type="dxa"/>
            <w:tcBorders>
              <w:tl2br w:val="nil"/>
              <w:tr2bl w:val="nil"/>
            </w:tcBorders>
            <w:vAlign w:val="center"/>
          </w:tcPr>
          <w:p>
            <w:pPr>
              <w:pStyle w:val="2307"/>
              <w:spacing w:before="87" w:line="180" w:lineRule="auto"/>
              <w:ind w:firstLine="212"/>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科目代码</w:t>
            </w:r>
          </w:p>
        </w:tc>
        <w:tc>
          <w:tcPr>
            <w:tcW w:w="3091" w:type="dxa"/>
            <w:tcBorders>
              <w:tl2br w:val="nil"/>
              <w:tr2bl w:val="nil"/>
            </w:tcBorders>
            <w:vAlign w:val="center"/>
          </w:tcPr>
          <w:p>
            <w:pPr>
              <w:pStyle w:val="2307"/>
              <w:spacing w:before="87" w:line="180" w:lineRule="auto"/>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科目名称</w:t>
            </w:r>
          </w:p>
        </w:tc>
        <w:tc>
          <w:tcPr>
            <w:tcW w:w="1271" w:type="dxa"/>
            <w:tcBorders>
              <w:tl2br w:val="nil"/>
              <w:tr2bl w:val="nil"/>
            </w:tcBorders>
            <w:vAlign w:val="center"/>
          </w:tcPr>
          <w:p>
            <w:pPr>
              <w:pStyle w:val="2307"/>
              <w:spacing w:before="87" w:line="180" w:lineRule="auto"/>
              <w:ind w:firstLine="337"/>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合计</w:t>
            </w:r>
          </w:p>
        </w:tc>
        <w:tc>
          <w:tcPr>
            <w:tcW w:w="1334" w:type="dxa"/>
            <w:tcBorders>
              <w:tl2br w:val="nil"/>
              <w:tr2bl w:val="nil"/>
            </w:tcBorders>
            <w:vAlign w:val="center"/>
          </w:tcPr>
          <w:p>
            <w:pPr>
              <w:pStyle w:val="2307"/>
              <w:spacing w:before="87" w:line="180" w:lineRule="auto"/>
              <w:ind w:firstLine="267"/>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基本支出</w:t>
            </w:r>
          </w:p>
        </w:tc>
        <w:tc>
          <w:tcPr>
            <w:tcW w:w="1184" w:type="dxa"/>
            <w:tcBorders>
              <w:tl2br w:val="nil"/>
              <w:tr2bl w:val="nil"/>
            </w:tcBorders>
            <w:vAlign w:val="center"/>
          </w:tcPr>
          <w:p>
            <w:pPr>
              <w:pStyle w:val="2307"/>
              <w:spacing w:before="87" w:line="180" w:lineRule="auto"/>
              <w:ind w:firstLine="195"/>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项目支出</w:t>
            </w:r>
          </w:p>
        </w:tc>
        <w:tc>
          <w:tcPr>
            <w:tcW w:w="916" w:type="dxa"/>
            <w:tcBorders>
              <w:tl2br w:val="nil"/>
              <w:tr2bl w:val="nil"/>
            </w:tcBorders>
            <w:vAlign w:val="center"/>
          </w:tcPr>
          <w:p>
            <w:pPr>
              <w:pStyle w:val="2307"/>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上缴上级支出</w:t>
            </w:r>
          </w:p>
        </w:tc>
        <w:tc>
          <w:tcPr>
            <w:tcW w:w="960" w:type="dxa"/>
            <w:tcBorders>
              <w:tl2br w:val="nil"/>
              <w:tr2bl w:val="nil"/>
            </w:tcBorders>
            <w:vAlign w:val="center"/>
          </w:tcPr>
          <w:p>
            <w:pPr>
              <w:pStyle w:val="2307"/>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事业单位经营支出</w:t>
            </w:r>
          </w:p>
        </w:tc>
        <w:tc>
          <w:tcPr>
            <w:tcW w:w="1016" w:type="dxa"/>
            <w:tcBorders>
              <w:tl2br w:val="nil"/>
              <w:tr2bl w:val="nil"/>
            </w:tcBorders>
            <w:vAlign w:val="center"/>
          </w:tcPr>
          <w:p>
            <w:pPr>
              <w:pStyle w:val="2307"/>
              <w:jc w:val="center"/>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对附属单位补助支出</w:t>
            </w: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201</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一般公共服务支出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906.86</w:t>
            </w:r>
          </w:p>
        </w:tc>
        <w:tc>
          <w:tcPr>
            <w:tcW w:w="1334" w:type="dxa"/>
            <w:tcBorders>
              <w:tl2br w:val="nil"/>
              <w:tr2bl w:val="nil"/>
            </w:tcBorders>
            <w:vAlign w:val="center"/>
          </w:tcPr>
          <w:p>
            <w:pPr>
              <w:pStyle w:val="2307"/>
              <w:jc w:val="right"/>
              <w:rPr>
                <w:rFonts w:ascii="Times New Roman" w:eastAsia="宋体" w:cs="Times New Roman" w:hAnsi="Times New Roman"/>
                <w:b/>
                <w:bCs/>
                <w:sz w:val="20"/>
                <w:szCs w:val="20"/>
                <w:lang w:bidi="ar-SA"/>
                <w:highlight w:val="auto"/>
              </w:rPr>
            </w:pPr>
            <w:r>
              <w:rPr>
                <w:rFonts w:ascii="Times New Roman" w:eastAsia="宋体" w:cs="Times New Roman" w:hAnsi="Times New Roman"/>
                <w:b/>
                <w:bCs/>
                <w:sz w:val="20"/>
                <w:szCs w:val="20"/>
                <w:lang w:bidi="ar-SA"/>
                <w:highlight w:val="auto"/>
              </w:rPr>
              <w:t>813.81</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93.05</w:t>
            </w: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20109</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海关事务</w:t>
            </w:r>
          </w:p>
        </w:tc>
        <w:tc>
          <w:tcPr>
            <w:tcW w:w="1271" w:type="dxa"/>
            <w:tcBorders>
              <w:tl2br w:val="nil"/>
              <w:tr2bl w:val="nil"/>
            </w:tcBorders>
            <w:vAlign w:val="center"/>
          </w:tcPr>
          <w:p>
            <w:pPr>
              <w:pStyle w:val="3410"/>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906.86</w:t>
            </w:r>
          </w:p>
        </w:tc>
        <w:tc>
          <w:tcPr>
            <w:tcW w:w="1334" w:type="dxa"/>
            <w:tcBorders>
              <w:tl2br w:val="nil"/>
              <w:tr2bl w:val="nil"/>
            </w:tcBorders>
            <w:vAlign w:val="center"/>
          </w:tcPr>
          <w:p>
            <w:pPr>
              <w:pStyle w:val="3411"/>
              <w:jc w:val="right"/>
              <w:rPr>
                <w:rFonts w:ascii="Times New Roman" w:eastAsia="宋体" w:cs="Times New Roman" w:hAnsi="Times New Roman"/>
                <w:b/>
                <w:bCs/>
                <w:sz w:val="20"/>
                <w:szCs w:val="20"/>
                <w:lang w:bidi="ar-SA"/>
                <w:highlight w:val="auto"/>
              </w:rPr>
            </w:pPr>
            <w:r>
              <w:rPr>
                <w:rFonts w:ascii="Times New Roman" w:eastAsia="宋体" w:cs="Times New Roman" w:hAnsi="Times New Roman"/>
                <w:b/>
                <w:bCs/>
                <w:sz w:val="20"/>
                <w:szCs w:val="20"/>
                <w:lang w:bidi="ar-SA"/>
                <w:highlight w:val="auto"/>
              </w:rPr>
              <w:t>813.81</w:t>
            </w:r>
          </w:p>
        </w:tc>
        <w:tc>
          <w:tcPr>
            <w:tcW w:w="1184" w:type="dxa"/>
            <w:tcBorders>
              <w:tl2br w:val="nil"/>
              <w:tr2bl w:val="nil"/>
            </w:tcBorders>
            <w:vAlign w:val="center"/>
          </w:tcPr>
          <w:p>
            <w:pPr>
              <w:pStyle w:val="3412"/>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93.05</w:t>
            </w: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行政运行</w:t>
            </w:r>
          </w:p>
        </w:tc>
        <w:tc>
          <w:tcPr>
            <w:tcW w:w="1271" w:type="dxa"/>
            <w:tcBorders>
              <w:tl2br w:val="nil"/>
              <w:tr2bl w:val="nil"/>
            </w:tcBorders>
            <w:vAlign w:val="center"/>
          </w:tcPr>
          <w:p>
            <w:pPr>
              <w:pStyle w:val="31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906.86</w:t>
            </w: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813.81</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一般行政管理事务</w:t>
            </w:r>
          </w:p>
        </w:tc>
        <w:tc>
          <w:tcPr>
            <w:tcW w:w="1271" w:type="dxa"/>
            <w:tcBorders>
              <w:tl2br w:val="nil"/>
              <w:tr2bl w:val="nil"/>
            </w:tcBorders>
            <w:vAlign w:val="center"/>
          </w:tcPr>
          <w:p>
            <w:pPr>
              <w:pStyle w:val="3123"/>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2010903</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机关服务</w:t>
            </w:r>
          </w:p>
        </w:tc>
        <w:tc>
          <w:tcPr>
            <w:tcW w:w="1271" w:type="dxa"/>
            <w:tcBorders>
              <w:tl2br w:val="nil"/>
              <w:tr2bl w:val="nil"/>
            </w:tcBorders>
            <w:vAlign w:val="center"/>
          </w:tcPr>
          <w:p>
            <w:pPr>
              <w:pStyle w:val="2307"/>
              <w:jc w:val="right"/>
              <w:rPr>
                <w:rFonts w:ascii="Times New Roman" w:eastAsia="宋体" w:cs="Times New Roman" w:hAnsi="Times New Roman"/>
                <w:i/>
                <w:iCs/>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2010905</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缉私办案</w:t>
            </w:r>
          </w:p>
        </w:tc>
        <w:tc>
          <w:tcPr>
            <w:tcW w:w="1271" w:type="dxa"/>
            <w:tcBorders>
              <w:tl2br w:val="nil"/>
              <w:tr2bl w:val="nil"/>
            </w:tcBorders>
            <w:vAlign w:val="center"/>
          </w:tcPr>
          <w:p>
            <w:pPr>
              <w:pStyle w:val="3306"/>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2010907</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口岸管理</w:t>
            </w:r>
          </w:p>
        </w:tc>
        <w:tc>
          <w:tcPr>
            <w:tcW w:w="1271" w:type="dxa"/>
            <w:tcBorders>
              <w:tl2br w:val="nil"/>
              <w:tr2bl w:val="nil"/>
            </w:tcBorders>
            <w:vAlign w:val="center"/>
          </w:tcPr>
          <w:p>
            <w:pPr>
              <w:pStyle w:val="3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2010908</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信息化建设</w:t>
            </w:r>
          </w:p>
        </w:tc>
        <w:tc>
          <w:tcPr>
            <w:tcW w:w="1271" w:type="dxa"/>
            <w:tcBorders>
              <w:tl2br w:val="nil"/>
              <w:tr2bl w:val="nil"/>
            </w:tcBorders>
            <w:vAlign w:val="center"/>
          </w:tcPr>
          <w:p>
            <w:pPr>
              <w:pStyle w:val="3308"/>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2010909</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海关关务</w:t>
            </w:r>
          </w:p>
        </w:tc>
        <w:tc>
          <w:tcPr>
            <w:tcW w:w="1271" w:type="dxa"/>
            <w:tcBorders>
              <w:tl2br w:val="nil"/>
              <w:tr2bl w:val="nil"/>
            </w:tcBorders>
            <w:vAlign w:val="center"/>
          </w:tcPr>
          <w:p>
            <w:pPr>
              <w:pStyle w:val="3309"/>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85.45</w:t>
            </w: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85.45</w:t>
            </w: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2010910</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关税征管</w:t>
            </w:r>
          </w:p>
        </w:tc>
        <w:tc>
          <w:tcPr>
            <w:tcW w:w="1271" w:type="dxa"/>
            <w:tcBorders>
              <w:tl2br w:val="nil"/>
              <w:tr2bl w:val="nil"/>
            </w:tcBorders>
            <w:vAlign w:val="center"/>
          </w:tcPr>
          <w:p>
            <w:pPr>
              <w:pStyle w:val="3310"/>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2010911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海关监管</w:t>
            </w:r>
          </w:p>
        </w:tc>
        <w:tc>
          <w:tcPr>
            <w:tcW w:w="1271" w:type="dxa"/>
            <w:tcBorders>
              <w:tl2br w:val="nil"/>
              <w:tr2bl w:val="nil"/>
            </w:tcBorders>
            <w:vAlign w:val="center"/>
          </w:tcPr>
          <w:p>
            <w:pPr>
              <w:pStyle w:val="3311"/>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2010912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检验检疫</w:t>
            </w:r>
          </w:p>
        </w:tc>
        <w:tc>
          <w:tcPr>
            <w:tcW w:w="1271" w:type="dxa"/>
            <w:tcBorders>
              <w:tl2br w:val="nil"/>
              <w:tr2bl w:val="nil"/>
            </w:tcBorders>
            <w:vAlign w:val="center"/>
          </w:tcPr>
          <w:p>
            <w:pPr>
              <w:pStyle w:val="3312"/>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7.6</w:t>
            </w: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7.6</w:t>
            </w: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2010950</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事业运行</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2010999</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其他海关事务支出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20111</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纪检监察事务</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2011105</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派驻派出机构</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202</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外交支出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20204</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国际组织</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2020401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国际组织会费</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2020402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国际组织捐赠</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20299</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其他外交支出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2029999</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其他外交支出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204</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公共安全支出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20410</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缉私警察</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2041001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行政运行</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2041002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一般行政管理事务</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2041006</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信息化建设</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2041007</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缉私业务</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2041099</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其他缉私警察支出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205</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教育支出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20502</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普通教育</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2050205</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高等教育</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208</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社会保障和就业支出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70.84</w:t>
            </w:r>
          </w:p>
        </w:tc>
        <w:tc>
          <w:tcPr>
            <w:tcW w:w="1334" w:type="dxa"/>
            <w:tcBorders>
              <w:tl2br w:val="nil"/>
              <w:tr2bl w:val="nil"/>
            </w:tcBorders>
            <w:vAlign w:val="center"/>
          </w:tcPr>
          <w:p>
            <w:pPr>
              <w:pStyle w:val="3313"/>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70.84</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20805</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行政事业单位养老支出</w:t>
            </w:r>
          </w:p>
        </w:tc>
        <w:tc>
          <w:tcPr>
            <w:tcW w:w="1271" w:type="dxa"/>
            <w:tcBorders>
              <w:tl2br w:val="nil"/>
              <w:tr2bl w:val="nil"/>
            </w:tcBorders>
            <w:vAlign w:val="center"/>
          </w:tcPr>
          <w:p>
            <w:pPr>
              <w:pStyle w:val="312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70.84</w:t>
            </w:r>
          </w:p>
        </w:tc>
        <w:tc>
          <w:tcPr>
            <w:tcW w:w="1334" w:type="dxa"/>
            <w:tcBorders>
              <w:tl2br w:val="nil"/>
              <w:tr2bl w:val="nil"/>
            </w:tcBorders>
            <w:vAlign w:val="center"/>
          </w:tcPr>
          <w:p>
            <w:pPr>
              <w:pStyle w:val="3314"/>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70.84</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2080501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行政单位离退休</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4.63</w:t>
            </w:r>
          </w:p>
        </w:tc>
        <w:tc>
          <w:tcPr>
            <w:tcW w:w="1334" w:type="dxa"/>
            <w:tcBorders>
              <w:tl2br w:val="nil"/>
              <w:tr2bl w:val="nil"/>
            </w:tcBorders>
            <w:vAlign w:val="center"/>
          </w:tcPr>
          <w:p>
            <w:pPr>
              <w:pStyle w:val="331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4.63</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2080502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事业单位离退休</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3316"/>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6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2080503</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离退休人员管理机构</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331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2080505</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16"/>
                <w:szCs w:val="16"/>
                <w:highlight w:val="auto"/>
              </w:rPr>
              <w:t>机关事业单位基本养老保险缴费支出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41.05</w:t>
            </w:r>
          </w:p>
        </w:tc>
        <w:tc>
          <w:tcPr>
            <w:tcW w:w="1334" w:type="dxa"/>
            <w:tcBorders>
              <w:tl2br w:val="nil"/>
              <w:tr2bl w:val="nil"/>
            </w:tcBorders>
            <w:vAlign w:val="center"/>
          </w:tcPr>
          <w:p>
            <w:pPr>
              <w:pStyle w:val="3318"/>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41.05</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2080506</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18"/>
                <w:szCs w:val="18"/>
                <w:highlight w:val="auto"/>
              </w:rPr>
              <w:t>机关事业单位职业年金缴费支出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25.16</w:t>
            </w:r>
          </w:p>
        </w:tc>
        <w:tc>
          <w:tcPr>
            <w:tcW w:w="1334" w:type="dxa"/>
            <w:tcBorders>
              <w:tl2br w:val="nil"/>
              <w:tr2bl w:val="nil"/>
            </w:tcBorders>
            <w:vAlign w:val="center"/>
          </w:tcPr>
          <w:p>
            <w:pPr>
              <w:pStyle w:val="3319"/>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25.16</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bl>
    <w:p>
      <w:pPr>
        <w:pStyle w:val="2307"/>
        <w:rPr>
          <w:rFonts w:ascii="Times New Roman" w:eastAsia="宋体" w:hAnsi="Times New Roman"/>
          <w:highlight w:val="auto"/>
        </w:rPr>
      </w:pPr>
    </w:p>
    <w:p>
      <w:pPr>
        <w:pStyle w:val="2307"/>
        <w:rPr>
          <w:rFonts w:ascii="Times New Roman" w:eastAsia="宋体" w:hAnsi="Times New Roman"/>
          <w:highlight w:val="auto"/>
        </w:rPr>
        <w:sectPr>
          <w:pgSz w:w="11907" w:h="16841"/>
          <w:pgMar w:top="1431" w:right="451" w:bottom="0" w:left="451" w:header="0" w:footer="0" w:gutter="0"/>
          <w:pgNumType/>
          <w:docGrid w:linePitch="285" w:charSpace="0"/>
        </w:sectPr>
      </w:pPr>
    </w:p>
    <w:p>
      <w:pPr>
        <w:pStyle w:val="2307"/>
        <w:spacing w:line="89" w:lineRule="auto"/>
        <w:rPr>
          <w:rFonts w:ascii="Times New Roman" w:eastAsia="宋体" w:hAnsi="Times New Roman"/>
          <w:sz w:val="2"/>
          <w:highlight w:val="auto"/>
        </w:rPr>
      </w:pPr>
    </w:p>
    <w:tbl>
      <w:tblPr>
        <w:jc w:val="center"/>
        <w:tblW w:w="11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271"/>
        <w:gridCol w:w="1334"/>
        <w:gridCol w:w="1184"/>
        <w:gridCol w:w="916"/>
        <w:gridCol w:w="970"/>
        <w:gridCol w:w="1038"/>
      </w:tblGrid>
      <w:tr>
        <w:trPr>
          <w:trHeight w:val="892"/>
        </w:trPr>
        <w:tc>
          <w:tcPr>
            <w:tcW w:w="1221" w:type="dxa"/>
            <w:tcBorders>
              <w:tl2br w:val="nil"/>
              <w:tr2bl w:val="nil"/>
            </w:tcBorders>
            <w:vAlign w:val="center"/>
          </w:tcPr>
          <w:p>
            <w:pPr>
              <w:pStyle w:val="2307"/>
              <w:spacing w:before="87" w:line="180" w:lineRule="auto"/>
              <w:ind w:firstLine="212"/>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科目代码</w:t>
            </w:r>
          </w:p>
        </w:tc>
        <w:tc>
          <w:tcPr>
            <w:tcW w:w="3091" w:type="dxa"/>
            <w:tcBorders>
              <w:tl2br w:val="nil"/>
              <w:tr2bl w:val="nil"/>
            </w:tcBorders>
            <w:vAlign w:val="center"/>
          </w:tcPr>
          <w:p>
            <w:pPr>
              <w:pStyle w:val="2307"/>
              <w:spacing w:before="87" w:line="180" w:lineRule="auto"/>
              <w:jc w:val="center"/>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科目名称</w:t>
            </w:r>
          </w:p>
        </w:tc>
        <w:tc>
          <w:tcPr>
            <w:tcW w:w="1271" w:type="dxa"/>
            <w:tcBorders>
              <w:tl2br w:val="nil"/>
              <w:tr2bl w:val="nil"/>
            </w:tcBorders>
            <w:vAlign w:val="center"/>
          </w:tcPr>
          <w:p>
            <w:pPr>
              <w:pStyle w:val="2307"/>
              <w:spacing w:before="87" w:line="180" w:lineRule="auto"/>
              <w:ind w:firstLine="337"/>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合计</w:t>
            </w:r>
          </w:p>
        </w:tc>
        <w:tc>
          <w:tcPr>
            <w:tcW w:w="1334" w:type="dxa"/>
            <w:tcBorders>
              <w:tl2br w:val="nil"/>
              <w:tr2bl w:val="nil"/>
            </w:tcBorders>
            <w:vAlign w:val="center"/>
          </w:tcPr>
          <w:p>
            <w:pPr>
              <w:pStyle w:val="2307"/>
              <w:spacing w:before="87" w:line="180" w:lineRule="auto"/>
              <w:ind w:firstLine="267"/>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基本支出</w:t>
            </w:r>
          </w:p>
        </w:tc>
        <w:tc>
          <w:tcPr>
            <w:tcW w:w="1184" w:type="dxa"/>
            <w:tcBorders>
              <w:tl2br w:val="nil"/>
              <w:tr2bl w:val="nil"/>
            </w:tcBorders>
            <w:vAlign w:val="center"/>
          </w:tcPr>
          <w:p>
            <w:pPr>
              <w:pStyle w:val="2307"/>
              <w:spacing w:before="87" w:line="180" w:lineRule="auto"/>
              <w:ind w:firstLine="195"/>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项目支出</w:t>
            </w:r>
          </w:p>
        </w:tc>
        <w:tc>
          <w:tcPr>
            <w:tcW w:w="916" w:type="dxa"/>
            <w:tcBorders>
              <w:tl2br w:val="nil"/>
              <w:tr2bl w:val="nil"/>
            </w:tcBorders>
            <w:vAlign w:val="center"/>
          </w:tcPr>
          <w:p>
            <w:pPr>
              <w:pStyle w:val="2307"/>
              <w:jc w:val="center"/>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上缴上级支出</w:t>
            </w:r>
          </w:p>
        </w:tc>
        <w:tc>
          <w:tcPr>
            <w:tcW w:w="970" w:type="dxa"/>
            <w:tcBorders>
              <w:tl2br w:val="nil"/>
              <w:tr2bl w:val="nil"/>
            </w:tcBorders>
            <w:vAlign w:val="center"/>
          </w:tcPr>
          <w:p>
            <w:pPr>
              <w:pStyle w:val="2307"/>
              <w:jc w:val="center"/>
              <w:rPr>
                <w:rFonts w:ascii="Times New Roman" w:eastAsia="宋体" w:cs="Microsoft JhengHei" w:hAnsi="Times New Roman" w:hint="eastAsia"/>
                <w:sz w:val="20"/>
                <w:szCs w:val="20"/>
                <w:lang w:bidi="ar-SA"/>
                <w:highlight w:val="auto"/>
              </w:rPr>
            </w:pPr>
            <w:r>
              <w:rPr>
                <w:rFonts w:ascii="Times New Roman" w:eastAsia="宋体" w:hAnsi="Times New Roman" w:hint="eastAsia"/>
                <w:sz w:val="20"/>
                <w:szCs w:val="20"/>
                <w:highlight w:val="auto"/>
              </w:rPr>
              <w:t>事业单位经营支出</w:t>
            </w:r>
          </w:p>
        </w:tc>
        <w:tc>
          <w:tcPr>
            <w:tcW w:w="1038" w:type="dxa"/>
            <w:tcBorders>
              <w:tl2br w:val="nil"/>
              <w:tr2bl w:val="nil"/>
            </w:tcBorders>
            <w:vAlign w:val="center"/>
          </w:tcPr>
          <w:p>
            <w:pPr>
              <w:pStyle w:val="2307"/>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z w:val="20"/>
                <w:szCs w:val="20"/>
                <w:lang w:bidi="ar-SA"/>
                <w:highlight w:val="auto"/>
              </w:rPr>
              <w:t>对附属单位补助支出</w:t>
            </w: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18"/>
                <w:szCs w:val="18"/>
                <w:highlight w:val="auto"/>
              </w:rPr>
            </w:pPr>
            <w:r>
              <w:rPr>
                <w:rFonts w:ascii="Times New Roman" w:eastAsia="宋体" w:hAnsi="Times New Roman" w:hint="eastAsia"/>
                <w:b/>
                <w:sz w:val="18"/>
                <w:szCs w:val="18"/>
                <w:highlight w:val="auto"/>
              </w:rPr>
              <w:t>20899</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其他社会保障和就业支出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2089999</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其他社会保障和就业支出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18"/>
                <w:szCs w:val="18"/>
                <w:highlight w:val="auto"/>
              </w:rPr>
            </w:pPr>
            <w:r>
              <w:rPr>
                <w:rFonts w:ascii="Times New Roman" w:eastAsia="宋体" w:hAnsi="Times New Roman" w:hint="eastAsia"/>
                <w:b/>
                <w:sz w:val="18"/>
                <w:szCs w:val="18"/>
                <w:highlight w:val="auto"/>
              </w:rPr>
              <w:t>210</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卫生健康支出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23.21</w:t>
            </w:r>
          </w:p>
        </w:tc>
        <w:tc>
          <w:tcPr>
            <w:tcW w:w="1334" w:type="dxa"/>
            <w:tcBorders>
              <w:tl2br w:val="nil"/>
              <w:tr2bl w:val="nil"/>
            </w:tcBorders>
            <w:vAlign w:val="center"/>
          </w:tcPr>
          <w:p>
            <w:pPr>
              <w:pStyle w:val="3320"/>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23.21</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79"/>
        </w:trPr>
        <w:tc>
          <w:tcPr>
            <w:tcW w:w="1221" w:type="dxa"/>
            <w:tcBorders>
              <w:tl2br w:val="nil"/>
              <w:tr2bl w:val="nil"/>
            </w:tcBorders>
            <w:vAlign w:val="center"/>
          </w:tcPr>
          <w:p>
            <w:pPr>
              <w:pStyle w:val="2307"/>
              <w:ind w:leftChars="100" w:left="210"/>
              <w:rPr>
                <w:rFonts w:ascii="Times New Roman" w:eastAsia="宋体" w:hAnsi="Times New Roman" w:hint="eastAsia"/>
                <w:b/>
                <w:sz w:val="18"/>
                <w:szCs w:val="18"/>
                <w:highlight w:val="auto"/>
              </w:rPr>
            </w:pPr>
            <w:r>
              <w:rPr>
                <w:rFonts w:ascii="Times New Roman" w:eastAsia="宋体" w:hAnsi="Times New Roman" w:hint="eastAsia"/>
                <w:b/>
                <w:sz w:val="18"/>
                <w:szCs w:val="18"/>
                <w:highlight w:val="auto"/>
              </w:rPr>
              <w:t>21011</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行政事业单位医疗</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23.21</w:t>
            </w:r>
          </w:p>
        </w:tc>
        <w:tc>
          <w:tcPr>
            <w:tcW w:w="1334" w:type="dxa"/>
            <w:tcBorders>
              <w:tl2br w:val="nil"/>
              <w:tr2bl w:val="nil"/>
            </w:tcBorders>
            <w:vAlign w:val="center"/>
          </w:tcPr>
          <w:p>
            <w:pPr>
              <w:pStyle w:val="3321"/>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23.21</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2101101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行政单位医疗</w:t>
            </w:r>
          </w:p>
        </w:tc>
        <w:tc>
          <w:tcPr>
            <w:tcW w:w="1271" w:type="dxa"/>
            <w:tcBorders>
              <w:tl2br w:val="nil"/>
              <w:tr2bl w:val="nil"/>
            </w:tcBorders>
            <w:vAlign w:val="center"/>
          </w:tcPr>
          <w:p>
            <w:pPr>
              <w:jc w:val="right"/>
            </w:pPr>
            <w:r>
              <w:rPr>
                <w:rFonts w:ascii="Times New Roman" w:eastAsia="宋体" w:cs="Times New Roman" w:hAnsi="Times New Roman"/>
                <w:sz w:val="20"/>
                <w:szCs w:val="20"/>
                <w:lang w:bidi="ar-SA"/>
                <w:highlight w:val="auto"/>
              </w:rPr>
              <w:t>22.7</w:t>
            </w:r>
          </w:p>
        </w:tc>
        <w:tc>
          <w:tcPr>
            <w:tcW w:w="1334" w:type="dxa"/>
            <w:tcBorders>
              <w:tl2br w:val="nil"/>
              <w:tr2bl w:val="nil"/>
            </w:tcBorders>
            <w:vAlign w:val="center"/>
          </w:tcPr>
          <w:p>
            <w:pPr>
              <w:jc w:val="right"/>
            </w:pPr>
            <w:r>
              <w:rPr>
                <w:rFonts w:ascii="Times New Roman" w:eastAsia="宋体" w:cs="Times New Roman" w:hAnsi="Times New Roman"/>
                <w:sz w:val="20"/>
                <w:szCs w:val="20"/>
                <w:lang w:bidi="ar-SA"/>
                <w:highlight w:val="auto"/>
              </w:rPr>
              <w:t>22.7</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9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2101102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事业单位医疗</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3322"/>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2101103</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公务员医疗补助</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3323"/>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79"/>
        </w:trPr>
        <w:tc>
          <w:tcPr>
            <w:tcW w:w="1221" w:type="dxa"/>
            <w:tcBorders>
              <w:tl2br w:val="nil"/>
              <w:tr2bl w:val="nil"/>
            </w:tcBorders>
            <w:vAlign w:val="center"/>
          </w:tcPr>
          <w:p>
            <w:pPr>
              <w:pStyle w:val="3133"/>
              <w:widowControl/>
              <w:ind w:firstLineChars="100" w:firstLine="180"/>
              <w:rPr>
                <w:rFonts w:ascii="Times New Roman" w:eastAsia="宋体" w:cs="宋体" w:hAnsi="Times New Roman"/>
                <w:color w:val="000000"/>
                <w:kern w:val="0"/>
                <w:sz w:val="18"/>
                <w:szCs w:val="18"/>
              </w:rPr>
            </w:pPr>
            <w:r>
              <w:rPr>
                <w:rFonts w:ascii="Times New Roman" w:eastAsia="宋体" w:cs="宋体" w:hAnsi="Times New Roman" w:hint="eastAsia"/>
                <w:color w:val="000000"/>
                <w:kern w:val="0"/>
                <w:sz w:val="18"/>
                <w:szCs w:val="18"/>
              </w:rPr>
              <w:t>2101199</w:t>
            </w:r>
          </w:p>
        </w:tc>
        <w:tc>
          <w:tcPr>
            <w:tcW w:w="3091" w:type="dxa"/>
            <w:tcBorders>
              <w:tl2br w:val="nil"/>
              <w:tr2bl w:val="nil"/>
            </w:tcBorders>
            <w:vAlign w:val="center"/>
          </w:tcPr>
          <w:p>
            <w:pPr>
              <w:pStyle w:val="3134"/>
              <w:widowControl/>
              <w:ind w:firstLineChars="100" w:firstLine="200"/>
              <w:rPr>
                <w:rFonts w:ascii="Times New Roman" w:eastAsia="宋体" w:cs="宋体" w:hAnsi="Times New Roman"/>
                <w:color w:val="000000"/>
                <w:kern w:val="0"/>
                <w:sz w:val="20"/>
                <w:szCs w:val="20"/>
              </w:rPr>
            </w:pPr>
            <w:r>
              <w:rPr>
                <w:rFonts w:ascii="Times New Roman" w:eastAsia="宋体" w:cs="宋体" w:hAnsi="Times New Roman" w:hint="eastAsia"/>
                <w:color w:val="000000"/>
                <w:kern w:val="0"/>
                <w:sz w:val="20"/>
                <w:szCs w:val="20"/>
              </w:rPr>
              <w:t>其他行政事业单位医疗支出</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0.51</w:t>
            </w:r>
          </w:p>
        </w:tc>
        <w:tc>
          <w:tcPr>
            <w:tcW w:w="1334" w:type="dxa"/>
            <w:tcBorders>
              <w:tl2br w:val="nil"/>
              <w:tr2bl w:val="nil"/>
            </w:tcBorders>
            <w:vAlign w:val="center"/>
          </w:tcPr>
          <w:p>
            <w:pPr>
              <w:pStyle w:val="3324"/>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0.51</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18"/>
                <w:szCs w:val="18"/>
                <w:highlight w:val="auto"/>
              </w:rPr>
            </w:pPr>
            <w:r>
              <w:rPr>
                <w:rFonts w:ascii="Times New Roman" w:eastAsia="宋体" w:hAnsi="Times New Roman" w:hint="eastAsia"/>
                <w:b/>
                <w:sz w:val="18"/>
                <w:szCs w:val="18"/>
                <w:highlight w:val="auto"/>
              </w:rPr>
              <w:t>221</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住房保障支出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77.77</w:t>
            </w:r>
          </w:p>
        </w:tc>
        <w:tc>
          <w:tcPr>
            <w:tcW w:w="1334" w:type="dxa"/>
            <w:tcBorders>
              <w:tl2br w:val="nil"/>
              <w:tr2bl w:val="nil"/>
            </w:tcBorders>
            <w:vAlign w:val="center"/>
          </w:tcPr>
          <w:p>
            <w:pPr>
              <w:pStyle w:val="3325"/>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77.77</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b/>
                <w:sz w:val="18"/>
                <w:szCs w:val="18"/>
                <w:highlight w:val="auto"/>
              </w:rPr>
            </w:pPr>
            <w:r>
              <w:rPr>
                <w:rFonts w:ascii="Times New Roman" w:eastAsia="宋体" w:hAnsi="Times New Roman" w:hint="eastAsia"/>
                <w:b/>
                <w:sz w:val="18"/>
                <w:szCs w:val="18"/>
                <w:highlight w:val="auto"/>
              </w:rPr>
              <w:t>22102</w:t>
            </w:r>
          </w:p>
        </w:tc>
        <w:tc>
          <w:tcPr>
            <w:tcW w:w="3091" w:type="dxa"/>
            <w:tcBorders>
              <w:tl2br w:val="nil"/>
              <w:tr2bl w:val="nil"/>
            </w:tcBorders>
            <w:vAlign w:val="center"/>
          </w:tcPr>
          <w:p>
            <w:pPr>
              <w:pStyle w:val="2307"/>
              <w:ind w:leftChars="100" w:left="210"/>
              <w:rPr>
                <w:rFonts w:ascii="Times New Roman" w:eastAsia="宋体" w:hAnsi="Times New Roman" w:hint="eastAsia"/>
                <w:b/>
                <w:sz w:val="20"/>
                <w:szCs w:val="20"/>
                <w:highlight w:val="auto"/>
              </w:rPr>
            </w:pPr>
            <w:r>
              <w:rPr>
                <w:rFonts w:ascii="Times New Roman" w:eastAsia="宋体" w:hAnsi="Times New Roman" w:hint="eastAsia"/>
                <w:b/>
                <w:sz w:val="20"/>
                <w:szCs w:val="20"/>
                <w:highlight w:val="auto"/>
              </w:rPr>
              <w:t>住房改革支出</w:t>
            </w:r>
          </w:p>
        </w:tc>
        <w:tc>
          <w:tcPr>
            <w:tcW w:w="1271"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77.77</w:t>
            </w:r>
          </w:p>
        </w:tc>
        <w:tc>
          <w:tcPr>
            <w:tcW w:w="1334" w:type="dxa"/>
            <w:tcBorders>
              <w:tl2br w:val="nil"/>
              <w:tr2bl w:val="nil"/>
            </w:tcBorders>
            <w:vAlign w:val="center"/>
          </w:tcPr>
          <w:p>
            <w:pPr>
              <w:pStyle w:val="3326"/>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77.77</w:t>
            </w:r>
          </w:p>
        </w:tc>
        <w:tc>
          <w:tcPr>
            <w:tcW w:w="1184"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b/>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2210201</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住房公积金</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49.2</w:t>
            </w:r>
          </w:p>
        </w:tc>
        <w:tc>
          <w:tcPr>
            <w:tcW w:w="1334" w:type="dxa"/>
            <w:tcBorders>
              <w:tl2br w:val="nil"/>
              <w:tr2bl w:val="nil"/>
            </w:tcBorders>
            <w:vAlign w:val="center"/>
          </w:tcPr>
          <w:p>
            <w:pPr>
              <w:pStyle w:val="332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49.2</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2210202</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提租补贴</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334" w:type="dxa"/>
            <w:tcBorders>
              <w:tl2br w:val="nil"/>
              <w:tr2bl w:val="nil"/>
            </w:tcBorders>
            <w:vAlign w:val="center"/>
          </w:tcPr>
          <w:p>
            <w:pPr>
              <w:pStyle w:val="3328"/>
              <w:jc w:val="right"/>
              <w:rPr>
                <w:rFonts w:ascii="Times New Roman" w:eastAsia="宋体" w:cs="Times New Roman" w:hAnsi="Times New Roman"/>
                <w:sz w:val="20"/>
                <w:szCs w:val="20"/>
                <w:lang w:bidi="ar-SA"/>
                <w:highlight w:val="auto"/>
              </w:rPr>
            </w:pP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hint="eastAsia"/>
                <w:sz w:val="18"/>
                <w:szCs w:val="18"/>
                <w:highlight w:val="auto"/>
              </w:rPr>
            </w:pPr>
            <w:r>
              <w:rPr>
                <w:rFonts w:ascii="Times New Roman" w:eastAsia="宋体" w:hAnsi="Times New Roman" w:hint="eastAsia"/>
                <w:sz w:val="18"/>
                <w:szCs w:val="18"/>
                <w:highlight w:val="auto"/>
              </w:rPr>
              <w:t>2210203</w:t>
            </w:r>
          </w:p>
        </w:tc>
        <w:tc>
          <w:tcPr>
            <w:tcW w:w="3091" w:type="dxa"/>
            <w:tcBorders>
              <w:tl2br w:val="nil"/>
              <w:tr2bl w:val="nil"/>
            </w:tcBorders>
            <w:vAlign w:val="center"/>
          </w:tcPr>
          <w:p>
            <w:pPr>
              <w:pStyle w:val="2307"/>
              <w:ind w:leftChars="100" w:left="210"/>
              <w:rPr>
                <w:rFonts w:ascii="Times New Roman" w:eastAsia="宋体" w:hAnsi="Times New Roman" w:hint="eastAsia"/>
                <w:sz w:val="20"/>
                <w:szCs w:val="20"/>
                <w:highlight w:val="auto"/>
              </w:rPr>
            </w:pPr>
            <w:r>
              <w:rPr>
                <w:rFonts w:ascii="Times New Roman" w:eastAsia="宋体" w:hAnsi="Times New Roman" w:hint="eastAsia"/>
                <w:sz w:val="20"/>
                <w:szCs w:val="20"/>
                <w:highlight w:val="auto"/>
              </w:rPr>
              <w:t>购房补贴</w:t>
            </w:r>
          </w:p>
        </w:tc>
        <w:tc>
          <w:tcPr>
            <w:tcW w:w="1271"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28.57</w:t>
            </w:r>
          </w:p>
        </w:tc>
        <w:tc>
          <w:tcPr>
            <w:tcW w:w="1334" w:type="dxa"/>
            <w:tcBorders>
              <w:tl2br w:val="nil"/>
              <w:tr2bl w:val="nil"/>
            </w:tcBorders>
            <w:vAlign w:val="center"/>
          </w:tcPr>
          <w:p>
            <w:pPr>
              <w:pStyle w:val="3329"/>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28.57</w:t>
            </w:r>
          </w:p>
        </w:tc>
        <w:tc>
          <w:tcPr>
            <w:tcW w:w="1184"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970"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c>
          <w:tcPr>
            <w:tcW w:w="1038" w:type="dxa"/>
            <w:tcBorders>
              <w:tl2br w:val="nil"/>
              <w:tr2bl w:val="nil"/>
            </w:tcBorders>
            <w:vAlign w:val="center"/>
          </w:tcPr>
          <w:p>
            <w:pPr>
              <w:pStyle w:val="2307"/>
              <w:jc w:val="right"/>
              <w:rPr>
                <w:rFonts w:ascii="Times New Roman" w:eastAsia="宋体" w:cs="Times New Roman" w:hAnsi="Times New Roman"/>
                <w:sz w:val="20"/>
                <w:szCs w:val="20"/>
                <w:lang w:bidi="ar-SA"/>
                <w:highlight w:val="auto"/>
              </w:rPr>
            </w:pPr>
          </w:p>
        </w:tc>
      </w:tr>
      <w:tr>
        <w:trPr>
          <w:trHeight w:val="280"/>
        </w:trPr>
        <w:tc>
          <w:tcPr>
            <w:tcW w:w="4312" w:type="dxa"/>
            <w:gridSpan w:val="2"/>
            <w:tcBorders>
              <w:tl2br w:val="nil"/>
              <w:tr2bl w:val="nil"/>
            </w:tcBorders>
          </w:tcPr>
          <w:p>
            <w:pPr>
              <w:pStyle w:val="2307"/>
              <w:spacing w:before="51" w:line="185" w:lineRule="auto"/>
              <w:ind w:firstLine="1858"/>
              <w:rPr>
                <w:rFonts w:ascii="Times New Roman" w:eastAsia="宋体" w:cs="宋体" w:hAnsi="Times New Roman" w:hint="eastAsia"/>
                <w:sz w:val="20"/>
                <w:szCs w:val="20"/>
                <w:lang w:bidi="ar-SA"/>
                <w:highlight w:val="auto"/>
              </w:rPr>
            </w:pPr>
            <w:r>
              <w:rPr>
                <w:rFonts w:ascii="Times New Roman" w:eastAsia="宋体" w:cs="宋体" w:hAnsi="Times New Roman" w:hint="eastAsia"/>
                <w:spacing w:val="-5"/>
                <w:sz w:val="20"/>
                <w:szCs w:val="20"/>
                <w:lang w:bidi="ar-SA"/>
                <w:highlight w:val="auto"/>
              </w:rPr>
              <w:t>合</w:t>
            </w:r>
            <w:r>
              <w:rPr>
                <w:rFonts w:ascii="Times New Roman" w:eastAsia="宋体" w:cs="宋体" w:hAnsi="Times New Roman" w:hint="eastAsia"/>
                <w:spacing w:val="5"/>
                <w:sz w:val="20"/>
                <w:szCs w:val="20"/>
                <w:lang w:bidi="ar-SA"/>
                <w:highlight w:val="auto"/>
              </w:rPr>
              <w:t xml:space="preserve">  </w:t>
            </w:r>
            <w:r>
              <w:rPr>
                <w:rFonts w:ascii="Times New Roman" w:eastAsia="宋体" w:cs="宋体" w:hAnsi="Times New Roman" w:hint="eastAsia"/>
                <w:spacing w:val="-5"/>
                <w:sz w:val="20"/>
                <w:szCs w:val="20"/>
                <w:lang w:bidi="ar-SA"/>
                <w:highlight w:val="auto"/>
              </w:rPr>
              <w:t>计</w:t>
            </w:r>
          </w:p>
        </w:tc>
        <w:tc>
          <w:tcPr>
            <w:tcW w:w="1271" w:type="dxa"/>
            <w:tcBorders>
              <w:tl2br w:val="nil"/>
              <w:tr2bl w:val="nil"/>
            </w:tcBorders>
            <w:vAlign w:val="center"/>
          </w:tcPr>
          <w:p>
            <w:pPr>
              <w:pStyle w:val="2307"/>
              <w:jc w:val="right"/>
              <w:rPr>
                <w:rFonts w:ascii="Times New Roman" w:eastAsia="宋体" w:hAnsi="Times New Roman"/>
                <w:b/>
                <w:sz w:val="20"/>
                <w:szCs w:val="20"/>
                <w:highlight w:val="auto"/>
              </w:rPr>
            </w:pPr>
            <w:r>
              <w:rPr>
                <w:rFonts w:ascii="Times New Roman" w:eastAsia="宋体" w:hAnsi="Times New Roman"/>
                <w:b/>
                <w:sz w:val="20"/>
                <w:szCs w:val="20"/>
                <w:highlight w:val="auto"/>
              </w:rPr>
              <w:t>1078.68</w:t>
            </w:r>
          </w:p>
        </w:tc>
        <w:tc>
          <w:tcPr>
            <w:tcW w:w="1334" w:type="dxa"/>
            <w:tcBorders>
              <w:tl2br w:val="nil"/>
              <w:tr2bl w:val="nil"/>
            </w:tcBorders>
            <w:vAlign w:val="center"/>
          </w:tcPr>
          <w:p>
            <w:pPr>
              <w:pStyle w:val="2307"/>
              <w:jc w:val="right"/>
              <w:rPr>
                <w:rFonts w:ascii="Times New Roman" w:eastAsia="宋体" w:hAnsi="Times New Roman"/>
                <w:b/>
                <w:sz w:val="20"/>
                <w:szCs w:val="20"/>
                <w:highlight w:val="auto"/>
              </w:rPr>
            </w:pPr>
            <w:r>
              <w:rPr>
                <w:rFonts w:ascii="Times New Roman" w:eastAsia="宋体" w:hAnsi="Times New Roman"/>
                <w:b/>
                <w:sz w:val="20"/>
                <w:szCs w:val="20"/>
                <w:highlight w:val="auto"/>
              </w:rPr>
              <w:t>985.63</w:t>
            </w:r>
          </w:p>
        </w:tc>
        <w:tc>
          <w:tcPr>
            <w:tcW w:w="1184" w:type="dxa"/>
            <w:tcBorders>
              <w:tl2br w:val="nil"/>
              <w:tr2bl w:val="nil"/>
            </w:tcBorders>
            <w:vAlign w:val="center"/>
          </w:tcPr>
          <w:p>
            <w:pPr>
              <w:pStyle w:val="3330"/>
              <w:jc w:val="right"/>
              <w:rPr>
                <w:rFonts w:ascii="Times New Roman" w:eastAsia="宋体" w:hAnsi="Times New Roman"/>
                <w:b/>
                <w:sz w:val="20"/>
                <w:szCs w:val="20"/>
                <w:highlight w:val="auto"/>
              </w:rPr>
            </w:pPr>
            <w:r>
              <w:rPr>
                <w:rFonts w:ascii="Times New Roman" w:eastAsia="宋体" w:hAnsi="Times New Roman"/>
                <w:b/>
                <w:sz w:val="20"/>
                <w:szCs w:val="20"/>
                <w:highlight w:val="auto"/>
              </w:rPr>
              <w:t>93.05</w:t>
            </w:r>
          </w:p>
        </w:tc>
        <w:tc>
          <w:tcPr>
            <w:tcW w:w="916" w:type="dxa"/>
            <w:tcBorders>
              <w:tl2br w:val="nil"/>
              <w:tr2bl w:val="nil"/>
            </w:tcBorders>
            <w:vAlign w:val="center"/>
          </w:tcPr>
          <w:p>
            <w:pPr>
              <w:pStyle w:val="2307"/>
              <w:jc w:val="right"/>
              <w:rPr>
                <w:rFonts w:ascii="Times New Roman" w:eastAsia="宋体" w:hAnsi="Times New Roman"/>
                <w:b/>
                <w:sz w:val="20"/>
                <w:szCs w:val="20"/>
                <w:highlight w:val="auto"/>
              </w:rPr>
            </w:pPr>
          </w:p>
        </w:tc>
        <w:tc>
          <w:tcPr>
            <w:tcW w:w="970" w:type="dxa"/>
            <w:tcBorders>
              <w:tl2br w:val="nil"/>
              <w:tr2bl w:val="nil"/>
            </w:tcBorders>
            <w:vAlign w:val="center"/>
          </w:tcPr>
          <w:p>
            <w:pPr>
              <w:pStyle w:val="2307"/>
              <w:jc w:val="right"/>
              <w:rPr>
                <w:rFonts w:ascii="Times New Roman" w:eastAsia="宋体" w:hAnsi="Times New Roman"/>
                <w:b/>
                <w:sz w:val="20"/>
                <w:szCs w:val="20"/>
                <w:highlight w:val="auto"/>
              </w:rPr>
            </w:pPr>
          </w:p>
        </w:tc>
        <w:tc>
          <w:tcPr>
            <w:tcW w:w="1038" w:type="dxa"/>
            <w:tcBorders>
              <w:tl2br w:val="nil"/>
              <w:tr2bl w:val="nil"/>
            </w:tcBorders>
            <w:vAlign w:val="center"/>
          </w:tcPr>
          <w:p>
            <w:pPr>
              <w:pStyle w:val="2307"/>
              <w:jc w:val="right"/>
              <w:rPr>
                <w:rFonts w:ascii="Times New Roman" w:eastAsia="宋体" w:hAnsi="Times New Roman"/>
                <w:b/>
                <w:sz w:val="20"/>
                <w:szCs w:val="20"/>
                <w:highlight w:val="auto"/>
              </w:rPr>
            </w:pPr>
          </w:p>
        </w:tc>
      </w:tr>
    </w:tbl>
    <w:p>
      <w:pPr>
        <w:pStyle w:val="2307"/>
        <w:rPr>
          <w:rFonts w:ascii="Times New Roman" w:eastAsia="宋体" w:hAnsi="Times New Roman"/>
          <w:highlight w:val="auto"/>
        </w:rPr>
      </w:pPr>
    </w:p>
    <w:p>
      <w:pPr>
        <w:pStyle w:val="2307"/>
        <w:rPr>
          <w:rFonts w:ascii="Times New Roman" w:eastAsia="宋体" w:hAnsi="Times New Roman"/>
          <w:highlight w:val="auto"/>
        </w:rPr>
        <w:sectPr>
          <w:pgSz w:w="11907" w:h="16841"/>
          <w:pgMar w:top="1431" w:right="451" w:bottom="0" w:left="451" w:header="0" w:footer="0" w:gutter="0"/>
          <w:pgNumType/>
          <w:docGrid w:linePitch="285" w:charSpace="0"/>
        </w:sectPr>
      </w:pPr>
    </w:p>
    <w:p>
      <w:pPr>
        <w:jc w:val="right"/>
        <w:rPr>
          <w:rFonts w:ascii="黑体" w:eastAsia="黑体" w:cs="黑体"/>
          <w:snapToGrid w:val="0"/>
          <w:sz w:val="20"/>
          <w:szCs w:val="20"/>
          <w:lang w:bidi="ar-SA"/>
          <w:highlight w:val="auto"/>
        </w:rPr>
      </w:pPr>
    </w:p>
    <w:p>
      <w:pPr>
        <w:jc w:val="right"/>
        <w:rPr>
          <w:rFonts w:ascii="黑体" w:eastAsia="黑体" w:cs="黑体" w:hint="eastAsia"/>
          <w:snapToGrid w:val="0"/>
          <w:sz w:val="20"/>
          <w:szCs w:val="20"/>
          <w:lang w:bidi="ar-SA"/>
          <w:highlight w:val="auto"/>
        </w:rPr>
      </w:pPr>
      <w:r>
        <w:rPr>
          <w:rFonts w:ascii="黑体" w:eastAsia="黑体" w:cs="黑体" w:hint="eastAsia"/>
          <w:snapToGrid w:val="0"/>
          <w:sz w:val="20"/>
          <w:szCs w:val="20"/>
          <w:lang w:bidi="ar-SA"/>
          <w:highlight w:val="auto"/>
        </w:rPr>
        <w:t>部门公开表 4</w:t>
      </w:r>
    </w:p>
    <w:p>
      <w:pPr>
        <w:jc w:val="center"/>
        <w:rPr>
          <w:rFonts w:cs="Microsoft JhengHei" w:hint="eastAsia"/>
          <w:sz w:val="40"/>
          <w:szCs w:val="40"/>
          <w:lang w:bidi="ar-SA"/>
          <w:highlight w:val="auto"/>
        </w:rPr>
      </w:pPr>
      <w:r>
        <w:rPr>
          <w:rFonts w:cs="Microsoft JhengHei" w:hint="eastAsia"/>
          <w:b/>
          <w:snapToGrid w:val="0"/>
          <w:color w:val="000000"/>
          <w:sz w:val="36"/>
          <w:szCs w:val="36"/>
          <w:lang w:bidi="ar-SA"/>
          <w:highlight w:val="auto"/>
        </w:rPr>
        <w:t>财政拨款收支总表</w:t>
      </w:r>
    </w:p>
    <w:p>
      <w:pPr>
        <w:pStyle w:val="2308"/>
        <w:spacing w:before="49" w:line="180" w:lineRule="auto"/>
        <w:ind w:firstLine="12990"/>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2308"/>
        <w:spacing w:line="48" w:lineRule="auto"/>
        <w:rPr>
          <w:rFonts w:ascii="Times New Roman" w:eastAsia="宋体" w:hAnsi="Times New Roman"/>
          <w:sz w:val="2"/>
          <w:highlight w:val="auto"/>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tcBorders>
              <w:tl2br w:val="nil"/>
              <w:tr2bl w:val="nil"/>
            </w:tcBorders>
            <w:vAlign w:val="center"/>
          </w:tcPr>
          <w:p>
            <w:pPr>
              <w:pStyle w:val="2308"/>
              <w:jc w:val="center"/>
              <w:rPr>
                <w:rFonts w:ascii="Times New Roman" w:eastAsia="宋体" w:hAnsi="Times New Roman"/>
                <w:sz w:val="24"/>
                <w:szCs w:val="24"/>
                <w:highlight w:val="auto"/>
              </w:rPr>
            </w:pPr>
            <w:r>
              <w:rPr>
                <w:rFonts w:ascii="Times New Roman" w:eastAsia="宋体" w:hAnsi="Times New Roman"/>
                <w:sz w:val="24"/>
                <w:szCs w:val="24"/>
                <w:highlight w:val="auto"/>
              </w:rPr>
              <w:t>收             入</w:t>
            </w:r>
          </w:p>
        </w:tc>
        <w:tc>
          <w:tcPr>
            <w:tcW w:w="7047" w:type="dxa"/>
            <w:gridSpan w:val="2"/>
            <w:tcBorders>
              <w:tl2br w:val="nil"/>
              <w:tr2bl w:val="nil"/>
            </w:tcBorders>
            <w:vAlign w:val="center"/>
          </w:tcPr>
          <w:p>
            <w:pPr>
              <w:pStyle w:val="2309"/>
              <w:jc w:val="center"/>
              <w:rPr>
                <w:rFonts w:ascii="Times New Roman" w:eastAsia="宋体" w:hAnsi="Times New Roman"/>
                <w:sz w:val="24"/>
                <w:szCs w:val="24"/>
                <w:highlight w:val="auto"/>
              </w:rPr>
            </w:pPr>
            <w:r>
              <w:rPr>
                <w:rFonts w:ascii="Times New Roman" w:eastAsia="宋体" w:hAnsi="Times New Roman"/>
                <w:sz w:val="24"/>
                <w:szCs w:val="24"/>
                <w:highlight w:val="auto"/>
              </w:rPr>
              <w:t>支        出</w:t>
            </w:r>
          </w:p>
        </w:tc>
      </w:tr>
      <w:tr>
        <w:trPr>
          <w:trHeight w:val="498"/>
        </w:trPr>
        <w:tc>
          <w:tcPr>
            <w:tcW w:w="4055" w:type="dxa"/>
            <w:tcBorders>
              <w:tl2br w:val="nil"/>
              <w:tr2bl w:val="nil"/>
            </w:tcBorders>
            <w:vAlign w:val="center"/>
          </w:tcPr>
          <w:p>
            <w:pPr>
              <w:pStyle w:val="2308"/>
              <w:spacing w:before="39" w:line="182" w:lineRule="auto"/>
              <w:ind w:firstLine="2103"/>
              <w:jc w:val="both"/>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项目</w:t>
            </w:r>
          </w:p>
        </w:tc>
        <w:tc>
          <w:tcPr>
            <w:tcW w:w="3081" w:type="dxa"/>
            <w:tcBorders>
              <w:tl2br w:val="nil"/>
              <w:tr2bl w:val="nil"/>
            </w:tcBorders>
            <w:vAlign w:val="center"/>
          </w:tcPr>
          <w:p>
            <w:pPr>
              <w:pStyle w:val="2308"/>
              <w:spacing w:before="39" w:line="182" w:lineRule="auto"/>
              <w:ind w:firstLine="991"/>
              <w:jc w:val="both"/>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预算数</w:t>
            </w:r>
          </w:p>
        </w:tc>
        <w:tc>
          <w:tcPr>
            <w:tcW w:w="4225" w:type="dxa"/>
            <w:tcBorders>
              <w:tl2br w:val="nil"/>
              <w:tr2bl w:val="nil"/>
            </w:tcBorders>
            <w:vAlign w:val="center"/>
          </w:tcPr>
          <w:p>
            <w:pPr>
              <w:pStyle w:val="2308"/>
              <w:spacing w:before="39" w:line="182" w:lineRule="auto"/>
              <w:ind w:firstLine="1618"/>
              <w:jc w:val="both"/>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项目</w:t>
            </w:r>
          </w:p>
        </w:tc>
        <w:tc>
          <w:tcPr>
            <w:tcW w:w="2822" w:type="dxa"/>
            <w:tcBorders>
              <w:tl2br w:val="nil"/>
              <w:tr2bl w:val="nil"/>
            </w:tcBorders>
            <w:vAlign w:val="center"/>
          </w:tcPr>
          <w:p>
            <w:pPr>
              <w:pStyle w:val="2308"/>
              <w:spacing w:before="39" w:line="182" w:lineRule="auto"/>
              <w:ind w:firstLine="436"/>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预算数</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一、本年收入</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844.80</w:t>
            </w: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一、本年支出</w:t>
            </w:r>
          </w:p>
        </w:tc>
        <w:tc>
          <w:tcPr>
            <w:tcW w:w="2822" w:type="dxa"/>
            <w:tcBorders>
              <w:tl2br w:val="nil"/>
              <w:tr2bl w:val="nil"/>
            </w:tcBorders>
            <w:vAlign w:val="center"/>
          </w:tcPr>
          <w:p>
            <w:pPr>
              <w:pStyle w:val="2311"/>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844.80</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（一）一般公共预算财政拨款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844.80</w:t>
            </w: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（一）一般公共服务支出</w:t>
            </w:r>
          </w:p>
        </w:tc>
        <w:tc>
          <w:tcPr>
            <w:tcW w:w="2822" w:type="dxa"/>
            <w:tcBorders>
              <w:tl2br w:val="nil"/>
              <w:tr2bl w:val="nil"/>
            </w:tcBorders>
            <w:vAlign w:val="center"/>
          </w:tcPr>
          <w:p>
            <w:pPr>
              <w:pStyle w:val="2312"/>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672.98</w:t>
            </w:r>
          </w:p>
        </w:tc>
      </w:tr>
      <w:tr>
        <w:trPr>
          <w:trHeight w:val="499"/>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（二）政府性基金预算财政拨款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（二）外交支出</w:t>
            </w:r>
          </w:p>
        </w:tc>
        <w:tc>
          <w:tcPr>
            <w:tcW w:w="2822" w:type="dxa"/>
            <w:tcBorders>
              <w:tl2br w:val="nil"/>
              <w:tr2bl w:val="nil"/>
            </w:tcBorders>
            <w:vAlign w:val="center"/>
          </w:tcPr>
          <w:p>
            <w:pPr>
              <w:pStyle w:val="2313"/>
              <w:jc w:val="right"/>
              <w:rPr>
                <w:rFonts w:ascii="Times New Roman" w:eastAsia="宋体" w:cs="Times New Roman" w:hAnsi="Times New Roman"/>
                <w:sz w:val="24"/>
                <w:szCs w:val="24"/>
                <w:lang w:bidi="ar-SA"/>
                <w:highlight w:val="auto"/>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（三）国有资本经营预算拨款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（三）公共安全支出</w:t>
            </w:r>
          </w:p>
        </w:tc>
        <w:tc>
          <w:tcPr>
            <w:tcW w:w="2822" w:type="dxa"/>
            <w:tcBorders>
              <w:tl2br w:val="nil"/>
              <w:tr2bl w:val="nil"/>
            </w:tcBorders>
            <w:vAlign w:val="center"/>
          </w:tcPr>
          <w:p>
            <w:pPr>
              <w:pStyle w:val="2314"/>
              <w:jc w:val="right"/>
              <w:rPr>
                <w:rFonts w:ascii="Times New Roman" w:eastAsia="宋体" w:cs="Times New Roman" w:hAnsi="Times New Roman"/>
                <w:sz w:val="24"/>
                <w:szCs w:val="24"/>
                <w:lang w:bidi="ar-SA"/>
                <w:highlight w:val="auto"/>
              </w:rPr>
            </w:pPr>
          </w:p>
        </w:tc>
      </w:tr>
      <w:tr>
        <w:trPr>
          <w:trHeight w:val="498"/>
        </w:trPr>
        <w:tc>
          <w:tcPr>
            <w:tcW w:w="4055" w:type="dxa"/>
            <w:tcBorders>
              <w:tl2br w:val="nil"/>
              <w:tr2bl w:val="nil"/>
            </w:tcBorders>
            <w:vAlign w:val="center"/>
          </w:tcPr>
          <w:p>
            <w:pPr>
              <w:pStyle w:val="2308"/>
              <w:rPr>
                <w:rFonts w:ascii="Times New Roman" w:eastAsia="宋体" w:hAnsi="Times New Roman" w:hint="eastAsia"/>
                <w:sz w:val="24"/>
                <w:szCs w:val="24"/>
                <w:highlight w:val="auto"/>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（四）教育支出</w:t>
            </w:r>
          </w:p>
        </w:tc>
        <w:tc>
          <w:tcPr>
            <w:tcW w:w="2822" w:type="dxa"/>
            <w:tcBorders>
              <w:tl2br w:val="nil"/>
              <w:tr2bl w:val="nil"/>
            </w:tcBorders>
            <w:vAlign w:val="center"/>
          </w:tcPr>
          <w:p>
            <w:pPr>
              <w:pStyle w:val="2315"/>
              <w:jc w:val="right"/>
              <w:rPr>
                <w:rFonts w:ascii="Times New Roman" w:eastAsia="宋体" w:cs="Times New Roman" w:hAnsi="Times New Roman"/>
                <w:sz w:val="24"/>
                <w:szCs w:val="24"/>
                <w:lang w:bidi="ar-SA"/>
                <w:highlight w:val="auto"/>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二、上年结转</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（五）社会保障和就业支出</w:t>
            </w:r>
          </w:p>
        </w:tc>
        <w:tc>
          <w:tcPr>
            <w:tcW w:w="2822" w:type="dxa"/>
            <w:tcBorders>
              <w:tl2br w:val="nil"/>
              <w:tr2bl w:val="nil"/>
            </w:tcBorders>
            <w:vAlign w:val="center"/>
          </w:tcPr>
          <w:p>
            <w:pPr>
              <w:pStyle w:val="2316"/>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70.84</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（一）一般公共预算财政拨款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（六）卫生健康支出</w:t>
            </w:r>
          </w:p>
        </w:tc>
        <w:tc>
          <w:tcPr>
            <w:tcW w:w="2822" w:type="dxa"/>
            <w:tcBorders>
              <w:tl2br w:val="nil"/>
              <w:tr2bl w:val="nil"/>
            </w:tcBorders>
            <w:vAlign w:val="center"/>
          </w:tcPr>
          <w:p>
            <w:pPr>
              <w:pStyle w:val="2317"/>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23.21</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（二）政府性基金预算财政拨款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（七）住房保障支出</w:t>
            </w:r>
          </w:p>
        </w:tc>
        <w:tc>
          <w:tcPr>
            <w:tcW w:w="2822" w:type="dxa"/>
            <w:tcBorders>
              <w:tl2br w:val="nil"/>
              <w:tr2bl w:val="nil"/>
            </w:tcBorders>
            <w:vAlign w:val="center"/>
          </w:tcPr>
          <w:p>
            <w:pPr>
              <w:pStyle w:val="2318"/>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77.77</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hint="eastAsia"/>
                <w:sz w:val="24"/>
                <w:szCs w:val="24"/>
                <w:highlight w:val="auto"/>
              </w:rPr>
            </w:pPr>
            <w:r>
              <w:rPr>
                <w:rFonts w:ascii="Times New Roman" w:eastAsia="宋体" w:hAnsi="Times New Roman" w:hint="eastAsia"/>
                <w:sz w:val="24"/>
                <w:szCs w:val="24"/>
                <w:highlight w:val="auto"/>
              </w:rPr>
              <w:t>（三）国有资本经营预算拨款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tcPr>
          <w:p>
            <w:pPr>
              <w:pStyle w:val="2308"/>
              <w:rPr>
                <w:rFonts w:ascii="Times New Roman" w:eastAsia="宋体" w:hAnsi="Times New Roman"/>
                <w:sz w:val="24"/>
                <w:szCs w:val="24"/>
                <w:highlight w:val="auto"/>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r>
      <w:tr>
        <w:trPr>
          <w:trHeight w:val="500"/>
        </w:trPr>
        <w:tc>
          <w:tcPr>
            <w:tcW w:w="4055" w:type="dxa"/>
            <w:tcBorders>
              <w:tl2br w:val="nil"/>
              <w:tr2bl w:val="nil"/>
            </w:tcBorders>
          </w:tcPr>
          <w:p>
            <w:pPr>
              <w:pStyle w:val="2308"/>
              <w:rPr>
                <w:rFonts w:ascii="Times New Roman" w:eastAsia="宋体" w:hAnsi="Times New Roman"/>
                <w:sz w:val="24"/>
                <w:szCs w:val="24"/>
                <w:highlight w:val="auto"/>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tcPr>
          <w:p>
            <w:pPr>
              <w:pStyle w:val="2308"/>
              <w:rPr>
                <w:rFonts w:ascii="Times New Roman" w:eastAsia="宋体" w:hAnsi="Times New Roman"/>
                <w:sz w:val="24"/>
                <w:szCs w:val="24"/>
                <w:highlight w:val="auto"/>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r>
      <w:tr>
        <w:trPr>
          <w:trHeight w:val="498"/>
        </w:trPr>
        <w:tc>
          <w:tcPr>
            <w:tcW w:w="4055" w:type="dxa"/>
            <w:tcBorders>
              <w:tl2br w:val="nil"/>
              <w:tr2bl w:val="nil"/>
            </w:tcBorders>
          </w:tcPr>
          <w:p>
            <w:pPr>
              <w:pStyle w:val="2308"/>
              <w:rPr>
                <w:rFonts w:ascii="Times New Roman" w:eastAsia="宋体" w:hAnsi="Times New Roman"/>
                <w:sz w:val="24"/>
                <w:szCs w:val="24"/>
                <w:highlight w:val="auto"/>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tcPr>
          <w:p>
            <w:pPr>
              <w:pStyle w:val="2308"/>
              <w:rPr>
                <w:rFonts w:ascii="Times New Roman" w:eastAsia="宋体" w:hAnsi="Times New Roman"/>
                <w:sz w:val="24"/>
                <w:szCs w:val="24"/>
                <w:highlight w:val="auto"/>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r>
      <w:tr>
        <w:trPr>
          <w:trHeight w:val="498"/>
        </w:trPr>
        <w:tc>
          <w:tcPr>
            <w:tcW w:w="4055" w:type="dxa"/>
            <w:tcBorders>
              <w:tl2br w:val="nil"/>
              <w:tr2bl w:val="nil"/>
            </w:tcBorders>
          </w:tcPr>
          <w:p>
            <w:pPr>
              <w:pStyle w:val="2308"/>
              <w:rPr>
                <w:rFonts w:ascii="Times New Roman" w:eastAsia="宋体" w:hAnsi="Times New Roman"/>
                <w:sz w:val="24"/>
                <w:szCs w:val="24"/>
                <w:highlight w:val="auto"/>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c>
          <w:tcPr>
            <w:tcW w:w="4225" w:type="dxa"/>
            <w:tcBorders>
              <w:tl2br w:val="nil"/>
              <w:tr2bl w:val="nil"/>
            </w:tcBorders>
          </w:tcPr>
          <w:p>
            <w:pPr>
              <w:pStyle w:val="2308"/>
              <w:rPr>
                <w:rFonts w:ascii="Times New Roman" w:eastAsia="宋体" w:hAnsi="Times New Roman"/>
                <w:sz w:val="24"/>
                <w:szCs w:val="24"/>
                <w:highlight w:val="auto"/>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lang w:bidi="ar-SA"/>
                <w:highlight w:val="auto"/>
              </w:rPr>
            </w:pPr>
          </w:p>
        </w:tc>
      </w:tr>
      <w:tr>
        <w:trPr>
          <w:trHeight w:val="506"/>
        </w:trPr>
        <w:tc>
          <w:tcPr>
            <w:tcW w:w="4055" w:type="dxa"/>
            <w:tcBorders>
              <w:tl2br w:val="nil"/>
              <w:tr2bl w:val="nil"/>
            </w:tcBorders>
          </w:tcPr>
          <w:p>
            <w:pPr>
              <w:pStyle w:val="2308"/>
              <w:spacing w:before="111" w:line="185" w:lineRule="auto"/>
              <w:ind w:firstLine="992"/>
              <w:rPr>
                <w:rFonts w:ascii="Times New Roman" w:eastAsia="宋体" w:cs="宋体" w:hAnsi="Times New Roman" w:hint="eastAsia"/>
                <w:sz w:val="24"/>
                <w:szCs w:val="24"/>
                <w:lang w:bidi="ar-SA"/>
                <w:highlight w:val="auto"/>
              </w:rPr>
            </w:pPr>
            <w:r>
              <w:rPr>
                <w:rFonts w:ascii="Times New Roman" w:eastAsia="宋体" w:cs="宋体" w:hAnsi="Times New Roman" w:hint="eastAsia"/>
                <w:spacing w:val="-11"/>
                <w:sz w:val="24"/>
                <w:szCs w:val="24"/>
                <w:lang w:bidi="ar-SA"/>
                <w:highlight w:val="auto"/>
              </w:rPr>
              <w:t>收</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1"/>
                <w:sz w:val="24"/>
                <w:szCs w:val="24"/>
                <w:lang w:bidi="ar-SA"/>
                <w:highlight w:val="auto"/>
              </w:rPr>
              <w:t>入</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1"/>
                <w:sz w:val="24"/>
                <w:szCs w:val="24"/>
                <w:lang w:bidi="ar-SA"/>
                <w:highlight w:val="auto"/>
              </w:rPr>
              <w:t>总</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1"/>
                <w:sz w:val="24"/>
                <w:szCs w:val="24"/>
                <w:lang w:bidi="ar-SA"/>
                <w:highlight w:val="auto"/>
              </w:rPr>
              <w:t>计</w:t>
            </w:r>
          </w:p>
        </w:tc>
        <w:tc>
          <w:tcPr>
            <w:tcW w:w="3081" w:type="dxa"/>
            <w:tcBorders>
              <w:tl2br w:val="nil"/>
              <w:tr2bl w:val="nil"/>
            </w:tcBorders>
            <w:vAlign w:val="center"/>
          </w:tcPr>
          <w:p>
            <w:pPr>
              <w:pStyle w:val="2308"/>
              <w:spacing w:before="153" w:line="190" w:lineRule="auto"/>
              <w:ind w:firstLine="1243"/>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844.80</w:t>
            </w:r>
          </w:p>
        </w:tc>
        <w:tc>
          <w:tcPr>
            <w:tcW w:w="4225" w:type="dxa"/>
            <w:tcBorders>
              <w:tl2br w:val="nil"/>
              <w:tr2bl w:val="nil"/>
            </w:tcBorders>
          </w:tcPr>
          <w:p>
            <w:pPr>
              <w:pStyle w:val="2308"/>
              <w:spacing w:before="111" w:line="185" w:lineRule="auto"/>
              <w:ind w:firstLine="499"/>
              <w:rPr>
                <w:rFonts w:ascii="Times New Roman" w:eastAsia="宋体" w:cs="宋体" w:hAnsi="Times New Roman" w:hint="eastAsia"/>
                <w:sz w:val="24"/>
                <w:szCs w:val="24"/>
                <w:lang w:bidi="ar-SA"/>
                <w:highlight w:val="auto"/>
              </w:rPr>
            </w:pPr>
            <w:r>
              <w:rPr>
                <w:rFonts w:ascii="Times New Roman" w:eastAsia="宋体" w:cs="宋体" w:hAnsi="Times New Roman" w:hint="eastAsia"/>
                <w:spacing w:val="-15"/>
                <w:sz w:val="24"/>
                <w:szCs w:val="24"/>
                <w:lang w:bidi="ar-SA"/>
                <w:highlight w:val="auto"/>
              </w:rPr>
              <w:t>支</w:t>
            </w:r>
            <w:r>
              <w:rPr>
                <w:rFonts w:ascii="Times New Roman" w:eastAsia="宋体" w:cs="宋体" w:hAnsi="Times New Roman" w:hint="eastAsia"/>
                <w:spacing w:val="9"/>
                <w:sz w:val="24"/>
                <w:szCs w:val="24"/>
                <w:lang w:bidi="ar-SA"/>
                <w:highlight w:val="auto"/>
              </w:rPr>
              <w:t xml:space="preserve">    </w:t>
            </w:r>
            <w:r>
              <w:rPr>
                <w:rFonts w:ascii="Times New Roman" w:eastAsia="宋体" w:cs="宋体" w:hAnsi="Times New Roman" w:hint="eastAsia"/>
                <w:spacing w:val="-15"/>
                <w:sz w:val="24"/>
                <w:szCs w:val="24"/>
                <w:lang w:bidi="ar-SA"/>
                <w:highlight w:val="auto"/>
              </w:rPr>
              <w:t>出</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5"/>
                <w:sz w:val="24"/>
                <w:szCs w:val="24"/>
                <w:lang w:bidi="ar-SA"/>
                <w:highlight w:val="auto"/>
              </w:rPr>
              <w:t>总</w:t>
            </w:r>
            <w:r>
              <w:rPr>
                <w:rFonts w:ascii="Times New Roman" w:eastAsia="宋体" w:cs="宋体" w:hAnsi="Times New Roman" w:hint="eastAsia"/>
                <w:spacing w:val="3"/>
                <w:sz w:val="24"/>
                <w:szCs w:val="24"/>
                <w:lang w:bidi="ar-SA"/>
                <w:highlight w:val="auto"/>
              </w:rPr>
              <w:t xml:space="preserve">    </w:t>
            </w:r>
            <w:r>
              <w:rPr>
                <w:rFonts w:ascii="Times New Roman" w:eastAsia="宋体" w:cs="宋体" w:hAnsi="Times New Roman" w:hint="eastAsia"/>
                <w:spacing w:val="-15"/>
                <w:sz w:val="24"/>
                <w:szCs w:val="24"/>
                <w:lang w:bidi="ar-SA"/>
                <w:highlight w:val="auto"/>
              </w:rPr>
              <w:t>计</w:t>
            </w:r>
          </w:p>
        </w:tc>
        <w:tc>
          <w:tcPr>
            <w:tcW w:w="2822" w:type="dxa"/>
            <w:tcBorders>
              <w:tl2br w:val="nil"/>
              <w:tr2bl w:val="nil"/>
            </w:tcBorders>
            <w:vAlign w:val="center"/>
          </w:tcPr>
          <w:p>
            <w:pPr>
              <w:pStyle w:val="2308"/>
              <w:spacing w:before="153" w:line="190" w:lineRule="auto"/>
              <w:ind w:firstLine="687"/>
              <w:jc w:val="right"/>
              <w:rPr>
                <w:rFonts w:ascii="Times New Roman" w:eastAsia="宋体" w:cs="Times New Roman" w:hAnsi="Times New Roman"/>
                <w:sz w:val="24"/>
                <w:szCs w:val="24"/>
                <w:lang w:bidi="ar-SA"/>
                <w:highlight w:val="auto"/>
              </w:rPr>
            </w:pPr>
            <w:r>
              <w:rPr>
                <w:rFonts w:ascii="Times New Roman" w:eastAsia="宋体" w:cs="Times New Roman" w:hAnsi="Times New Roman"/>
                <w:sz w:val="24"/>
                <w:szCs w:val="24"/>
                <w:lang w:bidi="ar-SA"/>
                <w:highlight w:val="auto"/>
              </w:rPr>
              <w:t>844.80</w:t>
            </w:r>
          </w:p>
        </w:tc>
      </w:tr>
    </w:tbl>
    <w:p>
      <w:pPr>
        <w:pStyle w:val="2308"/>
        <w:rPr>
          <w:rFonts w:ascii="Times New Roman" w:eastAsia="宋体" w:hAnsi="Times New Roman"/>
          <w:highlight w:val="auto"/>
        </w:rPr>
      </w:pPr>
    </w:p>
    <w:p>
      <w:pPr>
        <w:pStyle w:val="2308"/>
        <w:rPr>
          <w:rFonts w:ascii="Times New Roman" w:eastAsia="宋体" w:hAnsi="Times New Roman"/>
          <w:highlight w:val="auto"/>
        </w:rPr>
        <w:sectPr>
          <w:pgSz w:w="16841" w:h="11907"/>
          <w:pgMar w:top="548" w:right="1322" w:bottom="0" w:left="1324" w:header="0" w:footer="0" w:gutter="0"/>
          <w:pgNumType/>
          <w:docGrid w:linePitch="285" w:charSpace="0"/>
        </w:sectPr>
      </w:pPr>
    </w:p>
    <w:p>
      <w:pPr>
        <w:jc w:val="right"/>
        <w:rPr>
          <w:rFonts w:ascii="黑体" w:eastAsia="黑体" w:cs="黑体"/>
          <w:snapToGrid w:val="0"/>
          <w:sz w:val="20"/>
          <w:szCs w:val="20"/>
          <w:lang w:bidi="ar-SA"/>
          <w:highlight w:val="auto"/>
        </w:rPr>
      </w:pPr>
    </w:p>
    <w:p>
      <w:pPr>
        <w:jc w:val="right"/>
        <w:rPr>
          <w:rFonts w:ascii="黑体" w:eastAsia="黑体" w:cs="黑体" w:hint="eastAsia"/>
          <w:sz w:val="20"/>
          <w:szCs w:val="20"/>
          <w:lang w:bidi="ar-SA"/>
          <w:highlight w:val="auto"/>
        </w:rPr>
      </w:pPr>
      <w:r>
        <w:rPr>
          <w:rFonts w:ascii="黑体" w:eastAsia="黑体" w:cs="黑体" w:hint="eastAsia"/>
          <w:snapToGrid w:val="0"/>
          <w:sz w:val="20"/>
          <w:szCs w:val="20"/>
          <w:lang w:bidi="ar-SA"/>
          <w:highlight w:val="auto"/>
        </w:rPr>
        <w:t>部门公开表 5</w:t>
      </w:r>
    </w:p>
    <w:p>
      <w:pPr>
        <w:jc w:val="center"/>
        <w:rPr>
          <w:rFonts w:cs="Microsoft JhengHei" w:hint="eastAsia"/>
          <w:b/>
          <w:snapToGrid w:val="0"/>
          <w:color w:val="000000"/>
          <w:sz w:val="36"/>
          <w:szCs w:val="36"/>
          <w:lang w:bidi="ar-SA"/>
          <w:highlight w:val="auto"/>
        </w:rPr>
      </w:pPr>
      <w:r>
        <w:rPr>
          <w:rFonts w:cs="Microsoft JhengHei" w:hint="eastAsia"/>
          <w:b/>
          <w:snapToGrid w:val="0"/>
          <w:color w:val="000000"/>
          <w:sz w:val="36"/>
          <w:szCs w:val="36"/>
          <w:lang w:bidi="ar-SA"/>
          <w:highlight w:val="auto"/>
        </w:rPr>
        <w:t>一般公共预算支出表</w:t>
      </w:r>
    </w:p>
    <w:p>
      <w:pPr>
        <w:pStyle w:val="2319"/>
        <w:spacing w:before="39" w:line="180" w:lineRule="auto"/>
        <w:ind w:firstLineChars="6801" w:firstLine="13194"/>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 xml:space="preserve">     单位：万元</w:t>
      </w:r>
    </w:p>
    <w:p>
      <w:pPr>
        <w:pStyle w:val="2319"/>
        <w:spacing w:line="19" w:lineRule="auto"/>
        <w:rPr>
          <w:rFonts w:ascii="Times New Roman" w:eastAsia="宋体" w:hAnsi="Times New Roman"/>
          <w:sz w:val="2"/>
          <w:highlight w:val="auto"/>
        </w:rPr>
      </w:pPr>
    </w:p>
    <w:tbl>
      <w:tblPr>
        <w:jc w:val="left"/>
        <w:tblInd w:w="45" w:type="dxa"/>
        <w:tblW w:w="14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00"/>
        <w:gridCol w:w="2430"/>
        <w:gridCol w:w="1200"/>
        <w:gridCol w:w="1120"/>
        <w:gridCol w:w="1190"/>
        <w:gridCol w:w="1200"/>
        <w:gridCol w:w="1150"/>
        <w:gridCol w:w="1220"/>
        <w:gridCol w:w="1160"/>
        <w:gridCol w:w="25"/>
        <w:gridCol w:w="1185"/>
        <w:gridCol w:w="1120"/>
        <w:gridCol w:w="960"/>
      </w:tblGrid>
      <w:tr>
        <w:trPr>
          <w:trHeight w:val="716"/>
        </w:trPr>
        <w:tc>
          <w:tcPr>
            <w:tcW w:w="343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功能分类科目</w:t>
            </w:r>
          </w:p>
        </w:tc>
        <w:tc>
          <w:tcPr>
            <w:tcW w:w="232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4"/>
                <w:sz w:val="16"/>
                <w:szCs w:val="16"/>
                <w:lang w:bidi="ar-SA"/>
              </w:rPr>
              <w:t>202</w:t>
            </w:r>
            <w:r>
              <w:rPr>
                <w:rFonts w:ascii="Times New Roman" w:eastAsia="宋体" w:cs="Microsoft JhengHei" w:hAnsi="Times New Roman"/>
                <w:spacing w:val="-4"/>
                <w:sz w:val="16"/>
                <w:szCs w:val="16"/>
                <w:lang w:bidi="ar-SA"/>
              </w:rPr>
              <w:t>5</w:t>
            </w:r>
            <w:r>
              <w:rPr>
                <w:rFonts w:ascii="Times New Roman" w:eastAsia="宋体" w:cs="Microsoft JhengHei" w:hAnsi="Times New Roman" w:hint="eastAsia"/>
                <w:spacing w:val="-4"/>
                <w:sz w:val="16"/>
                <w:szCs w:val="16"/>
                <w:lang w:bidi="ar-SA"/>
                <w:highlight w:val="auto"/>
              </w:rPr>
              <w:t>年执行数</w:t>
            </w:r>
          </w:p>
        </w:tc>
        <w:tc>
          <w:tcPr>
            <w:tcW w:w="4760" w:type="dxa"/>
            <w:gridSpan w:val="4"/>
            <w:tcBorders>
              <w:tl2br w:val="nil"/>
              <w:tr2bl w:val="nil"/>
            </w:tcBorders>
            <w:vAlign w:val="center"/>
          </w:tcPr>
          <w:p>
            <w:pPr>
              <w:pStyle w:val="2319"/>
              <w:spacing w:before="263"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4"/>
                <w:sz w:val="16"/>
                <w:szCs w:val="16"/>
                <w:lang w:bidi="ar-SA"/>
              </w:rPr>
              <w:t>2026</w:t>
            </w:r>
            <w:r>
              <w:rPr>
                <w:rFonts w:ascii="Times New Roman" w:eastAsia="宋体" w:cs="Microsoft JhengHei" w:hAnsi="Times New Roman" w:hint="eastAsia"/>
                <w:spacing w:val="-4"/>
                <w:sz w:val="16"/>
                <w:szCs w:val="16"/>
                <w:lang w:bidi="ar-SA"/>
                <w:highlight w:val="auto"/>
              </w:rPr>
              <w:t>年预算数</w:t>
            </w:r>
          </w:p>
        </w:tc>
        <w:tc>
          <w:tcPr>
            <w:tcW w:w="2370" w:type="dxa"/>
            <w:gridSpan w:val="3"/>
            <w:tcBorders>
              <w:tl2br w:val="nil"/>
              <w:tr2bl w:val="nil"/>
            </w:tcBorders>
            <w:vAlign w:val="center"/>
          </w:tcPr>
          <w:p>
            <w:pPr>
              <w:widowControl/>
              <w:jc w:val="center"/>
              <w:textAlignment w:val="center"/>
              <w:rPr>
                <w:color w:val="000000"/>
                <w:kern w:val="0"/>
                <w:sz w:val="16"/>
                <w:szCs w:val="16"/>
                <w:lang w:bidi="ar-SA"/>
                <w:highlight w:val="auto"/>
              </w:rPr>
            </w:pPr>
            <w:r>
              <w:rPr>
                <w:color w:val="000000"/>
                <w:kern w:val="0"/>
                <w:sz w:val="16"/>
                <w:szCs w:val="16"/>
                <w:lang w:bidi="ar-SA"/>
              </w:rPr>
              <w:t>2026</w:t>
            </w:r>
            <w:r>
              <w:rPr>
                <w:color w:val="000000"/>
                <w:kern w:val="0"/>
                <w:sz w:val="16"/>
                <w:szCs w:val="16"/>
                <w:lang w:bidi="ar-SA"/>
                <w:highlight w:val="auto"/>
              </w:rPr>
              <w:t>年预算数比</w:t>
            </w:r>
          </w:p>
          <w:p>
            <w:pPr>
              <w:widowControl/>
              <w:jc w:val="center"/>
              <w:textAlignment w:val="center"/>
              <w:rPr>
                <w:sz w:val="16"/>
                <w:szCs w:val="16"/>
                <w:highlight w:val="auto"/>
              </w:rPr>
            </w:pPr>
            <w:r>
              <w:rPr>
                <w:color w:val="000000"/>
                <w:kern w:val="0"/>
                <w:sz w:val="16"/>
                <w:szCs w:val="16"/>
                <w:lang w:bidi="ar-SA"/>
              </w:rPr>
              <w:t>2025</w:t>
            </w:r>
            <w:r>
              <w:rPr>
                <w:color w:val="000000"/>
                <w:kern w:val="0"/>
                <w:sz w:val="16"/>
                <w:szCs w:val="16"/>
                <w:lang w:bidi="ar-SA"/>
                <w:highlight w:val="auto"/>
              </w:rPr>
              <w:t>年执行数</w:t>
            </w:r>
          </w:p>
        </w:tc>
        <w:tc>
          <w:tcPr>
            <w:tcW w:w="2080" w:type="dxa"/>
            <w:gridSpan w:val="2"/>
            <w:tcBorders>
              <w:tl2br w:val="nil"/>
              <w:tr2bl w:val="nil"/>
            </w:tcBorders>
            <w:vAlign w:val="center"/>
          </w:tcPr>
          <w:p>
            <w:pPr>
              <w:pStyle w:val="2319"/>
              <w:spacing w:before="30" w:line="180" w:lineRule="auto"/>
              <w:ind w:firstLine="135"/>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rPr>
              <w:t>2026</w:t>
            </w:r>
            <w:r>
              <w:rPr>
                <w:rFonts w:ascii="Times New Roman" w:eastAsia="宋体" w:cs="Microsoft JhengHei" w:hAnsi="Times New Roman" w:hint="eastAsia"/>
                <w:spacing w:val="-4"/>
                <w:sz w:val="16"/>
                <w:szCs w:val="16"/>
                <w:lang w:bidi="ar-SA"/>
                <w:highlight w:val="auto"/>
              </w:rPr>
              <w:t>年预算数比</w:t>
            </w:r>
          </w:p>
          <w:p>
            <w:pPr>
              <w:pStyle w:val="2319"/>
              <w:spacing w:before="30" w:line="180" w:lineRule="auto"/>
              <w:ind w:firstLine="135"/>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rPr>
              <w:t>202</w:t>
            </w:r>
            <w:r>
              <w:rPr>
                <w:rFonts w:ascii="Times New Roman" w:eastAsia="宋体" w:cs="Microsoft JhengHei" w:hAnsi="Times New Roman"/>
                <w:spacing w:val="-4"/>
                <w:sz w:val="16"/>
                <w:szCs w:val="16"/>
                <w:lang w:bidi="ar-SA"/>
              </w:rPr>
              <w:t>5</w:t>
            </w:r>
            <w:r>
              <w:rPr>
                <w:rFonts w:ascii="Times New Roman" w:eastAsia="宋体" w:cs="Microsoft JhengHei" w:hAnsi="Times New Roman" w:hint="eastAsia"/>
                <w:spacing w:val="-4"/>
                <w:sz w:val="16"/>
                <w:szCs w:val="16"/>
                <w:lang w:bidi="ar-SA"/>
                <w:highlight w:val="auto"/>
              </w:rPr>
              <w:t>年执行数</w:t>
            </w:r>
          </w:p>
          <w:p>
            <w:pPr>
              <w:pStyle w:val="2319"/>
              <w:spacing w:before="30" w:line="180" w:lineRule="auto"/>
              <w:ind w:firstLine="135"/>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highlight w:val="auto"/>
              </w:rPr>
              <w:t>（扣除中央基建投资）</w:t>
            </w:r>
          </w:p>
        </w:tc>
      </w:tr>
      <w:tr>
        <w:trPr>
          <w:trHeight w:val="290"/>
        </w:trPr>
        <w:tc>
          <w:tcPr>
            <w:tcW w:w="10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科目编码</w:t>
            </w:r>
          </w:p>
        </w:tc>
        <w:tc>
          <w:tcPr>
            <w:tcW w:w="243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科目名称</w:t>
            </w:r>
          </w:p>
        </w:tc>
        <w:tc>
          <w:tcPr>
            <w:tcW w:w="12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执行数</w:t>
            </w:r>
          </w:p>
        </w:tc>
        <w:tc>
          <w:tcPr>
            <w:tcW w:w="1120" w:type="dxa"/>
            <w:vMerge w:val="restart"/>
            <w:tcBorders>
              <w:bottom w:val="nil"/>
              <w:tl2br w:val="nil"/>
              <w:tr2bl w:val="nil"/>
            </w:tcBorders>
            <w:vAlign w:val="center"/>
          </w:tcPr>
          <w:p>
            <w:pPr>
              <w:pStyle w:val="2319"/>
              <w:spacing w:before="79" w:line="202" w:lineRule="auto"/>
              <w:ind w:left="113" w:right="105" w:firstLine="3"/>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扣除中央基建投资后执行数</w:t>
            </w:r>
          </w:p>
        </w:tc>
        <w:tc>
          <w:tcPr>
            <w:tcW w:w="3540" w:type="dxa"/>
            <w:gridSpan w:val="3"/>
            <w:tcBorders>
              <w:tl2br w:val="nil"/>
              <w:tr2bl w:val="nil"/>
            </w:tcBorders>
            <w:vAlign w:val="center"/>
          </w:tcPr>
          <w:p>
            <w:pPr>
              <w:pStyle w:val="2319"/>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年初预算数</w:t>
            </w:r>
          </w:p>
        </w:tc>
        <w:tc>
          <w:tcPr>
            <w:tcW w:w="1220" w:type="dxa"/>
            <w:vMerge w:val="restart"/>
            <w:tcBorders>
              <w:bottom w:val="nil"/>
              <w:tl2br w:val="nil"/>
              <w:tr2bl w:val="nil"/>
            </w:tcBorders>
            <w:vAlign w:val="center"/>
          </w:tcPr>
          <w:p>
            <w:pPr>
              <w:pStyle w:val="2319"/>
              <w:spacing w:before="79" w:line="202" w:lineRule="auto"/>
              <w:ind w:left="152" w:right="140" w:firstLine="3"/>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扣除中央基建投资后预算数</w:t>
            </w:r>
          </w:p>
        </w:tc>
        <w:tc>
          <w:tcPr>
            <w:tcW w:w="1185" w:type="dxa"/>
            <w:gridSpan w:val="2"/>
            <w:vMerge w:val="restart"/>
            <w:tcBorders>
              <w:bottom w:val="nil"/>
              <w:tl2br w:val="nil"/>
              <w:tr2bl w:val="nil"/>
            </w:tcBorders>
            <w:vAlign w:val="center"/>
          </w:tcPr>
          <w:p>
            <w:pPr>
              <w:widowControl/>
              <w:jc w:val="center"/>
              <w:textAlignment w:val="center"/>
              <w:rPr>
                <w:sz w:val="16"/>
                <w:szCs w:val="16"/>
                <w:highlight w:val="auto"/>
              </w:rPr>
            </w:pPr>
            <w:r>
              <w:rPr>
                <w:color w:val="000000"/>
                <w:kern w:val="0"/>
                <w:sz w:val="16"/>
                <w:szCs w:val="16"/>
                <w:lang w:bidi="ar-SA"/>
                <w:highlight w:val="auto"/>
              </w:rPr>
              <w:t>增减额</w:t>
            </w:r>
          </w:p>
        </w:tc>
        <w:tc>
          <w:tcPr>
            <w:tcW w:w="1185" w:type="dxa"/>
            <w:vMerge w:val="restart"/>
            <w:tcBorders>
              <w:tl2br w:val="nil"/>
              <w:tr2bl w:val="nil"/>
            </w:tcBorders>
            <w:vAlign w:val="center"/>
          </w:tcPr>
          <w:p>
            <w:pPr>
              <w:widowControl/>
              <w:jc w:val="center"/>
              <w:textAlignment w:val="center"/>
              <w:rPr>
                <w:sz w:val="16"/>
                <w:szCs w:val="16"/>
                <w:highlight w:val="auto"/>
              </w:rPr>
            </w:pPr>
            <w:r>
              <w:rPr>
                <w:color w:val="000000"/>
                <w:kern w:val="0"/>
                <w:sz w:val="16"/>
                <w:szCs w:val="16"/>
                <w:lang w:bidi="ar-SA"/>
                <w:highlight w:val="auto"/>
              </w:rPr>
              <w:t>增减(%)</w:t>
            </w:r>
          </w:p>
        </w:tc>
        <w:tc>
          <w:tcPr>
            <w:tcW w:w="1120" w:type="dxa"/>
            <w:vMerge w:val="restart"/>
            <w:tcBorders>
              <w:tl2br w:val="nil"/>
              <w:tr2bl w:val="nil"/>
            </w:tcBorders>
            <w:vAlign w:val="center"/>
          </w:tcPr>
          <w:p>
            <w:pPr>
              <w:pStyle w:val="2319"/>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增减额</w:t>
            </w:r>
          </w:p>
        </w:tc>
        <w:tc>
          <w:tcPr>
            <w:tcW w:w="960" w:type="dxa"/>
            <w:vMerge w:val="restart"/>
            <w:tcBorders>
              <w:tl2br w:val="nil"/>
              <w:tr2bl w:val="nil"/>
            </w:tcBorders>
            <w:vAlign w:val="center"/>
          </w:tcPr>
          <w:p>
            <w:pPr>
              <w:pStyle w:val="3097"/>
              <w:spacing w:before="197"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z w:val="16"/>
                <w:szCs w:val="16"/>
                <w:lang w:bidi="ar-SA"/>
                <w:highlight w:val="auto"/>
              </w:rPr>
              <w:t>增减(%)</w:t>
            </w:r>
          </w:p>
        </w:tc>
      </w:tr>
      <w:tr>
        <w:trPr>
          <w:trHeight w:val="289"/>
        </w:trPr>
        <w:tc>
          <w:tcPr>
            <w:tcW w:w="1000" w:type="dxa"/>
            <w:vMerge/>
            <w:tcBorders>
              <w:top w:val="nil"/>
              <w:tl2br w:val="nil"/>
              <w:tr2bl w:val="nil"/>
            </w:tcBorders>
          </w:tcPr>
          <w:p/>
        </w:tc>
        <w:tc>
          <w:tcPr>
            <w:tcW w:w="2430" w:type="dxa"/>
            <w:vMerge/>
            <w:tcBorders>
              <w:top w:val="nil"/>
              <w:tl2br w:val="nil"/>
              <w:tr2bl w:val="nil"/>
            </w:tcBorders>
          </w:tcPr>
          <w:p/>
        </w:tc>
        <w:tc>
          <w:tcPr>
            <w:tcW w:w="1200" w:type="dxa"/>
            <w:vMerge/>
            <w:tcBorders>
              <w:top w:val="nil"/>
              <w:tl2br w:val="nil"/>
              <w:tr2bl w:val="nil"/>
            </w:tcBorders>
          </w:tcPr>
          <w:p/>
        </w:tc>
        <w:tc>
          <w:tcPr>
            <w:tcW w:w="1120" w:type="dxa"/>
            <w:vMerge/>
            <w:tcBorders>
              <w:top w:val="nil"/>
              <w:tl2br w:val="nil"/>
              <w:tr2bl w:val="nil"/>
            </w:tcBorders>
          </w:tcPr>
          <w:p/>
        </w:tc>
        <w:tc>
          <w:tcPr>
            <w:tcW w:w="1190" w:type="dxa"/>
            <w:tcBorders>
              <w:tl2br w:val="nil"/>
              <w:tr2bl w:val="nil"/>
            </w:tcBorders>
            <w:vAlign w:val="center"/>
          </w:tcPr>
          <w:p>
            <w:pPr>
              <w:pStyle w:val="2319"/>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小计</w:t>
            </w:r>
          </w:p>
        </w:tc>
        <w:tc>
          <w:tcPr>
            <w:tcW w:w="1200" w:type="dxa"/>
            <w:tcBorders>
              <w:tl2br w:val="nil"/>
              <w:tr2bl w:val="nil"/>
            </w:tcBorders>
            <w:vAlign w:val="center"/>
          </w:tcPr>
          <w:p>
            <w:pPr>
              <w:pStyle w:val="2319"/>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基本支出</w:t>
            </w:r>
          </w:p>
        </w:tc>
        <w:tc>
          <w:tcPr>
            <w:tcW w:w="1150" w:type="dxa"/>
            <w:tcBorders>
              <w:tl2br w:val="nil"/>
              <w:tr2bl w:val="nil"/>
            </w:tcBorders>
            <w:vAlign w:val="center"/>
          </w:tcPr>
          <w:p>
            <w:pPr>
              <w:pStyle w:val="2319"/>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项目支出</w:t>
            </w:r>
          </w:p>
        </w:tc>
        <w:tc>
          <w:tcPr>
            <w:tcW w:w="1220" w:type="dxa"/>
            <w:vMerge/>
            <w:tcBorders>
              <w:top w:val="nil"/>
              <w:tl2br w:val="nil"/>
              <w:tr2bl w:val="nil"/>
            </w:tcBorders>
          </w:tcPr>
          <w:p/>
        </w:tc>
        <w:tc>
          <w:tcPr>
            <w:tcW w:w="1185" w:type="dxa"/>
            <w:gridSpan w:val="2"/>
            <w:vMerge/>
            <w:tcBorders>
              <w:top w:val="nil"/>
              <w:tl2br w:val="nil"/>
              <w:tr2bl w:val="nil"/>
            </w:tcBorders>
          </w:tcPr>
          <w:p/>
        </w:tc>
        <w:tc>
          <w:tcPr>
            <w:tcW w:w="1185" w:type="dxa"/>
            <w:vMerge/>
            <w:tcBorders>
              <w:tl2br w:val="nil"/>
              <w:tr2bl w:val="nil"/>
            </w:tcBorders>
          </w:tcPr>
          <w:p/>
        </w:tc>
        <w:tc>
          <w:tcPr>
            <w:tcW w:w="1120" w:type="dxa"/>
            <w:vMerge/>
            <w:tcBorders>
              <w:tl2br w:val="nil"/>
              <w:tr2bl w:val="nil"/>
            </w:tcBorders>
          </w:tcPr>
          <w:p/>
        </w:tc>
        <w:tc>
          <w:tcPr>
            <w:tcW w:w="960" w:type="dxa"/>
            <w:vMerge/>
            <w:tcBorders>
              <w:tl2br w:val="nil"/>
              <w:tr2bl w:val="nil"/>
            </w:tcBorders>
          </w:tcPr>
          <w:p/>
        </w:tc>
      </w:tr>
      <w:tr>
        <w:trPr>
          <w:trHeight w:val="261"/>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一般公共服务支出</w:t>
            </w:r>
          </w:p>
        </w:tc>
        <w:tc>
          <w:tcPr>
            <w:tcW w:w="1200" w:type="dxa"/>
            <w:tcBorders>
              <w:tl2br w:val="nil"/>
              <w:tr2bl w:val="nil"/>
            </w:tcBorders>
            <w:shd w:val="clear" w:color="auto" w:fill="FFFFFF"/>
            <w:vAlign w:val="center"/>
          </w:tcPr>
          <w:p>
            <w:pPr>
              <w:pStyle w:val="3392"/>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614.89</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672.98</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579.93</w:t>
            </w: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93.05</w:t>
            </w: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60" w:type="dxa"/>
            <w:tcBorders>
              <w:tl2br w:val="nil"/>
              <w:tr2bl w:val="nil"/>
            </w:tcBorders>
            <w:vAlign w:val="center"/>
          </w:tcPr>
          <w:p>
            <w:pPr>
              <w:widowControl/>
              <w:jc w:val="right"/>
              <w:textAlignment w:val="center"/>
              <w:rPr>
                <w:b/>
                <w:bCs/>
                <w:color w:val="000000"/>
                <w:sz w:val="16"/>
                <w:szCs w:val="16"/>
                <w:highlight w:val="auto"/>
              </w:rPr>
            </w:pPr>
            <w:r>
              <w:rPr>
                <w:b/>
                <w:bCs/>
                <w:color w:val="000000"/>
                <w:sz w:val="16"/>
                <w:szCs w:val="16"/>
                <w:highlight w:val="auto"/>
              </w:rPr>
              <w:t>58.09</w:t>
            </w:r>
          </w:p>
        </w:tc>
        <w:tc>
          <w:tcPr>
            <w:tcW w:w="1210" w:type="dxa"/>
            <w:gridSpan w:val="2"/>
            <w:tcBorders>
              <w:tl2br w:val="nil"/>
              <w:tr2bl w:val="nil"/>
            </w:tcBorders>
            <w:vAlign w:val="center"/>
          </w:tcPr>
          <w:p>
            <w:pPr>
              <w:widowControl/>
              <w:jc w:val="right"/>
              <w:textAlignment w:val="center"/>
              <w:rPr>
                <w:b/>
                <w:bCs/>
                <w:color w:val="000000"/>
                <w:sz w:val="16"/>
                <w:szCs w:val="16"/>
                <w:highlight w:val="auto"/>
              </w:rPr>
            </w:pPr>
            <w:r>
              <w:rPr>
                <w:b/>
                <w:bCs/>
                <w:color w:val="000000"/>
                <w:sz w:val="16"/>
                <w:szCs w:val="16"/>
                <w:highlight w:val="auto"/>
              </w:rPr>
              <w:t>9.45%</w:t>
            </w: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海关事务</w:t>
            </w:r>
          </w:p>
        </w:tc>
        <w:tc>
          <w:tcPr>
            <w:tcW w:w="1200" w:type="dxa"/>
            <w:tcBorders>
              <w:tl2br w:val="nil"/>
              <w:tr2bl w:val="nil"/>
            </w:tcBorders>
            <w:shd w:val="clear" w:color="auto" w:fill="FFFFFF"/>
            <w:vAlign w:val="center"/>
          </w:tcPr>
          <w:p>
            <w:pPr>
              <w:pStyle w:val="3393"/>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614.89</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672.98</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579.93</w:t>
            </w: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93.05</w:t>
            </w: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58.09</w:t>
            </w:r>
          </w:p>
        </w:tc>
        <w:tc>
          <w:tcPr>
            <w:tcW w:w="1210" w:type="dxa"/>
            <w:gridSpan w:val="2"/>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9.45%</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行政运行</w:t>
            </w:r>
          </w:p>
        </w:tc>
        <w:tc>
          <w:tcPr>
            <w:tcW w:w="1200" w:type="dxa"/>
            <w:tcBorders>
              <w:tl2br w:val="nil"/>
              <w:tr2bl w:val="nil"/>
            </w:tcBorders>
            <w:shd w:val="clear" w:color="auto" w:fill="FFFFFF"/>
            <w:vAlign w:val="center"/>
          </w:tcPr>
          <w:p>
            <w:pPr>
              <w:pStyle w:val="3394"/>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526.74</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579.93</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579.93</w:t>
            </w: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53.19</w:t>
            </w:r>
          </w:p>
        </w:tc>
        <w:tc>
          <w:tcPr>
            <w:tcW w:w="1210" w:type="dxa"/>
            <w:gridSpan w:val="2"/>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10.09%</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一般行政管理事务</w:t>
            </w:r>
          </w:p>
        </w:tc>
        <w:tc>
          <w:tcPr>
            <w:tcW w:w="1200" w:type="dxa"/>
            <w:tcBorders>
              <w:tl2br w:val="nil"/>
              <w:tr2bl w:val="nil"/>
            </w:tcBorders>
            <w:shd w:val="clear" w:color="auto" w:fill="FFFFFF"/>
            <w:vAlign w:val="center"/>
          </w:tcPr>
          <w:p>
            <w:pPr>
              <w:pStyle w:val="3395"/>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145"/>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3146"/>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147"/>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center"/>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2010903</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机关服务</w:t>
            </w:r>
          </w:p>
        </w:tc>
        <w:tc>
          <w:tcPr>
            <w:tcW w:w="1200" w:type="dxa"/>
            <w:tcBorders>
              <w:tl2br w:val="nil"/>
              <w:tr2bl w:val="nil"/>
            </w:tcBorders>
            <w:shd w:val="clear" w:color="auto" w:fill="FFFFFF"/>
            <w:vAlign w:val="center"/>
          </w:tcPr>
          <w:p>
            <w:pPr>
              <w:pStyle w:val="3396"/>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148"/>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314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150"/>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缉私办案</w:t>
            </w:r>
          </w:p>
        </w:tc>
        <w:tc>
          <w:tcPr>
            <w:tcW w:w="1200" w:type="dxa"/>
            <w:tcBorders>
              <w:tl2br w:val="nil"/>
              <w:tr2bl w:val="nil"/>
            </w:tcBorders>
            <w:shd w:val="clear" w:color="auto" w:fill="FFFFFF"/>
            <w:vAlign w:val="center"/>
          </w:tcPr>
          <w:p>
            <w:pPr>
              <w:pStyle w:val="3151"/>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1"/>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3152"/>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1"/>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2010907</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口岸管理</w:t>
            </w:r>
          </w:p>
        </w:tc>
        <w:tc>
          <w:tcPr>
            <w:tcW w:w="1200" w:type="dxa"/>
            <w:tcBorders>
              <w:tl2br w:val="nil"/>
              <w:tr2bl w:val="nil"/>
            </w:tcBorders>
            <w:shd w:val="clear" w:color="auto" w:fill="FFFFFF"/>
            <w:vAlign w:val="center"/>
          </w:tcPr>
          <w:p>
            <w:pPr>
              <w:pStyle w:val="3397"/>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2"/>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2"/>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2010908</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信息化建设</w:t>
            </w:r>
          </w:p>
        </w:tc>
        <w:tc>
          <w:tcPr>
            <w:tcW w:w="1200" w:type="dxa"/>
            <w:tcBorders>
              <w:tl2br w:val="nil"/>
              <w:tr2bl w:val="nil"/>
            </w:tcBorders>
            <w:shd w:val="clear" w:color="auto" w:fill="FFFFFF"/>
            <w:vAlign w:val="center"/>
          </w:tcPr>
          <w:p>
            <w:pPr>
              <w:pStyle w:val="3398"/>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3"/>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3"/>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海关关务</w:t>
            </w:r>
          </w:p>
        </w:tc>
        <w:tc>
          <w:tcPr>
            <w:tcW w:w="1200" w:type="dxa"/>
            <w:tcBorders>
              <w:tl2br w:val="nil"/>
              <w:tr2bl w:val="nil"/>
            </w:tcBorders>
            <w:shd w:val="clear" w:color="auto" w:fill="FFFFFF"/>
            <w:vAlign w:val="center"/>
          </w:tcPr>
          <w:p>
            <w:pPr>
              <w:pStyle w:val="339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79.65</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4"/>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85.45</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4"/>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85.45</w:t>
            </w: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5.8</w:t>
            </w:r>
          </w:p>
        </w:tc>
        <w:tc>
          <w:tcPr>
            <w:tcW w:w="1210" w:type="dxa"/>
            <w:gridSpan w:val="2"/>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7.28%</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2010910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关税征管</w:t>
            </w:r>
          </w:p>
        </w:tc>
        <w:tc>
          <w:tcPr>
            <w:tcW w:w="1200" w:type="dxa"/>
            <w:tcBorders>
              <w:tl2br w:val="nil"/>
              <w:tr2bl w:val="nil"/>
            </w:tcBorders>
            <w:shd w:val="clear" w:color="auto" w:fill="FFFFFF"/>
            <w:vAlign w:val="center"/>
          </w:tcPr>
          <w:p>
            <w:pPr>
              <w:pStyle w:val="3400"/>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5"/>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5"/>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2010911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海关监管</w:t>
            </w:r>
          </w:p>
        </w:tc>
        <w:tc>
          <w:tcPr>
            <w:tcW w:w="1200" w:type="dxa"/>
            <w:tcBorders>
              <w:tl2br w:val="nil"/>
              <w:tr2bl w:val="nil"/>
            </w:tcBorders>
            <w:shd w:val="clear" w:color="auto" w:fill="FFFFFF"/>
            <w:vAlign w:val="center"/>
          </w:tcPr>
          <w:p>
            <w:pPr>
              <w:pStyle w:val="3401"/>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6"/>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6"/>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2010912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检验检疫</w:t>
            </w:r>
          </w:p>
        </w:tc>
        <w:tc>
          <w:tcPr>
            <w:tcW w:w="1200" w:type="dxa"/>
            <w:tcBorders>
              <w:tl2br w:val="nil"/>
              <w:tr2bl w:val="nil"/>
            </w:tcBorders>
            <w:shd w:val="clear" w:color="auto" w:fill="FFFFFF"/>
            <w:vAlign w:val="center"/>
          </w:tcPr>
          <w:p>
            <w:pPr>
              <w:pStyle w:val="3402"/>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8.5</w:t>
            </w: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3337"/>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7.6</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3337"/>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7.6</w:t>
            </w: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r>
              <w:rPr>
                <w:color w:val="000000"/>
                <w:sz w:val="16"/>
                <w:szCs w:val="16"/>
                <w:highlight w:val="auto"/>
              </w:rPr>
              <w:t>-0.9</w:t>
            </w:r>
          </w:p>
        </w:tc>
        <w:tc>
          <w:tcPr>
            <w:tcW w:w="1210" w:type="dxa"/>
            <w:gridSpan w:val="2"/>
            <w:tcBorders>
              <w:tl2br w:val="nil"/>
              <w:tr2bl w:val="nil"/>
            </w:tcBorders>
            <w:vAlign w:val="center"/>
          </w:tcPr>
          <w:p>
            <w:pPr>
              <w:widowControl/>
              <w:jc w:val="center"/>
              <w:textAlignment w:val="center"/>
              <w:rPr>
                <w:color w:val="000000"/>
                <w:sz w:val="16"/>
                <w:szCs w:val="16"/>
                <w:highlight w:val="auto"/>
              </w:rPr>
            </w:pPr>
            <w:r>
              <w:rPr>
                <w:color w:val="000000"/>
                <w:sz w:val="16"/>
                <w:szCs w:val="16"/>
                <w:highlight w:val="auto"/>
              </w:rPr>
              <w:t>-10.59%</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2010950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事业运行</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color w:val="FFC000"/>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2010999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其他海关事务支出</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20111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纪检监察事务</w:t>
            </w:r>
          </w:p>
        </w:tc>
        <w:tc>
          <w:tcPr>
            <w:tcW w:w="120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10" w:type="dxa"/>
            <w:gridSpan w:val="2"/>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2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2011105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派驻派出机构</w:t>
            </w:r>
          </w:p>
        </w:tc>
        <w:tc>
          <w:tcPr>
            <w:tcW w:w="120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10" w:type="dxa"/>
            <w:gridSpan w:val="2"/>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2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ind w:leftChars="100" w:left="210"/>
              <w:jc w:val="right"/>
              <w:rPr>
                <w:rFonts w:ascii="Times New Roman" w:eastAsia="宋体" w:cs="Times New Roman" w:hAnsi="Times New Roman"/>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外交支出</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60" w:type="dxa"/>
            <w:tcBorders>
              <w:tl2br w:val="nil"/>
              <w:tr2bl w:val="nil"/>
            </w:tcBorders>
            <w:vAlign w:val="center"/>
          </w:tcPr>
          <w:p>
            <w:pPr>
              <w:widowControl/>
              <w:jc w:val="right"/>
              <w:textAlignment w:val="center"/>
              <w:rPr>
                <w:b/>
                <w:bCs/>
                <w:color w:val="000000"/>
                <w:sz w:val="16"/>
                <w:szCs w:val="16"/>
                <w:highlight w:val="auto"/>
              </w:rPr>
            </w:pPr>
          </w:p>
        </w:tc>
        <w:tc>
          <w:tcPr>
            <w:tcW w:w="1210" w:type="dxa"/>
            <w:gridSpan w:val="2"/>
            <w:tcBorders>
              <w:tl2br w:val="nil"/>
              <w:tr2bl w:val="nil"/>
            </w:tcBorders>
            <w:vAlign w:val="center"/>
          </w:tcPr>
          <w:p>
            <w:pPr>
              <w:widowControl/>
              <w:jc w:val="right"/>
              <w:textAlignment w:val="center"/>
              <w:rPr>
                <w:b/>
                <w:bCs/>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20203</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对外援助</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20204</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国际组织</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20205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对外合作与交流</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20299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hint="eastAsia"/>
                <w:sz w:val="16"/>
                <w:szCs w:val="16"/>
                <w:lang w:bidi="ar-SA"/>
                <w:highlight w:val="auto"/>
              </w:rPr>
              <w:t>其他外交支出</w:t>
            </w:r>
          </w:p>
        </w:tc>
        <w:tc>
          <w:tcPr>
            <w:tcW w:w="1200" w:type="dxa"/>
            <w:tcBorders>
              <w:tl2br w:val="nil"/>
              <w:tr2bl w:val="nil"/>
            </w:tcBorders>
            <w:shd w:val="clear" w:color="auto" w:fill="FFFFFF"/>
            <w:vAlign w:val="center"/>
          </w:tcPr>
          <w:p>
            <w:pPr>
              <w:pStyle w:val="2319"/>
              <w:ind w:leftChars="100" w:left="210"/>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ind w:leftChars="100" w:left="210"/>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00" w:type="dxa"/>
            <w:tcBorders>
              <w:tl2br w:val="nil"/>
              <w:tr2bl w:val="nil"/>
            </w:tcBorders>
            <w:shd w:val="clear" w:color="auto" w:fill="FFFFFF"/>
            <w:vAlign w:val="center"/>
          </w:tcPr>
          <w:p>
            <w:pPr>
              <w:pStyle w:val="2319"/>
              <w:ind w:leftChars="100" w:left="210"/>
              <w:rPr>
                <w:rFonts w:ascii="Times New Roman" w:eastAsia="宋体" w:cs="Times New Roman" w:hAnsi="Times New Roman"/>
                <w:sz w:val="16"/>
                <w:szCs w:val="16"/>
                <w:lang w:bidi="ar-SA"/>
                <w:highlight w:val="auto"/>
              </w:rPr>
            </w:pPr>
          </w:p>
        </w:tc>
        <w:tc>
          <w:tcPr>
            <w:tcW w:w="115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220" w:type="dxa"/>
            <w:tcBorders>
              <w:tl2br w:val="nil"/>
              <w:tr2bl w:val="nil"/>
            </w:tcBorders>
            <w:shd w:val="clear" w:color="auto" w:fill="FFFFFF"/>
            <w:vAlign w:val="center"/>
          </w:tcPr>
          <w:p>
            <w:pPr>
              <w:pStyle w:val="2319"/>
              <w:ind w:leftChars="100" w:left="210"/>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kern w:val="0"/>
                <w:sz w:val="16"/>
                <w:szCs w:val="16"/>
                <w:lang w:bidi="ar-SA"/>
                <w:highlight w:val="auto"/>
              </w:rPr>
            </w:pPr>
          </w:p>
        </w:tc>
        <w:tc>
          <w:tcPr>
            <w:tcW w:w="1210" w:type="dxa"/>
            <w:gridSpan w:val="2"/>
            <w:tcBorders>
              <w:tl2br w:val="nil"/>
              <w:tr2bl w:val="nil"/>
            </w:tcBorders>
            <w:vAlign w:val="center"/>
          </w:tcPr>
          <w:p>
            <w:pPr>
              <w:widowControl/>
              <w:jc w:val="right"/>
              <w:textAlignment w:val="center"/>
              <w:rPr>
                <w:color w:val="000000"/>
                <w:kern w:val="0"/>
                <w:sz w:val="16"/>
                <w:szCs w:val="16"/>
                <w:lang w:bidi="ar-SA"/>
                <w:highlight w:val="auto"/>
              </w:rPr>
            </w:pPr>
          </w:p>
        </w:tc>
        <w:tc>
          <w:tcPr>
            <w:tcW w:w="1120" w:type="dxa"/>
            <w:tcBorders>
              <w:tl2br w:val="nil"/>
              <w:tr2bl w:val="nil"/>
            </w:tcBorders>
            <w:vAlign w:val="center"/>
          </w:tcPr>
          <w:p>
            <w:pPr>
              <w:widowControl/>
              <w:jc w:val="right"/>
              <w:textAlignment w:val="center"/>
              <w:rPr>
                <w:color w:val="000000"/>
                <w:kern w:val="0"/>
                <w:sz w:val="16"/>
                <w:szCs w:val="16"/>
                <w:lang w:bidi="ar-SA"/>
                <w:highlight w:val="auto"/>
              </w:rPr>
            </w:pPr>
          </w:p>
        </w:tc>
        <w:tc>
          <w:tcPr>
            <w:tcW w:w="960" w:type="dxa"/>
            <w:tcBorders>
              <w:tl2br w:val="nil"/>
              <w:tr2bl w:val="nil"/>
            </w:tcBorders>
            <w:vAlign w:val="center"/>
          </w:tcPr>
          <w:p>
            <w:pPr>
              <w:widowControl/>
              <w:jc w:val="right"/>
              <w:textAlignment w:val="center"/>
              <w:rPr>
                <w:color w:val="000000"/>
                <w:kern w:val="0"/>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204</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公共安全支出</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9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20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15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60" w:type="dxa"/>
            <w:tcBorders>
              <w:tl2br w:val="nil"/>
              <w:tr2bl w:val="nil"/>
            </w:tcBorders>
            <w:vAlign w:val="center"/>
          </w:tcPr>
          <w:p>
            <w:pPr>
              <w:widowControl/>
              <w:jc w:val="right"/>
              <w:textAlignment w:val="center"/>
              <w:rPr>
                <w:b/>
                <w:bCs/>
                <w:color w:val="000000"/>
                <w:sz w:val="16"/>
                <w:szCs w:val="16"/>
                <w:highlight w:val="auto"/>
              </w:rPr>
            </w:pPr>
          </w:p>
        </w:tc>
        <w:tc>
          <w:tcPr>
            <w:tcW w:w="1210" w:type="dxa"/>
            <w:gridSpan w:val="2"/>
            <w:tcBorders>
              <w:tl2br w:val="nil"/>
              <w:tr2bl w:val="nil"/>
            </w:tcBorders>
            <w:vAlign w:val="center"/>
          </w:tcPr>
          <w:p>
            <w:pPr>
              <w:widowControl/>
              <w:jc w:val="right"/>
              <w:textAlignment w:val="center"/>
              <w:rPr>
                <w:b/>
                <w:bCs/>
                <w:color w:val="000000"/>
                <w:sz w:val="16"/>
                <w:szCs w:val="16"/>
                <w:highlight w:val="auto"/>
              </w:rPr>
            </w:pPr>
          </w:p>
        </w:tc>
        <w:tc>
          <w:tcPr>
            <w:tcW w:w="1120" w:type="dxa"/>
            <w:tcBorders>
              <w:tl2br w:val="nil"/>
              <w:tr2bl w:val="nil"/>
            </w:tcBorders>
            <w:vAlign w:val="center"/>
          </w:tcPr>
          <w:p>
            <w:pPr>
              <w:widowControl/>
              <w:jc w:val="right"/>
              <w:textAlignment w:val="center"/>
              <w:rPr>
                <w:b/>
                <w:bCs/>
                <w:color w:val="000000"/>
                <w:sz w:val="16"/>
                <w:szCs w:val="16"/>
                <w:highlight w:val="auto"/>
              </w:rPr>
            </w:pPr>
          </w:p>
        </w:tc>
        <w:tc>
          <w:tcPr>
            <w:tcW w:w="96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20410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缉私警察</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widowControl/>
              <w:jc w:val="right"/>
              <w:textAlignment w:val="center"/>
              <w:rPr>
                <w:sz w:val="16"/>
                <w:szCs w:val="16"/>
                <w:highlight w:val="auto"/>
              </w:rPr>
            </w:pPr>
          </w:p>
        </w:tc>
        <w:tc>
          <w:tcPr>
            <w:tcW w:w="1200" w:type="dxa"/>
            <w:tcBorders>
              <w:tl2br w:val="nil"/>
              <w:tr2bl w:val="nil"/>
            </w:tcBorders>
            <w:shd w:val="clear" w:color="auto" w:fill="FFFFFF"/>
            <w:vAlign w:val="center"/>
          </w:tcPr>
          <w:p>
            <w:pPr>
              <w:widowControl/>
              <w:jc w:val="right"/>
              <w:textAlignment w:val="center"/>
              <w:rPr>
                <w:sz w:val="16"/>
                <w:szCs w:val="16"/>
                <w:highlight w:val="auto"/>
              </w:rPr>
            </w:pPr>
          </w:p>
        </w:tc>
        <w:tc>
          <w:tcPr>
            <w:tcW w:w="1150" w:type="dxa"/>
            <w:tcBorders>
              <w:tl2br w:val="nil"/>
              <w:tr2bl w:val="nil"/>
            </w:tcBorders>
            <w:shd w:val="clear" w:color="auto" w:fill="FFFFFF"/>
            <w:vAlign w:val="center"/>
          </w:tcPr>
          <w:p>
            <w:pPr>
              <w:widowControl/>
              <w:jc w:val="right"/>
              <w:textAlignment w:val="center"/>
              <w:rPr>
                <w:sz w:val="16"/>
                <w:szCs w:val="16"/>
                <w:highlight w:val="auto"/>
              </w:rPr>
            </w:pPr>
          </w:p>
        </w:tc>
        <w:tc>
          <w:tcPr>
            <w:tcW w:w="12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widowControl/>
              <w:jc w:val="right"/>
              <w:textAlignment w:val="center"/>
              <w:rPr>
                <w:color w:val="000000"/>
                <w:sz w:val="16"/>
                <w:szCs w:val="16"/>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教育支出</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9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20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150" w:type="dxa"/>
            <w:tcBorders>
              <w:tl2br w:val="nil"/>
              <w:tr2bl w:val="nil"/>
            </w:tcBorders>
            <w:shd w:val="clear" w:color="auto" w:fill="FFFFFF"/>
            <w:vAlign w:val="center"/>
          </w:tcPr>
          <w:p>
            <w:pPr>
              <w:widowControl/>
              <w:jc w:val="right"/>
              <w:textAlignment w:val="center"/>
              <w:rPr>
                <w:b/>
                <w:bCs/>
                <w:sz w:val="16"/>
                <w:szCs w:val="16"/>
                <w:highlight w:val="auto"/>
              </w:rPr>
            </w:pPr>
          </w:p>
        </w:tc>
        <w:tc>
          <w:tcPr>
            <w:tcW w:w="1220" w:type="dxa"/>
            <w:tcBorders>
              <w:tl2br w:val="nil"/>
              <w:tr2bl w:val="nil"/>
            </w:tcBorders>
            <w:shd w:val="clear" w:color="auto" w:fill="FFFFFF"/>
            <w:vAlign w:val="center"/>
          </w:tcPr>
          <w:p>
            <w:pPr>
              <w:widowControl/>
              <w:jc w:val="right"/>
              <w:textAlignment w:val="center"/>
              <w:rPr>
                <w:b/>
                <w:bCs/>
                <w:color w:val="000000"/>
                <w:sz w:val="16"/>
                <w:szCs w:val="16"/>
                <w:highlight w:val="auto"/>
              </w:rPr>
            </w:pPr>
          </w:p>
        </w:tc>
        <w:tc>
          <w:tcPr>
            <w:tcW w:w="1160" w:type="dxa"/>
            <w:tcBorders>
              <w:tl2br w:val="nil"/>
              <w:tr2bl w:val="nil"/>
            </w:tcBorders>
            <w:vAlign w:val="center"/>
          </w:tcPr>
          <w:p>
            <w:pPr>
              <w:widowControl/>
              <w:jc w:val="right"/>
              <w:textAlignment w:val="center"/>
              <w:rPr>
                <w:b/>
                <w:bCs/>
                <w:color w:val="000000"/>
                <w:sz w:val="16"/>
                <w:szCs w:val="16"/>
                <w:highlight w:val="auto"/>
              </w:rPr>
            </w:pPr>
          </w:p>
        </w:tc>
        <w:tc>
          <w:tcPr>
            <w:tcW w:w="1210" w:type="dxa"/>
            <w:gridSpan w:val="2"/>
            <w:tcBorders>
              <w:tl2br w:val="nil"/>
              <w:tr2bl w:val="nil"/>
            </w:tcBorders>
            <w:vAlign w:val="center"/>
          </w:tcPr>
          <w:p>
            <w:pPr>
              <w:widowControl/>
              <w:jc w:val="right"/>
              <w:textAlignment w:val="center"/>
              <w:rPr>
                <w:b/>
                <w:bCs/>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20502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普通教育</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widowControl/>
              <w:jc w:val="right"/>
              <w:textAlignment w:val="center"/>
              <w:rPr>
                <w:sz w:val="16"/>
                <w:szCs w:val="16"/>
                <w:highlight w:val="auto"/>
              </w:rPr>
            </w:pPr>
          </w:p>
        </w:tc>
        <w:tc>
          <w:tcPr>
            <w:tcW w:w="1200" w:type="dxa"/>
            <w:tcBorders>
              <w:tl2br w:val="nil"/>
              <w:tr2bl w:val="nil"/>
            </w:tcBorders>
            <w:shd w:val="clear" w:color="auto" w:fill="FFFFFF"/>
            <w:vAlign w:val="center"/>
          </w:tcPr>
          <w:p>
            <w:pPr>
              <w:widowControl/>
              <w:jc w:val="right"/>
              <w:textAlignment w:val="center"/>
              <w:rPr>
                <w:sz w:val="16"/>
                <w:szCs w:val="16"/>
                <w:highlight w:val="auto"/>
              </w:rPr>
            </w:pPr>
          </w:p>
        </w:tc>
        <w:tc>
          <w:tcPr>
            <w:tcW w:w="1150" w:type="dxa"/>
            <w:tcBorders>
              <w:tl2br w:val="nil"/>
              <w:tr2bl w:val="nil"/>
            </w:tcBorders>
            <w:shd w:val="clear" w:color="auto" w:fill="FFFFFF"/>
            <w:vAlign w:val="center"/>
          </w:tcPr>
          <w:p>
            <w:pPr>
              <w:widowControl/>
              <w:jc w:val="right"/>
              <w:textAlignment w:val="center"/>
              <w:rPr>
                <w:sz w:val="16"/>
                <w:szCs w:val="16"/>
                <w:highlight w:val="auto"/>
              </w:rPr>
            </w:pPr>
          </w:p>
        </w:tc>
        <w:tc>
          <w:tcPr>
            <w:tcW w:w="1220" w:type="dxa"/>
            <w:tcBorders>
              <w:tl2br w:val="nil"/>
              <w:tr2bl w:val="nil"/>
            </w:tcBorders>
            <w:shd w:val="clear" w:color="auto" w:fill="FFFFFF"/>
            <w:vAlign w:val="center"/>
          </w:tcPr>
          <w:p>
            <w:pPr>
              <w:widowControl/>
              <w:jc w:val="right"/>
              <w:textAlignment w:val="center"/>
              <w:rPr>
                <w:color w:val="000000"/>
                <w:sz w:val="16"/>
                <w:szCs w:val="16"/>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2050205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高等教育</w:t>
            </w:r>
          </w:p>
        </w:tc>
        <w:tc>
          <w:tcPr>
            <w:tcW w:w="120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2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90" w:type="dxa"/>
            <w:tcBorders>
              <w:tl2br w:val="nil"/>
              <w:tr2bl w:val="nil"/>
            </w:tcBorders>
            <w:shd w:val="clear" w:color="auto" w:fill="FFFFFF"/>
            <w:vAlign w:val="center"/>
          </w:tcPr>
          <w:p>
            <w:pPr>
              <w:widowControl/>
              <w:jc w:val="right"/>
              <w:textAlignment w:val="center"/>
              <w:rPr>
                <w:sz w:val="16"/>
                <w:szCs w:val="16"/>
                <w:highlight w:val="auto"/>
              </w:rPr>
            </w:pPr>
          </w:p>
        </w:tc>
        <w:tc>
          <w:tcPr>
            <w:tcW w:w="1200" w:type="dxa"/>
            <w:tcBorders>
              <w:tl2br w:val="nil"/>
              <w:tr2bl w:val="nil"/>
            </w:tcBorders>
            <w:shd w:val="clear" w:color="auto" w:fill="FFFFFF"/>
            <w:vAlign w:val="center"/>
          </w:tcPr>
          <w:p>
            <w:pPr>
              <w:widowControl/>
              <w:jc w:val="right"/>
              <w:textAlignment w:val="center"/>
              <w:rPr>
                <w:sz w:val="16"/>
                <w:szCs w:val="16"/>
                <w:highlight w:val="auto"/>
              </w:rPr>
            </w:pPr>
          </w:p>
        </w:tc>
        <w:tc>
          <w:tcPr>
            <w:tcW w:w="1150" w:type="dxa"/>
            <w:tcBorders>
              <w:tl2br w:val="nil"/>
              <w:tr2bl w:val="nil"/>
            </w:tcBorders>
            <w:shd w:val="clear" w:color="auto" w:fill="FFFFFF"/>
            <w:vAlign w:val="center"/>
          </w:tcPr>
          <w:p>
            <w:pPr>
              <w:widowControl/>
              <w:jc w:val="right"/>
              <w:textAlignment w:val="center"/>
              <w:rPr>
                <w:sz w:val="16"/>
                <w:szCs w:val="16"/>
                <w:highlight w:val="auto"/>
              </w:rPr>
            </w:pPr>
          </w:p>
        </w:tc>
        <w:tc>
          <w:tcPr>
            <w:tcW w:w="1220" w:type="dxa"/>
            <w:tcBorders>
              <w:tl2br w:val="nil"/>
              <w:tr2bl w:val="nil"/>
            </w:tcBorders>
            <w:shd w:val="clear" w:color="auto" w:fill="FFFFFF"/>
            <w:vAlign w:val="center"/>
          </w:tcPr>
          <w:p>
            <w:pPr>
              <w:widowControl/>
              <w:jc w:val="right"/>
              <w:textAlignment w:val="center"/>
              <w:rPr>
                <w:color w:val="000000"/>
                <w:sz w:val="16"/>
                <w:szCs w:val="16"/>
                <w:highlight w:val="auto"/>
              </w:rPr>
            </w:pPr>
          </w:p>
        </w:tc>
        <w:tc>
          <w:tcPr>
            <w:tcW w:w="1160" w:type="dxa"/>
            <w:tcBorders>
              <w:tl2br w:val="nil"/>
              <w:tr2bl w:val="nil"/>
            </w:tcBorders>
            <w:vAlign w:val="center"/>
          </w:tcPr>
          <w:p>
            <w:pPr>
              <w:widowControl/>
              <w:jc w:val="right"/>
              <w:textAlignment w:val="center"/>
              <w:rPr>
                <w:color w:val="000000"/>
                <w:sz w:val="16"/>
                <w:szCs w:val="16"/>
                <w:highlight w:val="auto"/>
              </w:rPr>
            </w:pPr>
          </w:p>
        </w:tc>
        <w:tc>
          <w:tcPr>
            <w:tcW w:w="1210" w:type="dxa"/>
            <w:gridSpan w:val="2"/>
            <w:tcBorders>
              <w:tl2br w:val="nil"/>
              <w:tr2bl w:val="nil"/>
            </w:tcBorders>
            <w:vAlign w:val="center"/>
          </w:tcPr>
          <w:p>
            <w:pPr>
              <w:widowControl/>
              <w:jc w:val="right"/>
              <w:textAlignment w:val="center"/>
              <w:rPr>
                <w:color w:val="00000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6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bl>
    <w:p>
      <w:pPr>
        <w:pStyle w:val="2319"/>
        <w:rPr>
          <w:rFonts w:ascii="Times New Roman" w:eastAsia="宋体" w:hAnsi="Times New Roman"/>
          <w:highlight w:val="auto"/>
        </w:rPr>
      </w:pPr>
    </w:p>
    <w:p>
      <w:pPr>
        <w:pStyle w:val="2319"/>
        <w:rPr>
          <w:rFonts w:ascii="Times New Roman" w:eastAsia="宋体" w:hAnsi="Times New Roman"/>
          <w:highlight w:val="auto"/>
        </w:rPr>
        <w:sectPr>
          <w:pgSz w:w="16841" w:h="11907"/>
          <w:pgMar w:top="796" w:right="881" w:bottom="0" w:left="883" w:header="0" w:footer="0" w:gutter="0"/>
          <w:pgNumType/>
          <w:docGrid w:linePitch="285" w:charSpace="0"/>
        </w:sectPr>
      </w:pPr>
    </w:p>
    <w:tbl>
      <w:tblPr>
        <w:jc w:val="center"/>
        <w:tblW w:w="14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83"/>
        <w:gridCol w:w="2440"/>
        <w:gridCol w:w="1195"/>
        <w:gridCol w:w="1135"/>
        <w:gridCol w:w="1180"/>
        <w:gridCol w:w="1210"/>
        <w:gridCol w:w="1170"/>
        <w:gridCol w:w="1180"/>
        <w:gridCol w:w="1200"/>
        <w:gridCol w:w="1190"/>
        <w:gridCol w:w="1120"/>
        <w:gridCol w:w="979"/>
      </w:tblGrid>
      <w:tr>
        <w:trPr>
          <w:trHeight w:val="719"/>
        </w:trPr>
        <w:tc>
          <w:tcPr>
            <w:tcW w:w="3423" w:type="dxa"/>
            <w:gridSpan w:val="2"/>
            <w:tcBorders>
              <w:tl2br w:val="nil"/>
              <w:tr2bl w:val="nil"/>
            </w:tcBorders>
          </w:tcPr>
          <w:p>
            <w:pPr>
              <w:pStyle w:val="2320"/>
              <w:spacing w:before="263"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spacing w:val="-1"/>
                <w:sz w:val="16"/>
                <w:szCs w:val="16"/>
                <w:lang w:bidi="ar-SA"/>
                <w:highlight w:val="auto"/>
              </w:rPr>
              <w:t>4</w:t>
            </w:r>
            <w:r>
              <w:rPr>
                <w:rFonts w:ascii="Times New Roman" w:eastAsia="宋体" w:cs="Microsoft JhengHei" w:hAnsi="Times New Roman" w:hint="eastAsia"/>
                <w:spacing w:val="-1"/>
                <w:sz w:val="16"/>
                <w:szCs w:val="16"/>
                <w:lang w:bidi="ar-SA"/>
                <w:highlight w:val="auto"/>
              </w:rPr>
              <w:t>分类科目</w:t>
            </w:r>
          </w:p>
        </w:tc>
        <w:tc>
          <w:tcPr>
            <w:tcW w:w="2330" w:type="dxa"/>
            <w:gridSpan w:val="2"/>
            <w:tcBorders>
              <w:tl2br w:val="nil"/>
              <w:tr2bl w:val="nil"/>
            </w:tcBorders>
          </w:tcPr>
          <w:p>
            <w:pPr>
              <w:pStyle w:val="2321"/>
              <w:spacing w:before="263" w:line="180" w:lineRule="auto"/>
              <w:ind w:firstLine="634"/>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4"/>
                <w:sz w:val="16"/>
                <w:szCs w:val="16"/>
                <w:lang w:bidi="ar-SA"/>
              </w:rPr>
              <w:t>202</w:t>
            </w:r>
            <w:r>
              <w:rPr>
                <w:rFonts w:ascii="Times New Roman" w:eastAsia="宋体" w:cs="Microsoft JhengHei" w:hAnsi="Times New Roman"/>
                <w:spacing w:val="-4"/>
                <w:sz w:val="16"/>
                <w:szCs w:val="16"/>
                <w:lang w:bidi="ar-SA"/>
              </w:rPr>
              <w:t>5</w:t>
            </w:r>
            <w:r>
              <w:rPr>
                <w:rFonts w:ascii="Times New Roman" w:eastAsia="宋体" w:cs="Microsoft JhengHei" w:hAnsi="Times New Roman" w:hint="eastAsia"/>
                <w:spacing w:val="-4"/>
                <w:sz w:val="16"/>
                <w:szCs w:val="16"/>
                <w:lang w:bidi="ar-SA"/>
                <w:highlight w:val="auto"/>
              </w:rPr>
              <w:t>年执行数</w:t>
            </w:r>
          </w:p>
        </w:tc>
        <w:tc>
          <w:tcPr>
            <w:tcW w:w="4740" w:type="dxa"/>
            <w:gridSpan w:val="4"/>
            <w:tcBorders>
              <w:tl2br w:val="nil"/>
              <w:tr2bl w:val="nil"/>
            </w:tcBorders>
          </w:tcPr>
          <w:p>
            <w:pPr>
              <w:pStyle w:val="2322"/>
              <w:spacing w:before="263" w:line="180" w:lineRule="auto"/>
              <w:ind w:firstLine="1785"/>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4"/>
                <w:sz w:val="16"/>
                <w:szCs w:val="16"/>
                <w:lang w:bidi="ar-SA"/>
              </w:rPr>
              <w:t>2026</w:t>
            </w:r>
            <w:r>
              <w:rPr>
                <w:rFonts w:ascii="Times New Roman" w:eastAsia="宋体" w:cs="Microsoft JhengHei" w:hAnsi="Times New Roman" w:hint="eastAsia"/>
                <w:spacing w:val="-4"/>
                <w:sz w:val="16"/>
                <w:szCs w:val="16"/>
                <w:lang w:bidi="ar-SA"/>
                <w:highlight w:val="auto"/>
              </w:rPr>
              <w:t>年预算数</w:t>
            </w:r>
          </w:p>
        </w:tc>
        <w:tc>
          <w:tcPr>
            <w:tcW w:w="2390" w:type="dxa"/>
            <w:gridSpan w:val="2"/>
            <w:tcBorders>
              <w:tl2br w:val="nil"/>
              <w:tr2bl w:val="nil"/>
            </w:tcBorders>
            <w:vAlign w:val="center"/>
          </w:tcPr>
          <w:p>
            <w:pPr>
              <w:pStyle w:val="2324"/>
              <w:spacing w:before="26" w:line="180" w:lineRule="auto"/>
              <w:ind w:left="874" w:right="143" w:hanging="720"/>
              <w:jc w:val="center"/>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rPr>
              <w:t>2026</w:t>
            </w:r>
            <w:r>
              <w:rPr>
                <w:rFonts w:ascii="Times New Roman" w:eastAsia="宋体" w:cs="Times New Roman" w:hAnsi="Times New Roman"/>
                <w:sz w:val="16"/>
                <w:szCs w:val="16"/>
                <w:lang w:bidi="ar-SA"/>
                <w:highlight w:val="auto"/>
              </w:rPr>
              <w:t>年预算数比</w:t>
            </w:r>
          </w:p>
          <w:p>
            <w:pPr>
              <w:pStyle w:val="2324"/>
              <w:spacing w:before="26" w:line="180" w:lineRule="auto"/>
              <w:ind w:left="874" w:right="143" w:hanging="720"/>
              <w:jc w:val="center"/>
              <w:rPr>
                <w:rFonts w:ascii="Times New Roman" w:eastAsia="宋体" w:cs="Microsoft JhengHei" w:hAnsi="Times New Roman" w:hint="eastAsia"/>
                <w:sz w:val="16"/>
                <w:szCs w:val="16"/>
                <w:lang w:bidi="ar-SA"/>
                <w:highlight w:val="auto"/>
              </w:rPr>
            </w:pPr>
            <w:r>
              <w:rPr>
                <w:rFonts w:ascii="Times New Roman" w:eastAsia="宋体" w:cs="Times New Roman" w:hAnsi="Times New Roman"/>
                <w:sz w:val="16"/>
                <w:szCs w:val="16"/>
                <w:lang w:bidi="ar-SA"/>
              </w:rPr>
              <w:t>2025</w:t>
            </w:r>
            <w:r>
              <w:rPr>
                <w:rFonts w:ascii="Times New Roman" w:eastAsia="宋体" w:cs="Times New Roman" w:hAnsi="Times New Roman"/>
                <w:sz w:val="16"/>
                <w:szCs w:val="16"/>
                <w:lang w:bidi="ar-SA"/>
                <w:highlight w:val="auto"/>
              </w:rPr>
              <w:t>年执行数</w:t>
            </w:r>
          </w:p>
        </w:tc>
        <w:tc>
          <w:tcPr>
            <w:tcW w:w="2099" w:type="dxa"/>
            <w:gridSpan w:val="2"/>
            <w:tcBorders>
              <w:tl2br w:val="nil"/>
              <w:tr2bl w:val="nil"/>
            </w:tcBorders>
            <w:vAlign w:val="center"/>
          </w:tcPr>
          <w:p>
            <w:pPr>
              <w:pStyle w:val="2324"/>
              <w:spacing w:before="26" w:line="180" w:lineRule="auto"/>
              <w:ind w:left="874" w:right="143" w:hanging="720"/>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rPr>
              <w:t>2026</w:t>
            </w:r>
            <w:r>
              <w:rPr>
                <w:rFonts w:ascii="Times New Roman" w:eastAsia="宋体" w:cs="Microsoft JhengHei" w:hAnsi="Times New Roman" w:hint="eastAsia"/>
                <w:spacing w:val="-4"/>
                <w:sz w:val="16"/>
                <w:szCs w:val="16"/>
                <w:lang w:bidi="ar-SA"/>
                <w:highlight w:val="auto"/>
              </w:rPr>
              <w:t>年预算数比</w:t>
            </w:r>
          </w:p>
          <w:p>
            <w:pPr>
              <w:pStyle w:val="2324"/>
              <w:spacing w:before="26" w:line="180" w:lineRule="auto"/>
              <w:ind w:left="874" w:right="143" w:hanging="720"/>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rPr>
              <w:t>202</w:t>
            </w:r>
            <w:r>
              <w:rPr>
                <w:rFonts w:ascii="Times New Roman" w:eastAsia="宋体" w:cs="Microsoft JhengHei" w:hAnsi="Times New Roman"/>
                <w:spacing w:val="-4"/>
                <w:sz w:val="16"/>
                <w:szCs w:val="16"/>
                <w:lang w:bidi="ar-SA"/>
              </w:rPr>
              <w:t>5</w:t>
            </w:r>
            <w:r>
              <w:rPr>
                <w:rFonts w:ascii="Times New Roman" w:eastAsia="宋体" w:cs="Microsoft JhengHei" w:hAnsi="Times New Roman" w:hint="eastAsia"/>
                <w:spacing w:val="-4"/>
                <w:sz w:val="16"/>
                <w:szCs w:val="16"/>
                <w:lang w:bidi="ar-SA"/>
                <w:highlight w:val="auto"/>
              </w:rPr>
              <w:t>年执行数</w:t>
            </w:r>
          </w:p>
          <w:p>
            <w:pPr>
              <w:pStyle w:val="2324"/>
              <w:spacing w:before="26" w:line="180" w:lineRule="auto"/>
              <w:ind w:left="874" w:right="143" w:hanging="720"/>
              <w:jc w:val="center"/>
              <w:rPr>
                <w:rFonts w:ascii="Times New Roman" w:eastAsia="宋体" w:cs="Microsoft JhengHei" w:hAnsi="Times New Roman" w:hint="eastAsia"/>
                <w:spacing w:val="-4"/>
                <w:sz w:val="16"/>
                <w:szCs w:val="16"/>
                <w:lang w:bidi="ar-SA"/>
                <w:highlight w:val="auto"/>
              </w:rPr>
            </w:pPr>
            <w:r>
              <w:rPr>
                <w:rFonts w:ascii="Times New Roman" w:eastAsia="宋体" w:cs="Microsoft JhengHei" w:hAnsi="Times New Roman" w:hint="eastAsia"/>
                <w:spacing w:val="-4"/>
                <w:sz w:val="16"/>
                <w:szCs w:val="16"/>
                <w:lang w:bidi="ar-SA"/>
                <w:highlight w:val="auto"/>
              </w:rPr>
              <w:t>（扣除中央基建投资）</w:t>
            </w:r>
          </w:p>
        </w:tc>
      </w:tr>
      <w:tr>
        <w:trPr>
          <w:trHeight w:val="282"/>
        </w:trPr>
        <w:tc>
          <w:tcPr>
            <w:tcW w:w="983"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spacing w:val="-1"/>
                <w:sz w:val="16"/>
                <w:szCs w:val="16"/>
                <w:lang w:bidi="ar-SA"/>
                <w:highlight w:val="auto"/>
              </w:rPr>
              <w:t>4</w:t>
            </w:r>
            <w:r>
              <w:rPr>
                <w:rFonts w:ascii="Times New Roman" w:eastAsia="宋体" w:cs="Microsoft JhengHei" w:hAnsi="Times New Roman" w:hint="eastAsia"/>
                <w:spacing w:val="-1"/>
                <w:sz w:val="16"/>
                <w:szCs w:val="16"/>
                <w:lang w:bidi="ar-SA"/>
                <w:highlight w:val="auto"/>
              </w:rPr>
              <w:t>科目编码</w:t>
            </w:r>
          </w:p>
        </w:tc>
        <w:tc>
          <w:tcPr>
            <w:tcW w:w="244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科目名称</w:t>
            </w:r>
          </w:p>
        </w:tc>
        <w:tc>
          <w:tcPr>
            <w:tcW w:w="1195"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执行数</w:t>
            </w:r>
          </w:p>
        </w:tc>
        <w:tc>
          <w:tcPr>
            <w:tcW w:w="1135" w:type="dxa"/>
            <w:vMerge w:val="restart"/>
            <w:tcBorders>
              <w:tl2br w:val="nil"/>
              <w:tr2bl w:val="nil"/>
            </w:tcBorders>
            <w:vAlign w:val="center"/>
          </w:tcPr>
          <w:p>
            <w:pPr>
              <w:pStyle w:val="2319"/>
              <w:spacing w:before="20" w:line="182" w:lineRule="auto"/>
              <w:ind w:right="105"/>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扣除中央基建投资后执行数</w:t>
            </w:r>
          </w:p>
        </w:tc>
        <w:tc>
          <w:tcPr>
            <w:tcW w:w="3560" w:type="dxa"/>
            <w:gridSpan w:val="3"/>
            <w:tcBorders>
              <w:tl2br w:val="nil"/>
              <w:tr2bl w:val="nil"/>
            </w:tcBorders>
            <w:vAlign w:val="center"/>
          </w:tcPr>
          <w:p>
            <w:pPr>
              <w:pStyle w:val="3098"/>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年初预算数</w:t>
            </w:r>
          </w:p>
        </w:tc>
        <w:tc>
          <w:tcPr>
            <w:tcW w:w="1180" w:type="dxa"/>
            <w:vMerge w:val="restart"/>
            <w:tcBorders>
              <w:tl2br w:val="nil"/>
              <w:tr2bl w:val="nil"/>
            </w:tcBorders>
            <w:vAlign w:val="center"/>
          </w:tcPr>
          <w:p>
            <w:pPr>
              <w:pStyle w:val="2319"/>
              <w:spacing w:before="20" w:line="182" w:lineRule="auto"/>
              <w:ind w:right="140"/>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2"/>
                <w:sz w:val="16"/>
                <w:szCs w:val="16"/>
                <w:lang w:bidi="ar-SA"/>
                <w:highlight w:val="auto"/>
              </w:rPr>
              <w:t>扣除中央基建投资后预算数</w:t>
            </w:r>
          </w:p>
        </w:tc>
        <w:tc>
          <w:tcPr>
            <w:tcW w:w="120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增减额</w:t>
            </w:r>
          </w:p>
        </w:tc>
        <w:tc>
          <w:tcPr>
            <w:tcW w:w="119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z w:val="16"/>
                <w:szCs w:val="16"/>
                <w:lang w:bidi="ar-SA"/>
                <w:highlight w:val="auto"/>
              </w:rPr>
              <w:t>增减(%)</w:t>
            </w:r>
          </w:p>
        </w:tc>
        <w:tc>
          <w:tcPr>
            <w:tcW w:w="112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增减额</w:t>
            </w:r>
          </w:p>
        </w:tc>
        <w:tc>
          <w:tcPr>
            <w:tcW w:w="979"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z w:val="16"/>
                <w:szCs w:val="16"/>
                <w:lang w:bidi="ar-SA"/>
                <w:highlight w:val="auto"/>
              </w:rPr>
              <w:t>增减(%)</w:t>
            </w:r>
          </w:p>
        </w:tc>
      </w:tr>
      <w:tr>
        <w:trPr>
          <w:trHeight w:val="329"/>
        </w:trPr>
        <w:tc>
          <w:tcPr>
            <w:tcW w:w="983" w:type="dxa"/>
            <w:vMerge/>
            <w:tcBorders>
              <w:tl2br w:val="nil"/>
              <w:tr2bl w:val="nil"/>
            </w:tcBorders>
          </w:tcPr>
          <w:p/>
        </w:tc>
        <w:tc>
          <w:tcPr>
            <w:tcW w:w="2440" w:type="dxa"/>
            <w:vMerge/>
            <w:tcBorders>
              <w:tl2br w:val="nil"/>
              <w:tr2bl w:val="nil"/>
            </w:tcBorders>
          </w:tcPr>
          <w:p/>
        </w:tc>
        <w:tc>
          <w:tcPr>
            <w:tcW w:w="1200" w:type="dxa"/>
            <w:vMerge/>
            <w:tcBorders>
              <w:tl2br w:val="nil"/>
              <w:tr2bl w:val="nil"/>
            </w:tcBorders>
          </w:tcPr>
          <w:p/>
        </w:tc>
        <w:tc>
          <w:tcPr>
            <w:tcW w:w="1130" w:type="dxa"/>
            <w:vMerge/>
            <w:tcBorders>
              <w:tl2br w:val="nil"/>
              <w:tr2bl w:val="nil"/>
            </w:tcBorders>
          </w:tcPr>
          <w:p/>
        </w:tc>
        <w:tc>
          <w:tcPr>
            <w:tcW w:w="1180" w:type="dxa"/>
            <w:tcBorders>
              <w:tl2br w:val="nil"/>
              <w:tr2bl w:val="nil"/>
            </w:tcBorders>
            <w:vAlign w:val="center"/>
          </w:tcPr>
          <w:p>
            <w:pPr>
              <w:pStyle w:val="3099"/>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小计</w:t>
            </w:r>
          </w:p>
        </w:tc>
        <w:tc>
          <w:tcPr>
            <w:tcW w:w="1210" w:type="dxa"/>
            <w:tcBorders>
              <w:tl2br w:val="nil"/>
              <w:tr2bl w:val="nil"/>
            </w:tcBorders>
            <w:vAlign w:val="center"/>
          </w:tcPr>
          <w:p>
            <w:pPr>
              <w:pStyle w:val="3100"/>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基本支出</w:t>
            </w:r>
          </w:p>
        </w:tc>
        <w:tc>
          <w:tcPr>
            <w:tcW w:w="1170" w:type="dxa"/>
            <w:tcBorders>
              <w:tl2br w:val="nil"/>
              <w:tr2bl w:val="nil"/>
            </w:tcBorders>
            <w:vAlign w:val="center"/>
          </w:tcPr>
          <w:p>
            <w:pPr>
              <w:pStyle w:val="3101"/>
              <w:spacing w:before="45" w:line="180" w:lineRule="auto"/>
              <w:jc w:val="center"/>
              <w:rPr>
                <w:rFonts w:ascii="Times New Roman" w:eastAsia="宋体" w:cs="Microsoft JhengHei" w:hAnsi="Times New Roman" w:hint="eastAsia"/>
                <w:sz w:val="16"/>
                <w:szCs w:val="16"/>
                <w:lang w:bidi="ar-SA"/>
                <w:highlight w:val="auto"/>
              </w:rPr>
            </w:pPr>
            <w:r>
              <w:rPr>
                <w:rFonts w:ascii="Times New Roman" w:eastAsia="宋体" w:cs="Microsoft JhengHei" w:hAnsi="Times New Roman" w:hint="eastAsia"/>
                <w:spacing w:val="-1"/>
                <w:sz w:val="16"/>
                <w:szCs w:val="16"/>
                <w:lang w:bidi="ar-SA"/>
                <w:highlight w:val="auto"/>
              </w:rPr>
              <w:t>项目支出</w:t>
            </w:r>
          </w:p>
        </w:tc>
        <w:tc>
          <w:tcPr>
            <w:tcW w:w="1180" w:type="dxa"/>
            <w:vMerge/>
            <w:tcBorders>
              <w:tl2br w:val="nil"/>
              <w:tr2bl w:val="nil"/>
            </w:tcBorders>
          </w:tcPr>
          <w:p/>
        </w:tc>
        <w:tc>
          <w:tcPr>
            <w:tcW w:w="1200" w:type="dxa"/>
            <w:vMerge/>
            <w:tcBorders>
              <w:tl2br w:val="nil"/>
              <w:tr2bl w:val="nil"/>
            </w:tcBorders>
          </w:tcPr>
          <w:p/>
        </w:tc>
        <w:tc>
          <w:tcPr>
            <w:tcW w:w="1190" w:type="dxa"/>
            <w:vMerge/>
            <w:tcBorders>
              <w:tl2br w:val="nil"/>
              <w:tr2bl w:val="nil"/>
            </w:tcBorders>
          </w:tcPr>
          <w:p/>
        </w:tc>
        <w:tc>
          <w:tcPr>
            <w:tcW w:w="1120" w:type="dxa"/>
            <w:vMerge/>
            <w:tcBorders>
              <w:tl2br w:val="nil"/>
              <w:tr2bl w:val="nil"/>
            </w:tcBorders>
          </w:tcPr>
          <w:p/>
        </w:tc>
        <w:tc>
          <w:tcPr>
            <w:tcW w:w="979" w:type="dxa"/>
            <w:vMerge/>
            <w:tcBorders>
              <w:tl2br w:val="nil"/>
              <w:tr2bl w:val="nil"/>
            </w:tcBorders>
          </w:tc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b/>
                <w:bCs/>
                <w:sz w:val="16"/>
                <w:szCs w:val="16"/>
                <w:lang w:bidi="ar-SA"/>
                <w:highlight w:val="auto"/>
              </w:rPr>
              <w:t>208</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b/>
                <w:bCs/>
                <w:sz w:val="16"/>
                <w:szCs w:val="16"/>
                <w:lang w:bidi="ar-SA"/>
                <w:highlight w:val="auto"/>
              </w:rPr>
              <w:t>社会保障和就业支出</w:t>
            </w:r>
          </w:p>
        </w:tc>
        <w:tc>
          <w:tcPr>
            <w:tcW w:w="1195" w:type="dxa"/>
            <w:tcBorders>
              <w:tl2br w:val="nil"/>
              <w:tr2bl w:val="nil"/>
            </w:tcBorders>
            <w:shd w:val="clear" w:color="auto" w:fill="FFFFFF"/>
            <w:vAlign w:val="center"/>
          </w:tcPr>
          <w:p>
            <w:pPr>
              <w:pStyle w:val="3403"/>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64.02</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70.84</w:t>
            </w:r>
          </w:p>
        </w:tc>
        <w:tc>
          <w:tcPr>
            <w:tcW w:w="1210" w:type="dxa"/>
            <w:tcBorders>
              <w:tl2br w:val="nil"/>
              <w:tr2bl w:val="nil"/>
            </w:tcBorders>
            <w:shd w:val="clear" w:color="auto" w:fill="FFFFFF"/>
            <w:vAlign w:val="center"/>
          </w:tcPr>
          <w:p>
            <w:pPr>
              <w:pStyle w:val="3338"/>
              <w:jc w:val="right"/>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70.84</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kern w:val="0"/>
                <w:sz w:val="16"/>
                <w:szCs w:val="16"/>
                <w:lang w:bidi="ar-SA"/>
                <w:highlight w:val="auto"/>
              </w:rPr>
            </w:pPr>
            <w:r>
              <w:rPr>
                <w:kern w:val="0"/>
                <w:sz w:val="16"/>
                <w:szCs w:val="16"/>
                <w:lang w:bidi="ar-SA"/>
                <w:highlight w:val="auto"/>
              </w:rPr>
              <w:t>6.82</w:t>
            </w:r>
          </w:p>
        </w:tc>
        <w:tc>
          <w:tcPr>
            <w:tcW w:w="1190" w:type="dxa"/>
            <w:tcBorders>
              <w:tl2br w:val="nil"/>
              <w:tr2bl w:val="nil"/>
            </w:tcBorders>
            <w:vAlign w:val="center"/>
          </w:tcPr>
          <w:p>
            <w:pPr>
              <w:widowControl/>
              <w:jc w:val="right"/>
              <w:textAlignment w:val="center"/>
              <w:rPr>
                <w:kern w:val="0"/>
                <w:sz w:val="16"/>
                <w:szCs w:val="16"/>
                <w:lang w:bidi="ar-SA"/>
                <w:highlight w:val="auto"/>
              </w:rPr>
            </w:pPr>
            <w:r>
              <w:rPr>
                <w:kern w:val="0"/>
                <w:sz w:val="16"/>
                <w:szCs w:val="16"/>
                <w:lang w:bidi="ar-SA"/>
                <w:highlight w:val="auto"/>
              </w:rPr>
              <w:t>10.65%</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行政事业单位养老支出</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r>
              <w:rPr>
                <w:rFonts w:ascii="Times New Roman" w:eastAsia="宋体" w:cs="Times New Roman" w:hAnsi="Times New Roman"/>
                <w:sz w:val="16"/>
                <w:szCs w:val="16"/>
                <w:lang w:bidi="ar-SA"/>
                <w:highlight w:val="auto"/>
              </w:rPr>
              <w:t>64.02</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rFonts w:ascii="Times New Roman" w:eastAsia="宋体" w:cs="Times New Roman" w:hAnsi="Times New Roman"/>
                <w:sz w:val="16"/>
                <w:szCs w:val="16"/>
                <w:lang w:bidi="ar-SA"/>
                <w:highlight w:val="auto"/>
              </w:rPr>
              <w:t>66.21</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rFonts w:ascii="Times New Roman" w:eastAsia="宋体" w:cs="Times New Roman" w:hAnsi="Times New Roman"/>
                <w:sz w:val="16"/>
                <w:szCs w:val="16"/>
                <w:lang w:bidi="ar-SA"/>
                <w:highlight w:val="auto"/>
              </w:rPr>
              <w:t>66.21</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2.19</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3.42%</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2080501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行政单位离退休</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5.24</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4.63</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4.63</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-0.61</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-11.64%</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2080502</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事业单位离退休</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p>
        </w:tc>
        <w:tc>
          <w:tcPr>
            <w:tcW w:w="1210" w:type="dxa"/>
            <w:tcBorders>
              <w:tl2br w:val="nil"/>
              <w:tr2bl w:val="nil"/>
            </w:tcBorders>
            <w:shd w:val="clear" w:color="auto" w:fill="FFFFFF"/>
            <w:vAlign w:val="center"/>
          </w:tcPr>
          <w:p>
            <w:pPr>
              <w:widowControl/>
              <w:jc w:val="right"/>
              <w:textAlignment w:val="center"/>
              <w:rPr>
                <w:sz w:val="16"/>
                <w:szCs w:val="16"/>
                <w:highlight w:val="auto"/>
              </w:rPr>
            </w:pP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p>
        </w:tc>
        <w:tc>
          <w:tcPr>
            <w:tcW w:w="1190" w:type="dxa"/>
            <w:tcBorders>
              <w:tl2br w:val="nil"/>
              <w:tr2bl w:val="nil"/>
            </w:tcBorders>
            <w:vAlign w:val="center"/>
          </w:tcPr>
          <w:p>
            <w:pPr>
              <w:widowControl/>
              <w:jc w:val="right"/>
              <w:textAlignment w:val="center"/>
              <w:rPr>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2080503</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离退休人员管理机构</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p>
        </w:tc>
        <w:tc>
          <w:tcPr>
            <w:tcW w:w="1210" w:type="dxa"/>
            <w:tcBorders>
              <w:tl2br w:val="nil"/>
              <w:tr2bl w:val="nil"/>
            </w:tcBorders>
            <w:shd w:val="clear" w:color="auto" w:fill="FFFFFF"/>
            <w:vAlign w:val="center"/>
          </w:tcPr>
          <w:p>
            <w:pPr>
              <w:widowControl/>
              <w:jc w:val="right"/>
              <w:textAlignment w:val="center"/>
              <w:rPr>
                <w:sz w:val="16"/>
                <w:szCs w:val="16"/>
                <w:highlight w:val="auto"/>
              </w:rPr>
            </w:pP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p>
        </w:tc>
        <w:tc>
          <w:tcPr>
            <w:tcW w:w="1190" w:type="dxa"/>
            <w:tcBorders>
              <w:tl2br w:val="nil"/>
              <w:tr2bl w:val="nil"/>
            </w:tcBorders>
            <w:vAlign w:val="center"/>
          </w:tcPr>
          <w:p>
            <w:pPr>
              <w:widowControl/>
              <w:jc w:val="right"/>
              <w:textAlignment w:val="center"/>
              <w:rPr>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2080505</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lang w:bidi="ar-SA"/>
                <w:highlight w:val="auto"/>
              </w:rPr>
            </w:pPr>
            <w:r>
              <w:rPr>
                <w:rFonts w:ascii="Times New Roman" w:eastAsia="宋体" w:cs="Times New Roman" w:hAnsi="Times New Roman"/>
                <w:sz w:val="13"/>
                <w:szCs w:val="13"/>
                <w:lang w:bidi="ar-SA"/>
                <w:highlight w:val="auto"/>
              </w:rPr>
              <w:t>机关事业单位基本养老保险缴费支出</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39.7</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41.05</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41.05</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1.35</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3.4%</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2080506</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lang w:bidi="ar-SA"/>
                <w:highlight w:val="auto"/>
              </w:rPr>
            </w:pPr>
            <w:r>
              <w:rPr>
                <w:rFonts w:ascii="Times New Roman" w:eastAsia="宋体" w:cs="Times New Roman" w:hAnsi="Times New Roman"/>
                <w:sz w:val="15"/>
                <w:szCs w:val="15"/>
                <w:lang w:bidi="ar-SA"/>
                <w:highlight w:val="auto"/>
              </w:rPr>
              <w:t>机关事业单位职业年金缴费支出</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19.08</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25.16</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25.16</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6.08</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31.87%</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210</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卫生健康支出</w:t>
            </w:r>
          </w:p>
        </w:tc>
        <w:tc>
          <w:tcPr>
            <w:tcW w:w="1195"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22.77</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23.21</w:t>
            </w:r>
          </w:p>
        </w:tc>
        <w:tc>
          <w:tcPr>
            <w:tcW w:w="1210"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23.21</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20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0.44</w:t>
            </w:r>
          </w:p>
        </w:tc>
        <w:tc>
          <w:tcPr>
            <w:tcW w:w="119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1.93%</w:t>
            </w: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21011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行政事业单位医疗</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22.77</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23.21</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23.21</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0.44</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1.93%</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2101101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行政单位医疗</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22.31</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22.7</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22.7</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0.39</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1.75%</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2101103</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公务员医疗补助</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p>
        </w:tc>
        <w:tc>
          <w:tcPr>
            <w:tcW w:w="1210" w:type="dxa"/>
            <w:tcBorders>
              <w:tl2br w:val="nil"/>
              <w:tr2bl w:val="nil"/>
            </w:tcBorders>
            <w:shd w:val="clear" w:color="auto" w:fill="FFFFFF"/>
            <w:vAlign w:val="center"/>
          </w:tcPr>
          <w:p>
            <w:pPr>
              <w:widowControl/>
              <w:jc w:val="right"/>
              <w:textAlignment w:val="center"/>
              <w:rPr>
                <w:sz w:val="16"/>
                <w:szCs w:val="16"/>
                <w:highlight w:val="auto"/>
              </w:rPr>
            </w:pP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color w:val="00B050"/>
                <w:sz w:val="16"/>
                <w:szCs w:val="16"/>
                <w:highlight w:val="auto"/>
              </w:rPr>
            </w:pPr>
          </w:p>
        </w:tc>
        <w:tc>
          <w:tcPr>
            <w:tcW w:w="1190" w:type="dxa"/>
            <w:tcBorders>
              <w:tl2br w:val="nil"/>
              <w:tr2bl w:val="nil"/>
            </w:tcBorders>
            <w:vAlign w:val="center"/>
          </w:tcPr>
          <w:p>
            <w:pPr>
              <w:widowControl/>
              <w:jc w:val="right"/>
              <w:textAlignment w:val="center"/>
              <w:rPr>
                <w:color w:val="00B050"/>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8"/>
        </w:trPr>
        <w:tc>
          <w:tcPr>
            <w:tcW w:w="983" w:type="dxa"/>
            <w:tcBorders>
              <w:tl2br w:val="nil"/>
              <w:tr2bl w:val="nil"/>
            </w:tcBorders>
            <w:shd w:val="clear" w:color="auto" w:fill="auto"/>
            <w:vAlign w:val="center"/>
          </w:tcPr>
          <w:p>
            <w:pPr>
              <w:pStyle w:val="3157"/>
              <w:widowControl/>
              <w:jc w:val="center"/>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2101199</w:t>
            </w:r>
          </w:p>
        </w:tc>
        <w:tc>
          <w:tcPr>
            <w:tcW w:w="2440" w:type="dxa"/>
            <w:tcBorders>
              <w:tl2br w:val="nil"/>
              <w:tr2bl w:val="nil"/>
            </w:tcBorders>
            <w:shd w:val="clear" w:color="auto" w:fill="auto"/>
            <w:vAlign w:val="center"/>
          </w:tcPr>
          <w:p>
            <w:pPr>
              <w:pStyle w:val="3158"/>
              <w:widowControl/>
              <w:ind w:leftChars="94" w:left="197"/>
              <w:rPr>
                <w:rFonts w:ascii="Times New Roman" w:eastAsia="宋体" w:cs="宋体" w:hAnsi="Times New Roman"/>
                <w:color w:val="000000"/>
                <w:kern w:val="0"/>
                <w:sz w:val="16"/>
                <w:szCs w:val="16"/>
              </w:rPr>
            </w:pPr>
            <w:r>
              <w:rPr>
                <w:rFonts w:ascii="Times New Roman" w:eastAsia="宋体" w:cs="宋体" w:hAnsi="Times New Roman" w:hint="eastAsia"/>
                <w:color w:val="000000"/>
                <w:kern w:val="0"/>
                <w:sz w:val="16"/>
                <w:szCs w:val="16"/>
              </w:rPr>
              <w:t>其他行政事业单位医疗支出</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0.46</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0.51</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0.51</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0.05</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10.87%</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221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住房保障支出</w:t>
            </w:r>
          </w:p>
        </w:tc>
        <w:tc>
          <w:tcPr>
            <w:tcW w:w="1195"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87.53</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77.77</w:t>
            </w:r>
          </w:p>
        </w:tc>
        <w:tc>
          <w:tcPr>
            <w:tcW w:w="1210" w:type="dxa"/>
            <w:tcBorders>
              <w:tl2br w:val="nil"/>
              <w:tr2bl w:val="nil"/>
            </w:tcBorders>
            <w:shd w:val="clear" w:color="auto" w:fill="FFFFFF"/>
            <w:vAlign w:val="center"/>
          </w:tcPr>
          <w:p>
            <w:pPr>
              <w:widowControl/>
              <w:jc w:val="right"/>
              <w:textAlignment w:val="center"/>
              <w:rPr>
                <w:b/>
                <w:bCs/>
                <w:sz w:val="16"/>
                <w:szCs w:val="16"/>
                <w:highlight w:val="auto"/>
              </w:rPr>
            </w:pPr>
            <w:r>
              <w:rPr>
                <w:b/>
                <w:bCs/>
                <w:sz w:val="16"/>
                <w:szCs w:val="16"/>
                <w:highlight w:val="auto"/>
              </w:rPr>
              <w:t>77.77</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p>
        </w:tc>
        <w:tc>
          <w:tcPr>
            <w:tcW w:w="120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-9.76</w:t>
            </w:r>
          </w:p>
        </w:tc>
        <w:tc>
          <w:tcPr>
            <w:tcW w:w="119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-11.15%</w:t>
            </w: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22102</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住房改革支出</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87.53</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77.77</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77.77</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-9.76</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-11.15%</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2210201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住房公积金</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41.45</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49.2</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49.2</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7.75</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18.7%</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2210202</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提租补贴</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p>
        </w:tc>
        <w:tc>
          <w:tcPr>
            <w:tcW w:w="1210" w:type="dxa"/>
            <w:tcBorders>
              <w:tl2br w:val="nil"/>
              <w:tr2bl w:val="nil"/>
            </w:tcBorders>
            <w:shd w:val="clear" w:color="auto" w:fill="FFFFFF"/>
            <w:vAlign w:val="center"/>
          </w:tcPr>
          <w:p>
            <w:pPr>
              <w:widowControl/>
              <w:jc w:val="right"/>
              <w:textAlignment w:val="center"/>
              <w:rPr>
                <w:sz w:val="16"/>
                <w:szCs w:val="16"/>
                <w:highlight w:val="auto"/>
              </w:rPr>
            </w:pP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p>
        </w:tc>
        <w:tc>
          <w:tcPr>
            <w:tcW w:w="1190" w:type="dxa"/>
            <w:tcBorders>
              <w:tl2br w:val="nil"/>
              <w:tr2bl w:val="nil"/>
            </w:tcBorders>
            <w:vAlign w:val="center"/>
          </w:tcPr>
          <w:p>
            <w:pPr>
              <w:widowControl/>
              <w:jc w:val="right"/>
              <w:textAlignment w:val="center"/>
              <w:rPr>
                <w:sz w:val="16"/>
                <w:szCs w:val="16"/>
                <w:highlight w:val="auto"/>
              </w:rPr>
            </w:pP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2210203</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lang w:bidi="ar-SA"/>
                <w:highlight w:val="auto"/>
              </w:rPr>
            </w:pPr>
            <w:r>
              <w:rPr>
                <w:rFonts w:ascii="Times New Roman" w:eastAsia="宋体" w:cs="Times New Roman" w:hAnsi="Times New Roman"/>
                <w:sz w:val="16"/>
                <w:szCs w:val="16"/>
                <w:lang w:bidi="ar-SA"/>
                <w:highlight w:val="auto"/>
              </w:rPr>
              <w:t>购房补贴</w:t>
            </w:r>
          </w:p>
        </w:tc>
        <w:tc>
          <w:tcPr>
            <w:tcW w:w="1195"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46.08</w:t>
            </w:r>
          </w:p>
        </w:tc>
        <w:tc>
          <w:tcPr>
            <w:tcW w:w="1135"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28.57</w:t>
            </w:r>
          </w:p>
        </w:tc>
        <w:tc>
          <w:tcPr>
            <w:tcW w:w="1210" w:type="dxa"/>
            <w:tcBorders>
              <w:tl2br w:val="nil"/>
              <w:tr2bl w:val="nil"/>
            </w:tcBorders>
            <w:shd w:val="clear" w:color="auto" w:fill="FFFFFF"/>
            <w:vAlign w:val="center"/>
          </w:tcPr>
          <w:p>
            <w:pPr>
              <w:widowControl/>
              <w:jc w:val="right"/>
              <w:textAlignment w:val="center"/>
              <w:rPr>
                <w:sz w:val="16"/>
                <w:szCs w:val="16"/>
                <w:highlight w:val="auto"/>
              </w:rPr>
            </w:pPr>
            <w:r>
              <w:rPr>
                <w:sz w:val="16"/>
                <w:szCs w:val="16"/>
                <w:highlight w:val="auto"/>
              </w:rPr>
              <w:t>28.57</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lang w:bidi="ar-SA"/>
                <w:highlight w:val="auto"/>
              </w:rPr>
            </w:pPr>
          </w:p>
        </w:tc>
        <w:tc>
          <w:tcPr>
            <w:tcW w:w="1200" w:type="dxa"/>
            <w:tcBorders>
              <w:tl2br w:val="nil"/>
              <w:tr2bl w:val="nil"/>
            </w:tcBorders>
            <w:vAlign w:val="center"/>
          </w:tcPr>
          <w:p>
            <w:pPr>
              <w:widowControl/>
              <w:jc w:val="right"/>
              <w:textAlignment w:val="center"/>
              <w:rPr>
                <w:sz w:val="16"/>
                <w:szCs w:val="16"/>
                <w:highlight w:val="auto"/>
              </w:rPr>
            </w:pPr>
            <w:r>
              <w:rPr>
                <w:sz w:val="16"/>
                <w:szCs w:val="16"/>
                <w:highlight w:val="auto"/>
              </w:rPr>
              <w:t>-17.51</w:t>
            </w:r>
          </w:p>
        </w:tc>
        <w:tc>
          <w:tcPr>
            <w:tcW w:w="1190" w:type="dxa"/>
            <w:tcBorders>
              <w:tl2br w:val="nil"/>
              <w:tr2bl w:val="nil"/>
            </w:tcBorders>
            <w:vAlign w:val="center"/>
          </w:tcPr>
          <w:p>
            <w:pPr>
              <w:widowControl/>
              <w:jc w:val="right"/>
              <w:textAlignment w:val="center"/>
              <w:rPr>
                <w:sz w:val="16"/>
                <w:szCs w:val="16"/>
                <w:highlight w:val="auto"/>
              </w:rPr>
            </w:pPr>
            <w:r>
              <w:rPr>
                <w:sz w:val="16"/>
                <w:szCs w:val="16"/>
                <w:highlight w:val="auto"/>
              </w:rPr>
              <w:t>38%</w:t>
            </w:r>
          </w:p>
        </w:tc>
        <w:tc>
          <w:tcPr>
            <w:tcW w:w="1120"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sz w:val="16"/>
                <w:szCs w:val="16"/>
                <w:lang w:bidi="ar-SA"/>
                <w:highlight w:val="auto"/>
              </w:rPr>
            </w:pPr>
          </w:p>
        </w:tc>
      </w:tr>
      <w:tr>
        <w:trPr>
          <w:trHeight w:val="297"/>
        </w:trPr>
        <w:tc>
          <w:tcPr>
            <w:tcW w:w="3423" w:type="dxa"/>
            <w:gridSpan w:val="2"/>
            <w:tcBorders>
              <w:tl2br w:val="nil"/>
              <w:tr2bl w:val="nil"/>
            </w:tcBorders>
            <w:shd w:val="clear" w:color="auto" w:fill="auto"/>
          </w:tcPr>
          <w:p>
            <w:pPr>
              <w:pStyle w:val="2319"/>
              <w:spacing w:before="68" w:line="187" w:lineRule="auto"/>
              <w:jc w:val="center"/>
              <w:rPr>
                <w:rFonts w:ascii="Times New Roman" w:eastAsia="宋体" w:cs="宋体" w:hAnsi="Times New Roman" w:hint="eastAsia"/>
                <w:b/>
                <w:bCs/>
                <w:sz w:val="16"/>
                <w:szCs w:val="16"/>
                <w:lang w:bidi="ar-SA"/>
                <w:highlight w:val="auto"/>
              </w:rPr>
            </w:pPr>
            <w:r>
              <w:rPr>
                <w:rFonts w:ascii="Times New Roman" w:eastAsia="宋体" w:cs="宋体" w:hAnsi="Times New Roman" w:hint="eastAsia"/>
                <w:b/>
                <w:bCs/>
                <w:spacing w:val="-4"/>
                <w:sz w:val="16"/>
                <w:szCs w:val="16"/>
                <w:lang w:bidi="ar-SA"/>
                <w:highlight w:val="auto"/>
              </w:rPr>
              <w:t>合</w:t>
            </w:r>
            <w:r>
              <w:rPr>
                <w:rFonts w:ascii="Times New Roman" w:eastAsia="宋体" w:cs="宋体" w:hAnsi="Times New Roman" w:hint="eastAsia"/>
                <w:b/>
                <w:bCs/>
                <w:spacing w:val="5"/>
                <w:sz w:val="16"/>
                <w:szCs w:val="16"/>
                <w:lang w:bidi="ar-SA"/>
                <w:highlight w:val="auto"/>
              </w:rPr>
              <w:t xml:space="preserve">  </w:t>
            </w:r>
            <w:r>
              <w:rPr>
                <w:rFonts w:ascii="Times New Roman" w:eastAsia="宋体" w:cs="宋体" w:hAnsi="Times New Roman" w:hint="eastAsia"/>
                <w:b/>
                <w:bCs/>
                <w:spacing w:val="-4"/>
                <w:sz w:val="16"/>
                <w:szCs w:val="16"/>
                <w:lang w:bidi="ar-SA"/>
                <w:highlight w:val="auto"/>
              </w:rPr>
              <w:t>计</w:t>
            </w:r>
          </w:p>
        </w:tc>
        <w:tc>
          <w:tcPr>
            <w:tcW w:w="1195" w:type="dxa"/>
            <w:tcBorders>
              <w:tl2br w:val="nil"/>
              <w:tr2bl w:val="nil"/>
            </w:tcBorders>
            <w:shd w:val="clear" w:color="auto" w:fill="FFFFFF"/>
            <w:vAlign w:val="center"/>
          </w:tcPr>
          <w:p>
            <w:pPr>
              <w:pStyle w:val="2319"/>
              <w:jc w:val="right"/>
              <w:rPr>
                <w:rFonts w:ascii="Times New Roman" w:eastAsia="宋体" w:cs="Times New Roman" w:hAnsi="Times New Roman"/>
                <w:b/>
                <w:bCs/>
                <w:color w:val="auto"/>
                <w:sz w:val="16"/>
                <w:szCs w:val="16"/>
                <w:lang w:bidi="ar-SA"/>
                <w:highlight w:val="auto"/>
              </w:rPr>
            </w:pPr>
            <w:r>
              <w:rPr>
                <w:rFonts w:ascii="Times New Roman" w:eastAsia="宋体" w:cs="Times New Roman" w:hAnsi="Times New Roman"/>
                <w:b/>
                <w:bCs/>
                <w:color w:val="auto"/>
                <w:sz w:val="16"/>
                <w:szCs w:val="16"/>
                <w:lang w:bidi="ar-SA"/>
                <w:highlight w:val="auto"/>
              </w:rPr>
              <w:t>789.21</w:t>
            </w:r>
          </w:p>
        </w:tc>
        <w:tc>
          <w:tcPr>
            <w:tcW w:w="1135" w:type="dxa"/>
            <w:tcBorders>
              <w:tl2br w:val="nil"/>
              <w:tr2bl w:val="nil"/>
            </w:tcBorders>
            <w:shd w:val="clear" w:color="auto" w:fill="FFFFFF"/>
            <w:vAlign w:val="center"/>
          </w:tcPr>
          <w:p>
            <w:pPr>
              <w:pStyle w:val="3404"/>
              <w:jc w:val="both"/>
              <w:rPr>
                <w:rFonts w:ascii="Times New Roman" w:eastAsia="宋体" w:cs="Times New Roman" w:hAnsi="Times New Roman"/>
                <w:b/>
                <w:bCs/>
                <w:color w:val="auto"/>
                <w:sz w:val="16"/>
                <w:szCs w:val="16"/>
                <w:lang w:bidi="ar-SA"/>
                <w:highlight w:val="auto"/>
              </w:rPr>
            </w:pPr>
          </w:p>
        </w:tc>
        <w:tc>
          <w:tcPr>
            <w:tcW w:w="118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844.8</w:t>
            </w:r>
          </w:p>
        </w:tc>
        <w:tc>
          <w:tcPr>
            <w:tcW w:w="121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751.75</w:t>
            </w:r>
          </w:p>
        </w:tc>
        <w:tc>
          <w:tcPr>
            <w:tcW w:w="1170" w:type="dxa"/>
            <w:tcBorders>
              <w:tl2br w:val="nil"/>
              <w:tr2bl w:val="nil"/>
            </w:tcBorders>
            <w:shd w:val="clear" w:color="auto" w:fill="FFFFFF"/>
            <w:vAlign w:val="center"/>
          </w:tcPr>
          <w:p>
            <w:pPr>
              <w:pStyle w:val="3339"/>
              <w:jc w:val="right"/>
              <w:rPr>
                <w:rFonts w:ascii="Times New Roman" w:eastAsia="宋体" w:cs="Times New Roman" w:hAnsi="Times New Roman"/>
                <w:b/>
                <w:bCs/>
                <w:sz w:val="16"/>
                <w:szCs w:val="16"/>
                <w:lang w:bidi="ar-SA"/>
                <w:highlight w:val="auto"/>
              </w:rPr>
            </w:pPr>
            <w:r>
              <w:rPr>
                <w:rFonts w:ascii="Times New Roman" w:eastAsia="宋体" w:cs="Times New Roman" w:hAnsi="Times New Roman"/>
                <w:b/>
                <w:bCs/>
                <w:sz w:val="16"/>
                <w:szCs w:val="16"/>
                <w:lang w:bidi="ar-SA"/>
                <w:highlight w:val="auto"/>
              </w:rPr>
              <w:t>93.05</w:t>
            </w:r>
          </w:p>
        </w:tc>
        <w:tc>
          <w:tcPr>
            <w:tcW w:w="1180" w:type="dxa"/>
            <w:tcBorders>
              <w:tl2br w:val="nil"/>
              <w:tr2bl w:val="nil"/>
            </w:tcBorders>
            <w:shd w:val="clear" w:color="auto" w:fill="FFFFFF"/>
          </w:tcPr>
          <w:p>
            <w:pPr>
              <w:pStyle w:val="2319"/>
              <w:spacing w:before="95" w:line="187" w:lineRule="auto"/>
              <w:ind w:firstLine="313"/>
              <w:jc w:val="right"/>
              <w:rPr>
                <w:rFonts w:ascii="Times New Roman" w:eastAsia="宋体" w:cs="Times New Roman" w:hAnsi="Times New Roman"/>
                <w:b/>
                <w:bCs/>
                <w:sz w:val="16"/>
                <w:szCs w:val="16"/>
                <w:lang w:bidi="ar-SA"/>
                <w:highlight w:val="auto"/>
              </w:rPr>
            </w:pPr>
          </w:p>
        </w:tc>
        <w:tc>
          <w:tcPr>
            <w:tcW w:w="120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55.59</w:t>
            </w:r>
          </w:p>
        </w:tc>
        <w:tc>
          <w:tcPr>
            <w:tcW w:w="1190" w:type="dxa"/>
            <w:tcBorders>
              <w:tl2br w:val="nil"/>
              <w:tr2bl w:val="nil"/>
            </w:tcBorders>
            <w:vAlign w:val="center"/>
          </w:tcPr>
          <w:p>
            <w:pPr>
              <w:widowControl/>
              <w:jc w:val="right"/>
              <w:textAlignment w:val="center"/>
              <w:rPr>
                <w:b/>
                <w:bCs/>
                <w:sz w:val="16"/>
                <w:szCs w:val="16"/>
                <w:highlight w:val="auto"/>
              </w:rPr>
            </w:pPr>
            <w:r>
              <w:rPr>
                <w:b/>
                <w:bCs/>
                <w:sz w:val="16"/>
                <w:szCs w:val="16"/>
                <w:highlight w:val="auto"/>
              </w:rPr>
              <w:t>7.04%</w:t>
            </w:r>
          </w:p>
        </w:tc>
        <w:tc>
          <w:tcPr>
            <w:tcW w:w="1120"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c>
          <w:tcPr>
            <w:tcW w:w="979" w:type="dxa"/>
            <w:tcBorders>
              <w:tl2br w:val="nil"/>
              <w:tr2bl w:val="nil"/>
            </w:tcBorders>
            <w:vAlign w:val="center"/>
          </w:tcPr>
          <w:p>
            <w:pPr>
              <w:pStyle w:val="2319"/>
              <w:jc w:val="right"/>
              <w:rPr>
                <w:rFonts w:ascii="Times New Roman" w:eastAsia="宋体" w:cs="Times New Roman" w:hAnsi="Times New Roman"/>
                <w:b/>
                <w:bCs/>
                <w:sz w:val="16"/>
                <w:szCs w:val="16"/>
                <w:lang w:bidi="ar-SA"/>
                <w:highlight w:val="auto"/>
              </w:rPr>
            </w:pPr>
          </w:p>
        </w:tc>
      </w:tr>
    </w:tbl>
    <w:p>
      <w:pPr>
        <w:pStyle w:val="2319"/>
        <w:rPr>
          <w:rFonts w:ascii="Times New Roman" w:eastAsia="宋体" w:hAnsi="Times New Roman"/>
          <w:highlight w:val="auto"/>
        </w:rPr>
      </w:pPr>
    </w:p>
    <w:p>
      <w:pPr>
        <w:pStyle w:val="2319"/>
        <w:rPr>
          <w:rFonts w:ascii="Times New Roman" w:eastAsia="宋体" w:hAnsi="Times New Roman"/>
          <w:highlight w:val="auto"/>
        </w:rPr>
        <w:sectPr>
          <w:pgSz w:w="16840" w:h="11907"/>
          <w:pgMar w:top="737" w:right="879" w:bottom="567" w:left="885" w:header="0" w:footer="0" w:gutter="0"/>
          <w:pgNumType/>
          <w:docGrid w:linePitch="285" w:charSpace="0"/>
        </w:sectPr>
      </w:pPr>
    </w:p>
    <w:p>
      <w:pPr>
        <w:jc w:val="right"/>
        <w:rPr>
          <w:rFonts w:ascii="黑体" w:eastAsia="黑体" w:cs="黑体"/>
          <w:snapToGrid w:val="0"/>
          <w:sz w:val="20"/>
          <w:szCs w:val="20"/>
          <w:lang w:bidi="ar-SA"/>
          <w:highlight w:val="auto"/>
        </w:rPr>
      </w:pPr>
    </w:p>
    <w:p>
      <w:pPr>
        <w:jc w:val="right"/>
        <w:rPr>
          <w:rFonts w:ascii="黑体" w:eastAsia="黑体" w:cs="黑体" w:hint="eastAsia"/>
          <w:snapToGrid w:val="0"/>
          <w:sz w:val="20"/>
          <w:szCs w:val="20"/>
          <w:lang w:bidi="ar-SA"/>
          <w:highlight w:val="auto"/>
        </w:rPr>
      </w:pPr>
      <w:r>
        <w:rPr>
          <w:rFonts w:ascii="黑体" w:eastAsia="黑体" w:cs="黑体" w:hint="eastAsia"/>
          <w:snapToGrid w:val="0"/>
          <w:sz w:val="20"/>
          <w:szCs w:val="20"/>
          <w:lang w:bidi="ar-SA"/>
          <w:highlight w:val="auto"/>
        </w:rPr>
        <w:t>部门公开表 6</w:t>
      </w:r>
    </w:p>
    <w:p>
      <w:pPr>
        <w:jc w:val="center"/>
        <w:rPr>
          <w:rFonts w:cs="Microsoft JhengHei" w:hint="eastAsia"/>
          <w:b/>
          <w:sz w:val="36"/>
          <w:szCs w:val="36"/>
          <w:lang w:bidi="ar-SA"/>
          <w:highlight w:val="auto"/>
        </w:rPr>
      </w:pPr>
      <w:r>
        <w:rPr>
          <w:rFonts w:cs="Microsoft JhengHei" w:hint="eastAsia"/>
          <w:b/>
          <w:snapToGrid w:val="0"/>
          <w:color w:val="000000"/>
          <w:sz w:val="36"/>
          <w:szCs w:val="36"/>
          <w:lang w:bidi="ar-SA"/>
          <w:highlight w:val="auto"/>
        </w:rPr>
        <w:t>一般公共预算基本支出表</w:t>
      </w:r>
    </w:p>
    <w:p>
      <w:pPr>
        <w:pStyle w:val="2325"/>
        <w:spacing w:before="42" w:line="180" w:lineRule="auto"/>
        <w:ind w:firstLine="9712"/>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2325"/>
        <w:spacing w:line="19" w:lineRule="auto"/>
        <w:rPr>
          <w:rFonts w:ascii="Times New Roman" w:eastAsia="宋体" w:hAnsi="Times New Roman"/>
          <w:sz w:val="2"/>
          <w:highlight w:val="auto"/>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1"/>
                <w:sz w:val="20"/>
                <w:szCs w:val="20"/>
                <w:lang w:bidi="ar-SA"/>
                <w:highlight w:val="auto"/>
              </w:rPr>
              <w:t>部门预算支出经济分类科目</w:t>
            </w:r>
          </w:p>
        </w:tc>
        <w:tc>
          <w:tcPr>
            <w:tcW w:w="5403"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5"/>
                <w:sz w:val="20"/>
                <w:szCs w:val="20"/>
                <w:lang w:bidi="ar-SA"/>
                <w:highlight w:val="auto"/>
              </w:rPr>
              <w:t>本年一般公共预算基本支出</w:t>
            </w:r>
          </w:p>
        </w:tc>
      </w:tr>
      <w:tr>
        <w:trPr>
          <w:trHeight w:val="356"/>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2"/>
                <w:sz w:val="20"/>
                <w:szCs w:val="20"/>
                <w:lang w:bidi="ar-SA"/>
                <w:highlight w:val="auto"/>
              </w:rPr>
              <w:t>科目编码</w:t>
            </w:r>
          </w:p>
        </w:tc>
        <w:tc>
          <w:tcPr>
            <w:tcW w:w="4151" w:type="dxa"/>
            <w:tcBorders>
              <w:tl2br w:val="nil"/>
              <w:tr2bl w:val="nil"/>
            </w:tcBorders>
            <w:vAlign w:val="center"/>
          </w:tcPr>
          <w:p>
            <w:pPr>
              <w:pStyle w:val="2325"/>
              <w:spacing w:before="35" w:line="180"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2"/>
                <w:sz w:val="20"/>
                <w:szCs w:val="20"/>
                <w:lang w:bidi="ar-SA"/>
                <w:highlight w:val="auto"/>
              </w:rPr>
              <w:t>科目名称</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合计</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人员经费</w:t>
            </w:r>
          </w:p>
        </w:tc>
        <w:tc>
          <w:tcPr>
            <w:tcW w:w="1805" w:type="dxa"/>
            <w:tcBorders>
              <w:tl2br w:val="nil"/>
              <w:tr2bl w:val="nil"/>
            </w:tcBorders>
            <w:vAlign w:val="center"/>
          </w:tcPr>
          <w:p>
            <w:pPr>
              <w:pStyle w:val="2325"/>
              <w:spacing w:before="35" w:line="182" w:lineRule="auto"/>
              <w:jc w:val="center"/>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1"/>
                <w:sz w:val="20"/>
                <w:szCs w:val="20"/>
                <w:lang w:bidi="ar-SA"/>
                <w:highlight w:val="auto"/>
              </w:rPr>
              <w:t>公用经费</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301</w:t>
            </w:r>
          </w:p>
        </w:tc>
        <w:tc>
          <w:tcPr>
            <w:tcW w:w="4151" w:type="dxa"/>
            <w:tcBorders>
              <w:tl2br w:val="nil"/>
              <w:tr2bl w:val="nil"/>
            </w:tcBorders>
            <w:vAlign w:val="center"/>
          </w:tcPr>
          <w:p>
            <w:pPr>
              <w:pStyle w:val="2325"/>
              <w:ind w:leftChars="100" w:left="210"/>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工资福利支出</w:t>
            </w:r>
          </w:p>
        </w:tc>
        <w:tc>
          <w:tcPr>
            <w:tcW w:w="1799" w:type="dxa"/>
            <w:tcBorders>
              <w:tl2br w:val="nil"/>
              <w:tr2bl w:val="nil"/>
            </w:tcBorders>
            <w:vAlign w:val="center"/>
          </w:tcPr>
          <w:p>
            <w:pPr>
              <w:pStyle w:val="3340"/>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539.56</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539.56</w:t>
            </w:r>
          </w:p>
        </w:tc>
        <w:tc>
          <w:tcPr>
            <w:tcW w:w="1805" w:type="dxa"/>
            <w:tcBorders>
              <w:tl2br w:val="nil"/>
              <w:tr2bl w:val="nil"/>
            </w:tcBorders>
            <w:vAlign w:val="center"/>
          </w:tcPr>
          <w:p>
            <w:pPr>
              <w:pStyle w:val="2325"/>
              <w:jc w:val="right"/>
              <w:rPr>
                <w:rFonts w:ascii="Times New Roman" w:eastAsia="宋体" w:cs="Times New Roman" w:hAnsi="Times New Roman"/>
                <w:b/>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基本工资</w:t>
            </w:r>
          </w:p>
        </w:tc>
        <w:tc>
          <w:tcPr>
            <w:tcW w:w="1799" w:type="dxa"/>
            <w:tcBorders>
              <w:tl2br w:val="nil"/>
              <w:tr2bl w:val="nil"/>
            </w:tcBorders>
            <w:vAlign w:val="center"/>
          </w:tcPr>
          <w:p>
            <w:pPr>
              <w:pStyle w:val="3341"/>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125.52</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125.52</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30102</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津贴补贴</w:t>
            </w:r>
          </w:p>
        </w:tc>
        <w:tc>
          <w:tcPr>
            <w:tcW w:w="1799" w:type="dxa"/>
            <w:tcBorders>
              <w:tl2br w:val="nil"/>
              <w:tr2bl w:val="nil"/>
            </w:tcBorders>
            <w:vAlign w:val="center"/>
          </w:tcPr>
          <w:p>
            <w:pPr>
              <w:pStyle w:val="3342"/>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264.12</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264.12</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奖金</w:t>
            </w:r>
          </w:p>
        </w:tc>
        <w:tc>
          <w:tcPr>
            <w:tcW w:w="1799" w:type="dxa"/>
            <w:tcBorders>
              <w:tl2br w:val="nil"/>
              <w:tr2bl w:val="nil"/>
            </w:tcBorders>
            <w:vAlign w:val="center"/>
          </w:tcPr>
          <w:p>
            <w:pPr>
              <w:pStyle w:val="3343"/>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11.10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11.10</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伙食补助费</w:t>
            </w:r>
          </w:p>
        </w:tc>
        <w:tc>
          <w:tcPr>
            <w:tcW w:w="1799" w:type="dxa"/>
            <w:tcBorders>
              <w:tl2br w:val="nil"/>
              <w:tr2bl w:val="nil"/>
            </w:tcBorders>
            <w:vAlign w:val="center"/>
          </w:tcPr>
          <w:p>
            <w:pPr>
              <w:pStyle w:val="3344"/>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绩效工资</w:t>
            </w:r>
          </w:p>
        </w:tc>
        <w:tc>
          <w:tcPr>
            <w:tcW w:w="1799" w:type="dxa"/>
            <w:tcBorders>
              <w:tl2br w:val="nil"/>
              <w:tr2bl w:val="nil"/>
            </w:tcBorders>
            <w:vAlign w:val="center"/>
          </w:tcPr>
          <w:p>
            <w:pPr>
              <w:pStyle w:val="3345"/>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3"/>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机关事业单位基本养老保险缴费</w:t>
            </w:r>
          </w:p>
        </w:tc>
        <w:tc>
          <w:tcPr>
            <w:tcW w:w="1799" w:type="dxa"/>
            <w:tcBorders>
              <w:tl2br w:val="nil"/>
              <w:tr2bl w:val="nil"/>
            </w:tcBorders>
            <w:vAlign w:val="center"/>
          </w:tcPr>
          <w:p>
            <w:pPr>
              <w:pStyle w:val="3346"/>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41.05</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41.05</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30109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职业年金缴费</w:t>
            </w:r>
          </w:p>
        </w:tc>
        <w:tc>
          <w:tcPr>
            <w:tcW w:w="1799" w:type="dxa"/>
            <w:tcBorders>
              <w:tl2br w:val="nil"/>
              <w:tr2bl w:val="nil"/>
            </w:tcBorders>
            <w:vAlign w:val="center"/>
          </w:tcPr>
          <w:p>
            <w:pPr>
              <w:pStyle w:val="334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25.16</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25.16</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30110</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职工基本医疗保险缴费</w:t>
            </w:r>
          </w:p>
        </w:tc>
        <w:tc>
          <w:tcPr>
            <w:tcW w:w="1799" w:type="dxa"/>
            <w:tcBorders>
              <w:tl2br w:val="nil"/>
              <w:tr2bl w:val="nil"/>
            </w:tcBorders>
            <w:vAlign w:val="center"/>
          </w:tcPr>
          <w:p>
            <w:pPr>
              <w:pStyle w:val="3348"/>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22.70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22.70</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30111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公务员医疗补助缴费</w:t>
            </w:r>
          </w:p>
        </w:tc>
        <w:tc>
          <w:tcPr>
            <w:tcW w:w="1799" w:type="dxa"/>
            <w:tcBorders>
              <w:tl2br w:val="nil"/>
              <w:tr2bl w:val="nil"/>
            </w:tcBorders>
            <w:vAlign w:val="center"/>
          </w:tcPr>
          <w:p>
            <w:pPr>
              <w:pStyle w:val="3349"/>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30112</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其他社会保障缴费</w:t>
            </w:r>
          </w:p>
        </w:tc>
        <w:tc>
          <w:tcPr>
            <w:tcW w:w="1799" w:type="dxa"/>
            <w:tcBorders>
              <w:tl2br w:val="nil"/>
              <w:tr2bl w:val="nil"/>
            </w:tcBorders>
            <w:vAlign w:val="center"/>
          </w:tcPr>
          <w:p>
            <w:pPr>
              <w:pStyle w:val="3350"/>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0.51</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0.51</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30113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住房公积金</w:t>
            </w:r>
          </w:p>
        </w:tc>
        <w:tc>
          <w:tcPr>
            <w:tcW w:w="1799" w:type="dxa"/>
            <w:tcBorders>
              <w:tl2br w:val="nil"/>
              <w:tr2bl w:val="nil"/>
            </w:tcBorders>
            <w:vAlign w:val="center"/>
          </w:tcPr>
          <w:p>
            <w:pPr>
              <w:pStyle w:val="3351"/>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49.20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49.20</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30114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医疗费</w:t>
            </w:r>
          </w:p>
        </w:tc>
        <w:tc>
          <w:tcPr>
            <w:tcW w:w="1799" w:type="dxa"/>
            <w:tcBorders>
              <w:tl2br w:val="nil"/>
              <w:tr2bl w:val="nil"/>
            </w:tcBorders>
            <w:vAlign w:val="center"/>
          </w:tcPr>
          <w:p>
            <w:pPr>
              <w:pStyle w:val="3352"/>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30199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其他工资福利支出</w:t>
            </w:r>
          </w:p>
        </w:tc>
        <w:tc>
          <w:tcPr>
            <w:tcW w:w="1799" w:type="dxa"/>
            <w:tcBorders>
              <w:tl2br w:val="nil"/>
              <w:tr2bl w:val="nil"/>
            </w:tcBorders>
            <w:vAlign w:val="center"/>
          </w:tcPr>
          <w:p>
            <w:pPr>
              <w:pStyle w:val="3353"/>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0.20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0.20</w:t>
            </w: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302</w:t>
            </w:r>
          </w:p>
        </w:tc>
        <w:tc>
          <w:tcPr>
            <w:tcW w:w="4151" w:type="dxa"/>
            <w:tcBorders>
              <w:tl2br w:val="nil"/>
              <w:tr2bl w:val="nil"/>
            </w:tcBorders>
            <w:vAlign w:val="center"/>
          </w:tcPr>
          <w:p>
            <w:pPr>
              <w:pStyle w:val="2325"/>
              <w:ind w:leftChars="100" w:left="210"/>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商品和服务支出</w:t>
            </w:r>
          </w:p>
        </w:tc>
        <w:tc>
          <w:tcPr>
            <w:tcW w:w="1799" w:type="dxa"/>
            <w:tcBorders>
              <w:tl2br w:val="nil"/>
              <w:tr2bl w:val="nil"/>
            </w:tcBorders>
            <w:vAlign w:val="center"/>
          </w:tcPr>
          <w:p>
            <w:pPr>
              <w:pStyle w:val="3354"/>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183.03</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b/>
                <w:sz w:val="20"/>
                <w:szCs w:val="20"/>
                <w:lang w:bidi="ar-SA"/>
                <w:highlight w:val="auto"/>
              </w:rPr>
            </w:pPr>
            <w:r>
              <w:rPr>
                <w:rFonts w:ascii="Times New Roman" w:eastAsia="宋体" w:cs="Times New Roman" w:hAnsi="Times New Roman"/>
                <w:b/>
                <w:sz w:val="20"/>
                <w:szCs w:val="20"/>
                <w:lang w:bidi="ar-SA"/>
                <w:highlight w:val="auto"/>
              </w:rPr>
              <w:t>183.03</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办公费</w:t>
            </w:r>
          </w:p>
        </w:tc>
        <w:tc>
          <w:tcPr>
            <w:tcW w:w="1799" w:type="dxa"/>
            <w:tcBorders>
              <w:tl2br w:val="nil"/>
              <w:tr2bl w:val="nil"/>
            </w:tcBorders>
            <w:vAlign w:val="center"/>
          </w:tcPr>
          <w:p>
            <w:pPr>
              <w:pStyle w:val="3355"/>
              <w:jc w:val="right"/>
              <w:rPr>
                <w:rFonts w:ascii="Times New Roman" w:eastAsia="宋体" w:cs="Times New Roman" w:hAnsi="Times New Roman"/>
                <w:color w:val="auto"/>
                <w:sz w:val="20"/>
                <w:szCs w:val="20"/>
                <w:lang w:bidi="ar-SA"/>
                <w:highlight w:val="auto"/>
              </w:rPr>
            </w:pPr>
            <w:r>
              <w:rPr>
                <w:rFonts w:ascii="Times New Roman" w:eastAsia="宋体" w:cs="Times New Roman" w:hAnsi="Times New Roman"/>
                <w:color w:val="auto"/>
                <w:sz w:val="20"/>
                <w:szCs w:val="20"/>
                <w:lang w:bidi="ar-SA"/>
                <w:highlight w:val="auto"/>
              </w:rPr>
              <w:t>3.50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3.50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30202</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印刷费</w:t>
            </w:r>
          </w:p>
        </w:tc>
        <w:tc>
          <w:tcPr>
            <w:tcW w:w="1799" w:type="dxa"/>
            <w:tcBorders>
              <w:tl2br w:val="nil"/>
              <w:tr2bl w:val="nil"/>
            </w:tcBorders>
            <w:vAlign w:val="center"/>
          </w:tcPr>
          <w:p>
            <w:pPr>
              <w:pStyle w:val="3356"/>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咨询费</w:t>
            </w:r>
          </w:p>
        </w:tc>
        <w:tc>
          <w:tcPr>
            <w:tcW w:w="1799" w:type="dxa"/>
            <w:tcBorders>
              <w:tl2br w:val="nil"/>
              <w:tr2bl w:val="nil"/>
            </w:tcBorders>
            <w:vAlign w:val="center"/>
          </w:tcPr>
          <w:p>
            <w:pPr>
              <w:pStyle w:val="3357"/>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手续费</w:t>
            </w:r>
          </w:p>
        </w:tc>
        <w:tc>
          <w:tcPr>
            <w:tcW w:w="1799" w:type="dxa"/>
            <w:tcBorders>
              <w:tl2br w:val="nil"/>
              <w:tr2bl w:val="nil"/>
            </w:tcBorders>
            <w:vAlign w:val="center"/>
          </w:tcPr>
          <w:p>
            <w:pPr>
              <w:pStyle w:val="3358"/>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30205</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水费</w:t>
            </w:r>
          </w:p>
        </w:tc>
        <w:tc>
          <w:tcPr>
            <w:tcW w:w="1799" w:type="dxa"/>
            <w:tcBorders>
              <w:tl2br w:val="nil"/>
              <w:tr2bl w:val="nil"/>
            </w:tcBorders>
            <w:vAlign w:val="center"/>
          </w:tcPr>
          <w:p>
            <w:pPr>
              <w:pStyle w:val="3359"/>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1.00</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电费</w:t>
            </w:r>
          </w:p>
        </w:tc>
        <w:tc>
          <w:tcPr>
            <w:tcW w:w="1799" w:type="dxa"/>
            <w:tcBorders>
              <w:tl2br w:val="nil"/>
              <w:tr2bl w:val="nil"/>
            </w:tcBorders>
            <w:vAlign w:val="center"/>
          </w:tcPr>
          <w:p>
            <w:pPr>
              <w:pStyle w:val="3360"/>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6.00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6.00</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邮电费</w:t>
            </w:r>
          </w:p>
        </w:tc>
        <w:tc>
          <w:tcPr>
            <w:tcW w:w="1799" w:type="dxa"/>
            <w:tcBorders>
              <w:tl2br w:val="nil"/>
              <w:tr2bl w:val="nil"/>
            </w:tcBorders>
            <w:vAlign w:val="center"/>
          </w:tcPr>
          <w:p>
            <w:pPr>
              <w:pStyle w:val="3361"/>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7.50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7.50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取暖费</w:t>
            </w:r>
          </w:p>
        </w:tc>
        <w:tc>
          <w:tcPr>
            <w:tcW w:w="1799" w:type="dxa"/>
            <w:tcBorders>
              <w:tl2br w:val="nil"/>
              <w:tr2bl w:val="nil"/>
            </w:tcBorders>
            <w:vAlign w:val="center"/>
          </w:tcPr>
          <w:p>
            <w:pPr>
              <w:pStyle w:val="3362"/>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6.00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6.00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30209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物业管理费</w:t>
            </w:r>
          </w:p>
        </w:tc>
        <w:tc>
          <w:tcPr>
            <w:tcW w:w="1799" w:type="dxa"/>
            <w:tcBorders>
              <w:tl2br w:val="nil"/>
              <w:tr2bl w:val="nil"/>
            </w:tcBorders>
            <w:vAlign w:val="center"/>
          </w:tcPr>
          <w:p>
            <w:pPr>
              <w:pStyle w:val="3363"/>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差旅费</w:t>
            </w:r>
          </w:p>
        </w:tc>
        <w:tc>
          <w:tcPr>
            <w:tcW w:w="1799" w:type="dxa"/>
            <w:tcBorders>
              <w:tl2br w:val="nil"/>
              <w:tr2bl w:val="nil"/>
            </w:tcBorders>
            <w:vAlign w:val="center"/>
          </w:tcPr>
          <w:p>
            <w:pPr>
              <w:pStyle w:val="3364"/>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4.00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维修（护）费</w:t>
            </w:r>
          </w:p>
        </w:tc>
        <w:tc>
          <w:tcPr>
            <w:tcW w:w="1799" w:type="dxa"/>
            <w:tcBorders>
              <w:tl2br w:val="nil"/>
              <w:tr2bl w:val="nil"/>
            </w:tcBorders>
            <w:vAlign w:val="center"/>
          </w:tcPr>
          <w:p>
            <w:pPr>
              <w:pStyle w:val="336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租赁费</w:t>
            </w:r>
          </w:p>
        </w:tc>
        <w:tc>
          <w:tcPr>
            <w:tcW w:w="1799" w:type="dxa"/>
            <w:tcBorders>
              <w:tl2br w:val="nil"/>
              <w:tr2bl w:val="nil"/>
            </w:tcBorders>
            <w:vAlign w:val="center"/>
          </w:tcPr>
          <w:p>
            <w:pPr>
              <w:pStyle w:val="3366"/>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30215</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会议费</w:t>
            </w:r>
          </w:p>
        </w:tc>
        <w:tc>
          <w:tcPr>
            <w:tcW w:w="1799" w:type="dxa"/>
            <w:tcBorders>
              <w:tl2br w:val="nil"/>
              <w:tr2bl w:val="nil"/>
            </w:tcBorders>
            <w:vAlign w:val="center"/>
          </w:tcPr>
          <w:p>
            <w:pPr>
              <w:pStyle w:val="3367"/>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培训费</w:t>
            </w:r>
          </w:p>
        </w:tc>
        <w:tc>
          <w:tcPr>
            <w:tcW w:w="1799" w:type="dxa"/>
            <w:tcBorders>
              <w:tl2br w:val="nil"/>
              <w:tr2bl w:val="nil"/>
            </w:tcBorders>
            <w:vAlign w:val="center"/>
          </w:tcPr>
          <w:p>
            <w:pPr>
              <w:pStyle w:val="3368"/>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0.40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0.40</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公务接待费</w:t>
            </w:r>
          </w:p>
        </w:tc>
        <w:tc>
          <w:tcPr>
            <w:tcW w:w="1799" w:type="dxa"/>
            <w:tcBorders>
              <w:tl2br w:val="nil"/>
              <w:tr2bl w:val="nil"/>
            </w:tcBorders>
            <w:vAlign w:val="center"/>
          </w:tcPr>
          <w:p>
            <w:pPr>
              <w:pStyle w:val="3369"/>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30218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专用材料费</w:t>
            </w:r>
          </w:p>
        </w:tc>
        <w:tc>
          <w:tcPr>
            <w:tcW w:w="1799" w:type="dxa"/>
            <w:tcBorders>
              <w:tl2br w:val="nil"/>
              <w:tr2bl w:val="nil"/>
            </w:tcBorders>
            <w:vAlign w:val="center"/>
          </w:tcPr>
          <w:p>
            <w:pPr>
              <w:pStyle w:val="3370"/>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0.50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0.50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被装购置费</w:t>
            </w:r>
          </w:p>
        </w:tc>
        <w:tc>
          <w:tcPr>
            <w:tcW w:w="1799" w:type="dxa"/>
            <w:tcBorders>
              <w:tl2br w:val="nil"/>
              <w:tr2bl w:val="nil"/>
            </w:tcBorders>
            <w:vAlign w:val="center"/>
          </w:tcPr>
          <w:p>
            <w:pPr>
              <w:pStyle w:val="3371"/>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30225</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专用燃料费</w:t>
            </w:r>
          </w:p>
        </w:tc>
        <w:tc>
          <w:tcPr>
            <w:tcW w:w="1799" w:type="dxa"/>
            <w:tcBorders>
              <w:tl2br w:val="nil"/>
              <w:tr2bl w:val="nil"/>
            </w:tcBorders>
            <w:vAlign w:val="center"/>
          </w:tcPr>
          <w:p>
            <w:pPr>
              <w:pStyle w:val="3372"/>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劳务费</w:t>
            </w:r>
          </w:p>
        </w:tc>
        <w:tc>
          <w:tcPr>
            <w:tcW w:w="1799" w:type="dxa"/>
            <w:tcBorders>
              <w:tl2br w:val="nil"/>
              <w:tr2bl w:val="nil"/>
            </w:tcBorders>
            <w:vAlign w:val="center"/>
          </w:tcPr>
          <w:p>
            <w:pPr>
              <w:pStyle w:val="3373"/>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35.00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35.00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委托业务费</w:t>
            </w:r>
          </w:p>
        </w:tc>
        <w:tc>
          <w:tcPr>
            <w:tcW w:w="1799" w:type="dxa"/>
            <w:tcBorders>
              <w:tl2br w:val="nil"/>
              <w:tr2bl w:val="nil"/>
            </w:tcBorders>
            <w:vAlign w:val="center"/>
          </w:tcPr>
          <w:p>
            <w:pPr>
              <w:pStyle w:val="3374"/>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15.00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15.00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工会经费</w:t>
            </w:r>
          </w:p>
        </w:tc>
        <w:tc>
          <w:tcPr>
            <w:tcW w:w="1799" w:type="dxa"/>
            <w:tcBorders>
              <w:tl2br w:val="nil"/>
              <w:tr2bl w:val="nil"/>
            </w:tcBorders>
            <w:vAlign w:val="center"/>
          </w:tcPr>
          <w:p>
            <w:pPr>
              <w:pStyle w:val="337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16.00</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16.00</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30229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福利费</w:t>
            </w:r>
          </w:p>
        </w:tc>
        <w:tc>
          <w:tcPr>
            <w:tcW w:w="1799" w:type="dxa"/>
            <w:tcBorders>
              <w:tl2br w:val="nil"/>
              <w:tr2bl w:val="nil"/>
            </w:tcBorders>
            <w:vAlign w:val="center"/>
          </w:tcPr>
          <w:p>
            <w:pPr>
              <w:pStyle w:val="3376"/>
              <w:jc w:val="right"/>
              <w:rPr>
                <w:rFonts w:ascii="Times New Roman" w:eastAsia="宋体" w:cs="Times New Roman" w:hAnsi="Times New Roman"/>
                <w:sz w:val="20"/>
                <w:szCs w:val="20"/>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30231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公务用车运行维护费</w:t>
            </w:r>
          </w:p>
        </w:tc>
        <w:tc>
          <w:tcPr>
            <w:tcW w:w="1799" w:type="dxa"/>
            <w:tcBorders>
              <w:tl2br w:val="nil"/>
              <w:tr2bl w:val="nil"/>
            </w:tcBorders>
            <w:vAlign w:val="center"/>
          </w:tcPr>
          <w:p>
            <w:pPr>
              <w:pStyle w:val="3377"/>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5.17</w:t>
            </w:r>
          </w:p>
        </w:tc>
        <w:tc>
          <w:tcPr>
            <w:tcW w:w="1799"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lang w:bidi="ar-SA"/>
                <w:highlight w:val="auto"/>
              </w:rPr>
            </w:pPr>
            <w:r>
              <w:rPr>
                <w:rFonts w:ascii="Times New Roman" w:eastAsia="宋体" w:cs="Times New Roman" w:hAnsi="Times New Roman"/>
                <w:sz w:val="20"/>
                <w:szCs w:val="20"/>
                <w:lang w:bidi="ar-SA"/>
                <w:highlight w:val="auto"/>
              </w:rPr>
              <w:t>5.17</w:t>
            </w:r>
          </w:p>
        </w:tc>
      </w:tr>
    </w:tbl>
    <w:p>
      <w:pPr>
        <w:pStyle w:val="2325"/>
        <w:rPr>
          <w:rFonts w:ascii="Times New Roman" w:eastAsia="宋体" w:hAnsi="Times New Roman"/>
          <w:highlight w:val="auto"/>
        </w:rPr>
      </w:pPr>
    </w:p>
    <w:p>
      <w:pPr>
        <w:pStyle w:val="2325"/>
        <w:rPr>
          <w:rFonts w:ascii="Times New Roman" w:eastAsia="宋体" w:hAnsi="Times New Roman"/>
          <w:highlight w:val="auto"/>
        </w:rPr>
        <w:sectPr>
          <w:pgSz w:w="11907" w:h="16841"/>
          <w:pgMar w:top="1427" w:right="638" w:bottom="0" w:left="451" w:header="0" w:footer="0" w:gutter="0"/>
          <w:pgNumType/>
          <w:docGrid w:linePitch="285" w:charSpace="0"/>
        </w:sectPr>
      </w:pPr>
    </w:p>
    <w:p>
      <w:pPr>
        <w:pStyle w:val="2325"/>
        <w:spacing w:line="89" w:lineRule="auto"/>
        <w:rPr>
          <w:rFonts w:ascii="Times New Roman" w:eastAsia="宋体" w:hAnsi="Times New Roman"/>
          <w:sz w:val="2"/>
          <w:highlight w:val="auto"/>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1"/>
                <w:sz w:val="20"/>
                <w:szCs w:val="20"/>
                <w:lang w:bidi="ar-SA"/>
                <w:highlight w:val="auto"/>
              </w:rPr>
              <w:t>部门预算支出经济分类科目</w:t>
            </w:r>
          </w:p>
        </w:tc>
        <w:tc>
          <w:tcPr>
            <w:tcW w:w="5403"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5"/>
                <w:sz w:val="20"/>
                <w:szCs w:val="20"/>
                <w:lang w:bidi="ar-SA"/>
                <w:highlight w:val="auto"/>
              </w:rPr>
              <w:t>本年一般公共预算基本支出</w:t>
            </w:r>
          </w:p>
        </w:tc>
      </w:tr>
      <w:tr>
        <w:trPr>
          <w:trHeight w:val="357"/>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2"/>
                <w:sz w:val="20"/>
                <w:szCs w:val="20"/>
                <w:lang w:bidi="ar-SA"/>
                <w:highlight w:val="auto"/>
              </w:rPr>
              <w:t>科目编码</w:t>
            </w:r>
          </w:p>
        </w:tc>
        <w:tc>
          <w:tcPr>
            <w:tcW w:w="4151" w:type="dxa"/>
            <w:tcBorders>
              <w:tl2br w:val="nil"/>
              <w:tr2bl w:val="nil"/>
            </w:tcBorders>
            <w:vAlign w:val="center"/>
          </w:tcPr>
          <w:p>
            <w:pPr>
              <w:pStyle w:val="2325"/>
              <w:spacing w:before="35" w:line="180"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2"/>
                <w:sz w:val="20"/>
                <w:szCs w:val="20"/>
                <w:lang w:bidi="ar-SA"/>
                <w:highlight w:val="auto"/>
              </w:rPr>
              <w:t>科目名称</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3"/>
                <w:sz w:val="20"/>
                <w:szCs w:val="20"/>
                <w:lang w:bidi="ar-SA"/>
                <w:highlight w:val="auto"/>
              </w:rPr>
              <w:t>合计</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3"/>
                <w:sz w:val="20"/>
                <w:szCs w:val="20"/>
                <w:lang w:bidi="ar-SA"/>
                <w:highlight w:val="auto"/>
              </w:rPr>
              <w:t>人员经费</w:t>
            </w:r>
          </w:p>
        </w:tc>
        <w:tc>
          <w:tcPr>
            <w:tcW w:w="1805" w:type="dxa"/>
            <w:tcBorders>
              <w:tl2br w:val="nil"/>
              <w:tr2bl w:val="nil"/>
            </w:tcBorders>
            <w:vAlign w:val="center"/>
          </w:tcPr>
          <w:p>
            <w:pPr>
              <w:pStyle w:val="2325"/>
              <w:spacing w:before="35" w:line="182" w:lineRule="auto"/>
              <w:jc w:val="center"/>
              <w:rPr>
                <w:rFonts w:ascii="Times New Roman" w:eastAsia="宋体" w:cs="Microsoft JhengHei" w:hAnsi="Times New Roman" w:hint="eastAsia"/>
                <w:lang w:bidi="ar-SA"/>
                <w:highlight w:val="auto"/>
              </w:rPr>
            </w:pPr>
            <w:r>
              <w:rPr>
                <w:rFonts w:ascii="Times New Roman" w:eastAsia="宋体" w:cs="Microsoft JhengHei" w:hAnsi="Times New Roman" w:hint="eastAsia"/>
                <w:spacing w:val="-1"/>
                <w:sz w:val="20"/>
                <w:szCs w:val="20"/>
                <w:lang w:bidi="ar-SA"/>
                <w:highlight w:val="auto"/>
              </w:rPr>
              <w:t>公用经费</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30239</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其他交通费用</w:t>
            </w:r>
          </w:p>
        </w:tc>
        <w:tc>
          <w:tcPr>
            <w:tcW w:w="1799" w:type="dxa"/>
            <w:tcBorders>
              <w:tl2br w:val="nil"/>
              <w:tr2bl w:val="nil"/>
            </w:tcBorders>
            <w:vAlign w:val="center"/>
          </w:tcPr>
          <w:p>
            <w:pPr>
              <w:pStyle w:val="3378"/>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45.00</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45.00</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30240</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税金及附加费用</w:t>
            </w:r>
          </w:p>
        </w:tc>
        <w:tc>
          <w:tcPr>
            <w:tcW w:w="1799" w:type="dxa"/>
            <w:tcBorders>
              <w:tl2br w:val="nil"/>
              <w:tr2bl w:val="nil"/>
            </w:tcBorders>
            <w:vAlign w:val="center"/>
          </w:tcPr>
          <w:p>
            <w:pPr>
              <w:pStyle w:val="3379"/>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30299</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其他商品和服务支出</w:t>
            </w:r>
          </w:p>
        </w:tc>
        <w:tc>
          <w:tcPr>
            <w:tcW w:w="1799" w:type="dxa"/>
            <w:tcBorders>
              <w:tl2br w:val="nil"/>
              <w:tr2bl w:val="nil"/>
            </w:tcBorders>
            <w:vAlign w:val="center"/>
          </w:tcPr>
          <w:p>
            <w:pPr>
              <w:pStyle w:val="3380"/>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32.96</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32.96</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303</w:t>
            </w:r>
          </w:p>
        </w:tc>
        <w:tc>
          <w:tcPr>
            <w:tcW w:w="4151" w:type="dxa"/>
            <w:tcBorders>
              <w:tl2br w:val="nil"/>
              <w:tr2bl w:val="nil"/>
            </w:tcBorders>
            <w:vAlign w:val="center"/>
          </w:tcPr>
          <w:p>
            <w:pPr>
              <w:pStyle w:val="2325"/>
              <w:ind w:leftChars="100" w:left="210"/>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对个人和家庭的补助</w:t>
            </w:r>
          </w:p>
        </w:tc>
        <w:tc>
          <w:tcPr>
            <w:tcW w:w="1799" w:type="dxa"/>
            <w:tcBorders>
              <w:tl2br w:val="nil"/>
              <w:tr2bl w:val="nil"/>
            </w:tcBorders>
            <w:vAlign w:val="center"/>
          </w:tcPr>
          <w:p>
            <w:pPr>
              <w:pStyle w:val="2325"/>
              <w:jc w:val="right"/>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3.70</w:t>
            </w:r>
          </w:p>
        </w:tc>
        <w:tc>
          <w:tcPr>
            <w:tcW w:w="1799" w:type="dxa"/>
            <w:tcBorders>
              <w:tl2br w:val="nil"/>
              <w:tr2bl w:val="nil"/>
            </w:tcBorders>
            <w:vAlign w:val="center"/>
          </w:tcPr>
          <w:p>
            <w:pPr>
              <w:pStyle w:val="2325"/>
              <w:jc w:val="right"/>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3.70</w:t>
            </w:r>
          </w:p>
        </w:tc>
        <w:tc>
          <w:tcPr>
            <w:tcW w:w="1805" w:type="dxa"/>
            <w:tcBorders>
              <w:tl2br w:val="nil"/>
              <w:tr2bl w:val="nil"/>
            </w:tcBorders>
            <w:vAlign w:val="center"/>
          </w:tcPr>
          <w:p>
            <w:pPr>
              <w:pStyle w:val="2325"/>
              <w:jc w:val="right"/>
              <w:rPr>
                <w:rFonts w:ascii="Times New Roman" w:eastAsia="宋体" w:cs="Times New Roman" w:hAnsi="Times New Roman"/>
                <w:b/>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30301</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离休费</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30302</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退休费</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3.70</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3.70</w:t>
            </w: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30304</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抚恤金</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30305</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生活补助</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30307</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医疗费补助</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30308</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助学金</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30309</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奖励金</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30399</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其他对个人和家庭的补助</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310</w:t>
            </w:r>
          </w:p>
        </w:tc>
        <w:tc>
          <w:tcPr>
            <w:tcW w:w="4151" w:type="dxa"/>
            <w:tcBorders>
              <w:tl2br w:val="nil"/>
              <w:tr2bl w:val="nil"/>
            </w:tcBorders>
            <w:vAlign w:val="center"/>
          </w:tcPr>
          <w:p>
            <w:pPr>
              <w:pStyle w:val="2325"/>
              <w:ind w:leftChars="100" w:left="210"/>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资本性支出</w:t>
            </w:r>
          </w:p>
        </w:tc>
        <w:tc>
          <w:tcPr>
            <w:tcW w:w="1799" w:type="dxa"/>
            <w:tcBorders>
              <w:tl2br w:val="nil"/>
              <w:tr2bl w:val="nil"/>
            </w:tcBorders>
            <w:vAlign w:val="center"/>
          </w:tcPr>
          <w:p>
            <w:pPr>
              <w:pStyle w:val="2325"/>
              <w:jc w:val="right"/>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25.46</w:t>
            </w:r>
          </w:p>
        </w:tc>
        <w:tc>
          <w:tcPr>
            <w:tcW w:w="1799" w:type="dxa"/>
            <w:tcBorders>
              <w:tl2br w:val="nil"/>
              <w:tr2bl w:val="nil"/>
            </w:tcBorders>
            <w:vAlign w:val="center"/>
          </w:tcPr>
          <w:p>
            <w:pPr>
              <w:pStyle w:val="2325"/>
              <w:jc w:val="right"/>
              <w:rPr>
                <w:rFonts w:ascii="Times New Roman" w:eastAsia="宋体" w:cs="Times New Roman" w:hAnsi="Times New Roman"/>
                <w:b/>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b/>
                <w:lang w:bidi="ar-SA"/>
                <w:highlight w:val="auto"/>
              </w:rPr>
            </w:pPr>
            <w:r>
              <w:rPr>
                <w:rFonts w:ascii="Times New Roman" w:eastAsia="宋体" w:cs="Times New Roman" w:hAnsi="Times New Roman"/>
                <w:b/>
                <w:lang w:bidi="ar-SA"/>
                <w:highlight w:val="auto"/>
              </w:rPr>
              <w:t>25.46</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31001</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房屋建筑物购建</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31002</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办公设备购置</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6.90</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6.90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31003</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专用设备购置</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31005</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基础设施建设</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31006</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大型修缮</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31007</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信息网络及软件购置更新</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31013</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公务用车购置</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18.56</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18.56</w:t>
            </w:r>
          </w:p>
        </w:tc>
      </w:tr>
      <w:tr>
        <w:trPr>
          <w:trHeight w:val="275"/>
        </w:trPr>
        <w:tc>
          <w:tcPr>
            <w:tcW w:w="1252"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31099</w:t>
            </w:r>
          </w:p>
        </w:tc>
        <w:tc>
          <w:tcPr>
            <w:tcW w:w="4151" w:type="dxa"/>
            <w:tcBorders>
              <w:tl2br w:val="nil"/>
              <w:tr2bl w:val="nil"/>
            </w:tcBorders>
            <w:vAlign w:val="center"/>
          </w:tcPr>
          <w:p>
            <w:pPr>
              <w:pStyle w:val="2325"/>
              <w:ind w:leftChars="100" w:left="210"/>
              <w:rPr>
                <w:rFonts w:ascii="Times New Roman" w:eastAsia="宋体" w:cs="Times New Roman" w:hAnsi="Times New Roman"/>
                <w:lang w:bidi="ar-SA"/>
                <w:highlight w:val="auto"/>
              </w:rPr>
            </w:pPr>
            <w:r>
              <w:rPr>
                <w:rFonts w:ascii="Times New Roman" w:eastAsia="宋体" w:cs="Times New Roman" w:hAnsi="Times New Roman"/>
                <w:lang w:bidi="ar-SA"/>
                <w:highlight w:val="auto"/>
              </w:rPr>
              <w:t>其他资本性支出</w:t>
            </w: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799" w:type="dxa"/>
            <w:tcBorders>
              <w:tl2br w:val="nil"/>
              <w:tr2bl w:val="nil"/>
            </w:tcBorders>
            <w:vAlign w:val="center"/>
          </w:tcPr>
          <w:p>
            <w:pPr>
              <w:pStyle w:val="2325"/>
              <w:jc w:val="right"/>
              <w:rPr>
                <w:rFonts w:ascii="Times New Roman" w:eastAsia="宋体" w:cs="Times New Roman" w:hAnsi="Times New Roman"/>
                <w:lang w:bidi="ar-SA"/>
                <w:highlight w:val="auto"/>
              </w:rPr>
            </w:pPr>
          </w:p>
        </w:tc>
        <w:tc>
          <w:tcPr>
            <w:tcW w:w="1805" w:type="dxa"/>
            <w:tcBorders>
              <w:tl2br w:val="nil"/>
              <w:tr2bl w:val="nil"/>
            </w:tcBorders>
            <w:vAlign w:val="center"/>
          </w:tcPr>
          <w:p>
            <w:pPr>
              <w:pStyle w:val="2325"/>
              <w:jc w:val="right"/>
              <w:rPr>
                <w:rFonts w:ascii="Times New Roman" w:eastAsia="宋体" w:cs="Times New Roman" w:hAnsi="Times New Roman"/>
                <w:lang w:bidi="ar-SA"/>
                <w:highlight w:val="auto"/>
              </w:rPr>
            </w:pPr>
          </w:p>
        </w:tc>
      </w:tr>
      <w:tr>
        <w:trPr>
          <w:trHeight w:val="297"/>
        </w:trPr>
        <w:tc>
          <w:tcPr>
            <w:tcW w:w="5403" w:type="dxa"/>
            <w:gridSpan w:val="2"/>
            <w:tcBorders>
              <w:tl2br w:val="nil"/>
              <w:tr2bl w:val="nil"/>
            </w:tcBorders>
            <w:vAlign w:val="center"/>
          </w:tcPr>
          <w:p>
            <w:pPr>
              <w:pStyle w:val="2325"/>
              <w:spacing w:before="36" w:line="185" w:lineRule="auto"/>
              <w:jc w:val="center"/>
              <w:rPr>
                <w:rFonts w:ascii="Times New Roman" w:eastAsia="宋体" w:cs="宋体" w:hAnsi="Times New Roman" w:hint="eastAsia"/>
                <w:lang w:bidi="ar-SA"/>
                <w:highlight w:val="auto"/>
              </w:rPr>
            </w:pPr>
            <w:r>
              <w:rPr>
                <w:rFonts w:ascii="Times New Roman" w:eastAsia="宋体" w:cs="宋体" w:hAnsi="Times New Roman" w:hint="eastAsia"/>
                <w:spacing w:val="-5"/>
                <w:lang w:bidi="ar-SA"/>
                <w:highlight w:val="auto"/>
              </w:rPr>
              <w:t>合</w:t>
            </w:r>
            <w:r>
              <w:rPr>
                <w:rFonts w:ascii="Times New Roman" w:eastAsia="宋体" w:cs="宋体" w:hAnsi="Times New Roman" w:hint="eastAsia"/>
                <w:spacing w:val="5"/>
                <w:lang w:bidi="ar-SA"/>
                <w:highlight w:val="auto"/>
              </w:rPr>
              <w:t xml:space="preserve">  </w:t>
            </w:r>
            <w:r>
              <w:rPr>
                <w:rFonts w:ascii="Times New Roman" w:eastAsia="宋体" w:cs="宋体" w:hAnsi="Times New Roman" w:hint="eastAsia"/>
                <w:spacing w:val="-5"/>
                <w:lang w:bidi="ar-SA"/>
                <w:highlight w:val="auto"/>
              </w:rPr>
              <w:t>计</w:t>
            </w:r>
          </w:p>
        </w:tc>
        <w:tc>
          <w:tcPr>
            <w:tcW w:w="1799" w:type="dxa"/>
            <w:tcBorders>
              <w:tl2br w:val="nil"/>
              <w:tr2bl w:val="nil"/>
            </w:tcBorders>
            <w:vAlign w:val="center"/>
          </w:tcPr>
          <w:p>
            <w:pPr>
              <w:pStyle w:val="2325"/>
              <w:jc w:val="right"/>
              <w:rPr>
                <w:rFonts w:ascii="Times New Roman" w:eastAsia="宋体" w:hAnsi="Times New Roman"/>
                <w:b/>
                <w:highlight w:val="auto"/>
              </w:rPr>
            </w:pPr>
            <w:r>
              <w:rPr>
                <w:rFonts w:ascii="Times New Roman" w:eastAsia="宋体" w:hAnsi="Times New Roman"/>
                <w:b/>
                <w:highlight w:val="auto"/>
              </w:rPr>
              <w:t>751.75</w:t>
            </w:r>
          </w:p>
        </w:tc>
        <w:tc>
          <w:tcPr>
            <w:tcW w:w="1799" w:type="dxa"/>
            <w:tcBorders>
              <w:tl2br w:val="nil"/>
              <w:tr2bl w:val="nil"/>
            </w:tcBorders>
            <w:vAlign w:val="center"/>
          </w:tcPr>
          <w:p>
            <w:pPr>
              <w:pStyle w:val="2325"/>
              <w:jc w:val="right"/>
              <w:rPr>
                <w:rFonts w:ascii="Times New Roman" w:eastAsia="宋体" w:hAnsi="Times New Roman"/>
                <w:b/>
                <w:highlight w:val="auto"/>
              </w:rPr>
            </w:pPr>
            <w:r>
              <w:rPr>
                <w:rFonts w:ascii="Times New Roman" w:eastAsia="宋体" w:hAnsi="Times New Roman"/>
                <w:b/>
                <w:highlight w:val="auto"/>
              </w:rPr>
              <w:t>543.26</w:t>
            </w:r>
          </w:p>
        </w:tc>
        <w:tc>
          <w:tcPr>
            <w:tcW w:w="1805" w:type="dxa"/>
            <w:tcBorders>
              <w:tl2br w:val="nil"/>
              <w:tr2bl w:val="nil"/>
            </w:tcBorders>
            <w:vAlign w:val="center"/>
          </w:tcPr>
          <w:p>
            <w:pPr>
              <w:pStyle w:val="2325"/>
              <w:jc w:val="right"/>
              <w:rPr>
                <w:rFonts w:ascii="Times New Roman" w:eastAsia="宋体" w:hAnsi="Times New Roman"/>
                <w:b/>
                <w:highlight w:val="auto"/>
              </w:rPr>
            </w:pPr>
            <w:r>
              <w:rPr>
                <w:rFonts w:ascii="Times New Roman" w:eastAsia="宋体" w:hAnsi="Times New Roman"/>
                <w:b/>
                <w:highlight w:val="auto"/>
              </w:rPr>
              <w:t>208.49</w:t>
            </w:r>
          </w:p>
        </w:tc>
      </w:tr>
    </w:tbl>
    <w:p>
      <w:pPr>
        <w:pStyle w:val="2325"/>
        <w:rPr>
          <w:rFonts w:ascii="Times New Roman" w:eastAsia="宋体" w:hAnsi="Times New Roman"/>
          <w:highlight w:val="auto"/>
        </w:rPr>
      </w:pPr>
    </w:p>
    <w:p>
      <w:pPr>
        <w:pStyle w:val="2325"/>
        <w:rPr>
          <w:rFonts w:ascii="Times New Roman" w:eastAsia="宋体" w:hAnsi="Times New Roman"/>
          <w:highlight w:val="auto"/>
        </w:rPr>
        <w:sectPr>
          <w:pgSz w:w="11907" w:h="16841"/>
          <w:pgMar w:top="1431" w:right="638" w:bottom="0" w:left="451" w:header="0" w:footer="0" w:gutter="0"/>
          <w:pgNumType/>
          <w:docGrid w:linePitch="285" w:charSpace="0"/>
        </w:sectPr>
      </w:pPr>
    </w:p>
    <w:p>
      <w:pPr>
        <w:jc w:val="right"/>
        <w:rPr>
          <w:rFonts w:ascii="黑体" w:eastAsia="黑体" w:cs="黑体"/>
          <w:snapToGrid w:val="0"/>
          <w:sz w:val="20"/>
          <w:szCs w:val="20"/>
          <w:lang w:bidi="ar-SA"/>
          <w:highlight w:val="auto"/>
        </w:rPr>
      </w:pPr>
    </w:p>
    <w:p>
      <w:pPr>
        <w:jc w:val="right"/>
        <w:rPr>
          <w:rFonts w:ascii="黑体" w:eastAsia="黑体" w:cs="黑体" w:hint="eastAsia"/>
          <w:sz w:val="20"/>
          <w:szCs w:val="20"/>
          <w:lang w:bidi="ar-SA"/>
          <w:highlight w:val="auto"/>
        </w:rPr>
      </w:pPr>
      <w:r>
        <w:rPr>
          <w:rFonts w:ascii="黑体" w:eastAsia="黑体" w:cs="黑体" w:hint="eastAsia"/>
          <w:snapToGrid w:val="0"/>
          <w:sz w:val="20"/>
          <w:szCs w:val="20"/>
          <w:lang w:bidi="ar-SA"/>
          <w:highlight w:val="auto"/>
        </w:rPr>
        <w:t>部门公开表 7</w:t>
      </w:r>
    </w:p>
    <w:p>
      <w:pPr>
        <w:jc w:val="center"/>
        <w:rPr>
          <w:rFonts w:cs="Microsoft JhengHei"/>
          <w:b/>
          <w:snapToGrid w:val="0"/>
          <w:color w:val="000000"/>
          <w:sz w:val="36"/>
          <w:szCs w:val="36"/>
          <w:lang w:bidi="ar-SA"/>
          <w:highlight w:val="auto"/>
        </w:rPr>
      </w:pPr>
    </w:p>
    <w:p>
      <w:pPr>
        <w:jc w:val="center"/>
        <w:rPr>
          <w:rFonts w:ascii="Times New Roman" w:eastAsia="宋体" w:cs="Microsoft JhengHei" w:hAnsi="Times New Roman"/>
          <w:spacing w:val="-1"/>
          <w:sz w:val="20"/>
          <w:szCs w:val="20"/>
          <w:lang w:bidi="ar-SA"/>
          <w:highlight w:val="auto"/>
        </w:rPr>
      </w:pPr>
      <w:r>
        <w:rPr>
          <w:rFonts w:cs="Microsoft JhengHei" w:hint="eastAsia"/>
          <w:b/>
          <w:snapToGrid w:val="0"/>
          <w:color w:val="000000"/>
          <w:sz w:val="36"/>
          <w:szCs w:val="36"/>
          <w:lang w:bidi="ar-SA"/>
          <w:highlight w:val="auto"/>
        </w:rPr>
        <w:t>政府性基金预算支出表</w:t>
      </w:r>
      <w:r>
        <w:rPr>
          <w:rFonts w:ascii="Times New Roman" w:eastAsia="宋体" w:cs="Microsoft JhengHei" w:hAnsi="Times New Roman"/>
          <w:spacing w:val="-1"/>
          <w:sz w:val="20"/>
          <w:szCs w:val="20"/>
          <w:lang w:bidi="ar-SA"/>
          <w:highlight w:val="auto"/>
        </w:rPr>
        <w:t xml:space="preserve"> </w:t>
      </w:r>
    </w:p>
    <w:p>
      <w:pPr>
        <w:jc w:val="center"/>
        <w:rPr>
          <w:rFonts w:ascii="Times New Roman" w:eastAsia="宋体" w:cs="Microsoft JhengHei" w:hAnsi="Times New Roman"/>
          <w:spacing w:val="-1"/>
          <w:sz w:val="20"/>
          <w:szCs w:val="20"/>
          <w:lang w:bidi="ar-SA"/>
          <w:highlight w:val="auto"/>
        </w:rPr>
      </w:pPr>
    </w:p>
    <w:p>
      <w:pPr>
        <w:jc w:val="center"/>
        <w:rPr>
          <w:rFonts w:ascii="Times New Roman" w:eastAsia="宋体" w:cs="Microsoft JhengHei" w:hAnsi="Times New Roman"/>
          <w:spacing w:val="-1"/>
          <w:sz w:val="20"/>
          <w:szCs w:val="20"/>
          <w:lang w:bidi="ar-SA"/>
          <w:highlight w:val="auto"/>
        </w:rPr>
      </w:pPr>
    </w:p>
    <w:p>
      <w:pPr>
        <w:jc w:val="center"/>
        <w:rPr>
          <w:rFonts w:cs="Microsoft JhengHei" w:hint="eastAsia"/>
          <w:b/>
          <w:sz w:val="36"/>
          <w:szCs w:val="36"/>
        </w:rPr>
      </w:pPr>
      <w:r>
        <w:rPr>
          <w:rFonts w:ascii="Times New Roman" w:eastAsia="宋体" w:cs="Microsoft JhengHei" w:hAnsi="Times New Roman"/>
          <w:spacing w:val="-1"/>
          <w:sz w:val="20"/>
          <w:szCs w:val="20"/>
          <w:lang w:bidi="ar-SA"/>
          <w:highlight w:val="auto"/>
        </w:rPr>
        <w:t xml:space="preserve">                                                                                                                            </w:t>
      </w:r>
      <w:r>
        <w:rPr>
          <w:rFonts w:ascii="Times New Roman" w:eastAsia="宋体" w:cs="Microsoft JhengHei" w:hAnsi="Times New Roman" w:hint="eastAsia"/>
          <w:spacing w:val="-1"/>
          <w:sz w:val="20"/>
          <w:szCs w:val="20"/>
          <w:lang w:bidi="ar-SA"/>
          <w:highlight w:val="auto"/>
        </w:rPr>
        <w:t>单位:万元</w:t>
      </w:r>
    </w:p>
    <w:p>
      <w:pPr>
        <w:pStyle w:val="3258"/>
        <w:spacing w:line="71" w:lineRule="exact"/>
        <w:rPr>
          <w:rFonts w:ascii="Times New Roman" w:eastAsia="宋体" w:hAnsi="Times New Roman"/>
          <w:highlight w:val="auto"/>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3258"/>
              <w:spacing w:line="372" w:lineRule="auto"/>
              <w:rPr>
                <w:rFonts w:ascii="Times New Roman" w:eastAsia="宋体" w:hAnsi="Times New Roman"/>
                <w:sz w:val="24"/>
                <w:szCs w:val="24"/>
                <w:highlight w:val="auto"/>
              </w:rPr>
            </w:pPr>
          </w:p>
          <w:p>
            <w:pPr>
              <w:pStyle w:val="3258"/>
              <w:spacing w:before="121" w:line="180" w:lineRule="auto"/>
              <w:ind w:firstLine="760"/>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科目编码</w:t>
            </w:r>
          </w:p>
        </w:tc>
        <w:tc>
          <w:tcPr>
            <w:tcW w:w="2622" w:type="dxa"/>
            <w:vMerge w:val="restart"/>
            <w:tcBorders>
              <w:bottom w:val="nil"/>
              <w:tl2br w:val="nil"/>
              <w:tr2bl w:val="nil"/>
            </w:tcBorders>
          </w:tcPr>
          <w:p>
            <w:pPr>
              <w:pStyle w:val="3258"/>
              <w:spacing w:line="372" w:lineRule="auto"/>
              <w:rPr>
                <w:rFonts w:ascii="Times New Roman" w:eastAsia="宋体" w:hAnsi="Times New Roman"/>
                <w:sz w:val="24"/>
                <w:szCs w:val="24"/>
                <w:highlight w:val="auto"/>
              </w:rPr>
            </w:pPr>
          </w:p>
          <w:p>
            <w:pPr>
              <w:pStyle w:val="3258"/>
              <w:spacing w:before="121" w:line="180" w:lineRule="auto"/>
              <w:ind w:firstLine="754"/>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科目名称</w:t>
            </w:r>
          </w:p>
        </w:tc>
        <w:tc>
          <w:tcPr>
            <w:tcW w:w="7878" w:type="dxa"/>
            <w:gridSpan w:val="3"/>
            <w:tcBorders>
              <w:tl2br w:val="nil"/>
              <w:tr2bl w:val="nil"/>
            </w:tcBorders>
            <w:vAlign w:val="center"/>
          </w:tcPr>
          <w:p>
            <w:pPr>
              <w:pStyle w:val="3258"/>
              <w:spacing w:before="166" w:line="180" w:lineRule="auto"/>
              <w:jc w:val="center"/>
              <w:rPr>
                <w:rFonts w:ascii="Times New Roman" w:eastAsia="宋体" w:cs="Microsoft JhengHei" w:hAnsi="Times New Roman" w:hint="eastAsia"/>
                <w:sz w:val="24"/>
                <w:szCs w:val="24"/>
                <w:lang w:bidi="ar-SA"/>
                <w:highlight w:val="auto"/>
              </w:rPr>
            </w:pPr>
            <w:r>
              <w:rPr>
                <w:rFonts w:ascii="Times New Roman" w:eastAsia="宋体" w:cs="Times New Roman" w:hAnsi="Times New Roman"/>
                <w:spacing w:val="-2"/>
                <w:sz w:val="24"/>
                <w:szCs w:val="24"/>
                <w:lang w:bidi="ar-SA"/>
              </w:rPr>
              <w:t>2026</w:t>
            </w:r>
            <w:r>
              <w:rPr>
                <w:rFonts w:ascii="Times New Roman" w:eastAsia="宋体" w:cs="Microsoft JhengHei" w:hAnsi="Times New Roman" w:hint="eastAsia"/>
                <w:spacing w:val="-2"/>
                <w:sz w:val="24"/>
                <w:szCs w:val="24"/>
                <w:lang w:bidi="ar-SA"/>
                <w:highlight w:val="auto"/>
              </w:rPr>
              <w:t>年政府性基金预算支出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3258"/>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合计</w:t>
            </w:r>
          </w:p>
        </w:tc>
        <w:tc>
          <w:tcPr>
            <w:tcW w:w="2623" w:type="dxa"/>
            <w:tcBorders>
              <w:tl2br w:val="nil"/>
              <w:tr2bl w:val="nil"/>
            </w:tcBorders>
            <w:vAlign w:val="center"/>
          </w:tcPr>
          <w:p>
            <w:pPr>
              <w:pStyle w:val="3258"/>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基本支出</w:t>
            </w:r>
          </w:p>
        </w:tc>
        <w:tc>
          <w:tcPr>
            <w:tcW w:w="2631" w:type="dxa"/>
            <w:tcBorders>
              <w:tl2br w:val="nil"/>
              <w:tr2bl w:val="nil"/>
            </w:tcBorders>
            <w:vAlign w:val="center"/>
          </w:tcPr>
          <w:p>
            <w:pPr>
              <w:pStyle w:val="3258"/>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项目支出</w:t>
            </w:r>
          </w:p>
        </w:tc>
      </w:tr>
      <w:tr>
        <w:trPr>
          <w:trHeight w:val="529"/>
        </w:trPr>
        <w:tc>
          <w:tcPr>
            <w:tcW w:w="2631" w:type="dxa"/>
            <w:tcBorders>
              <w:tl2br w:val="nil"/>
              <w:tr2bl w:val="nil"/>
            </w:tcBorders>
          </w:tcPr>
          <w:p>
            <w:pPr>
              <w:pStyle w:val="3258"/>
              <w:rPr>
                <w:rFonts w:ascii="Times New Roman" w:eastAsia="宋体" w:hAnsi="Times New Roman"/>
                <w:sz w:val="24"/>
                <w:szCs w:val="24"/>
                <w:highlight w:val="auto"/>
              </w:rPr>
            </w:pPr>
          </w:p>
        </w:tc>
        <w:tc>
          <w:tcPr>
            <w:tcW w:w="2622" w:type="dxa"/>
            <w:tcBorders>
              <w:tl2br w:val="nil"/>
              <w:tr2bl w:val="nil"/>
            </w:tcBorders>
          </w:tcPr>
          <w:p>
            <w:pPr>
              <w:pStyle w:val="3258"/>
              <w:rPr>
                <w:rFonts w:ascii="Times New Roman" w:eastAsia="宋体" w:hAnsi="Times New Roman"/>
                <w:sz w:val="24"/>
                <w:szCs w:val="24"/>
                <w:highlight w:val="auto"/>
              </w:rPr>
            </w:pPr>
          </w:p>
        </w:tc>
        <w:tc>
          <w:tcPr>
            <w:tcW w:w="2624" w:type="dxa"/>
            <w:tcBorders>
              <w:tl2br w:val="nil"/>
              <w:tr2bl w:val="nil"/>
            </w:tcBorders>
          </w:tcPr>
          <w:p>
            <w:pPr>
              <w:pStyle w:val="3258"/>
              <w:rPr>
                <w:rFonts w:ascii="Times New Roman" w:eastAsia="宋体" w:hAnsi="Times New Roman"/>
                <w:sz w:val="24"/>
                <w:szCs w:val="24"/>
                <w:highlight w:val="auto"/>
              </w:rPr>
            </w:pPr>
          </w:p>
        </w:tc>
        <w:tc>
          <w:tcPr>
            <w:tcW w:w="2623" w:type="dxa"/>
            <w:tcBorders>
              <w:tl2br w:val="nil"/>
              <w:tr2bl w:val="nil"/>
            </w:tcBorders>
          </w:tcPr>
          <w:p>
            <w:pPr>
              <w:pStyle w:val="3258"/>
              <w:rPr>
                <w:rFonts w:ascii="Times New Roman" w:eastAsia="宋体" w:hAnsi="Times New Roman"/>
                <w:sz w:val="24"/>
                <w:szCs w:val="24"/>
                <w:highlight w:val="auto"/>
              </w:rPr>
            </w:pPr>
          </w:p>
        </w:tc>
        <w:tc>
          <w:tcPr>
            <w:tcW w:w="2631" w:type="dxa"/>
            <w:tcBorders>
              <w:tl2br w:val="nil"/>
              <w:tr2bl w:val="nil"/>
            </w:tcBorders>
          </w:tcPr>
          <w:p>
            <w:pPr>
              <w:pStyle w:val="3258"/>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58"/>
              <w:rPr>
                <w:rFonts w:ascii="Times New Roman" w:eastAsia="宋体" w:hAnsi="Times New Roman"/>
                <w:sz w:val="24"/>
                <w:szCs w:val="24"/>
                <w:highlight w:val="auto"/>
              </w:rPr>
            </w:pPr>
          </w:p>
        </w:tc>
        <w:tc>
          <w:tcPr>
            <w:tcW w:w="2622" w:type="dxa"/>
            <w:tcBorders>
              <w:tl2br w:val="nil"/>
              <w:tr2bl w:val="nil"/>
            </w:tcBorders>
          </w:tcPr>
          <w:p>
            <w:pPr>
              <w:pStyle w:val="3258"/>
              <w:rPr>
                <w:rFonts w:ascii="Times New Roman" w:eastAsia="宋体" w:hAnsi="Times New Roman"/>
                <w:sz w:val="24"/>
                <w:szCs w:val="24"/>
                <w:highlight w:val="auto"/>
              </w:rPr>
            </w:pPr>
          </w:p>
        </w:tc>
        <w:tc>
          <w:tcPr>
            <w:tcW w:w="2624" w:type="dxa"/>
            <w:tcBorders>
              <w:tl2br w:val="nil"/>
              <w:tr2bl w:val="nil"/>
            </w:tcBorders>
          </w:tcPr>
          <w:p>
            <w:pPr>
              <w:pStyle w:val="3258"/>
              <w:rPr>
                <w:rFonts w:ascii="Times New Roman" w:eastAsia="宋体" w:hAnsi="Times New Roman"/>
                <w:sz w:val="24"/>
                <w:szCs w:val="24"/>
                <w:highlight w:val="auto"/>
              </w:rPr>
            </w:pPr>
          </w:p>
        </w:tc>
        <w:tc>
          <w:tcPr>
            <w:tcW w:w="2623" w:type="dxa"/>
            <w:tcBorders>
              <w:tl2br w:val="nil"/>
              <w:tr2bl w:val="nil"/>
            </w:tcBorders>
          </w:tcPr>
          <w:p>
            <w:pPr>
              <w:pStyle w:val="3258"/>
              <w:rPr>
                <w:rFonts w:ascii="Times New Roman" w:eastAsia="宋体" w:hAnsi="Times New Roman"/>
                <w:sz w:val="24"/>
                <w:szCs w:val="24"/>
                <w:highlight w:val="auto"/>
              </w:rPr>
            </w:pPr>
          </w:p>
        </w:tc>
        <w:tc>
          <w:tcPr>
            <w:tcW w:w="2631" w:type="dxa"/>
            <w:tcBorders>
              <w:tl2br w:val="nil"/>
              <w:tr2bl w:val="nil"/>
            </w:tcBorders>
          </w:tcPr>
          <w:p>
            <w:pPr>
              <w:pStyle w:val="3258"/>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58"/>
              <w:rPr>
                <w:rFonts w:ascii="Times New Roman" w:eastAsia="宋体" w:hAnsi="Times New Roman"/>
                <w:sz w:val="24"/>
                <w:szCs w:val="24"/>
                <w:highlight w:val="auto"/>
              </w:rPr>
            </w:pPr>
          </w:p>
        </w:tc>
        <w:tc>
          <w:tcPr>
            <w:tcW w:w="2622" w:type="dxa"/>
            <w:tcBorders>
              <w:tl2br w:val="nil"/>
              <w:tr2bl w:val="nil"/>
            </w:tcBorders>
          </w:tcPr>
          <w:p>
            <w:pPr>
              <w:pStyle w:val="3258"/>
              <w:rPr>
                <w:rFonts w:ascii="Times New Roman" w:eastAsia="宋体" w:hAnsi="Times New Roman"/>
                <w:sz w:val="24"/>
                <w:szCs w:val="24"/>
                <w:highlight w:val="auto"/>
              </w:rPr>
            </w:pPr>
          </w:p>
        </w:tc>
        <w:tc>
          <w:tcPr>
            <w:tcW w:w="2624" w:type="dxa"/>
            <w:tcBorders>
              <w:tl2br w:val="nil"/>
              <w:tr2bl w:val="nil"/>
            </w:tcBorders>
          </w:tcPr>
          <w:p>
            <w:pPr>
              <w:pStyle w:val="3258"/>
              <w:rPr>
                <w:rFonts w:ascii="Times New Roman" w:eastAsia="宋体" w:hAnsi="Times New Roman"/>
                <w:sz w:val="24"/>
                <w:szCs w:val="24"/>
                <w:highlight w:val="auto"/>
              </w:rPr>
            </w:pPr>
          </w:p>
        </w:tc>
        <w:tc>
          <w:tcPr>
            <w:tcW w:w="2623" w:type="dxa"/>
            <w:tcBorders>
              <w:tl2br w:val="nil"/>
              <w:tr2bl w:val="nil"/>
            </w:tcBorders>
          </w:tcPr>
          <w:p>
            <w:pPr>
              <w:pStyle w:val="3258"/>
              <w:rPr>
                <w:rFonts w:ascii="Times New Roman" w:eastAsia="宋体" w:hAnsi="Times New Roman"/>
                <w:sz w:val="24"/>
                <w:szCs w:val="24"/>
                <w:highlight w:val="auto"/>
              </w:rPr>
            </w:pPr>
          </w:p>
        </w:tc>
        <w:tc>
          <w:tcPr>
            <w:tcW w:w="2631" w:type="dxa"/>
            <w:tcBorders>
              <w:tl2br w:val="nil"/>
              <w:tr2bl w:val="nil"/>
            </w:tcBorders>
          </w:tcPr>
          <w:p>
            <w:pPr>
              <w:pStyle w:val="3258"/>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58"/>
              <w:rPr>
                <w:rFonts w:ascii="Times New Roman" w:eastAsia="宋体" w:hAnsi="Times New Roman"/>
                <w:sz w:val="24"/>
                <w:szCs w:val="24"/>
                <w:highlight w:val="auto"/>
              </w:rPr>
            </w:pPr>
          </w:p>
        </w:tc>
        <w:tc>
          <w:tcPr>
            <w:tcW w:w="2622" w:type="dxa"/>
            <w:tcBorders>
              <w:tl2br w:val="nil"/>
              <w:tr2bl w:val="nil"/>
            </w:tcBorders>
          </w:tcPr>
          <w:p>
            <w:pPr>
              <w:pStyle w:val="3258"/>
              <w:rPr>
                <w:rFonts w:ascii="Times New Roman" w:eastAsia="宋体" w:hAnsi="Times New Roman"/>
                <w:sz w:val="24"/>
                <w:szCs w:val="24"/>
                <w:highlight w:val="auto"/>
              </w:rPr>
            </w:pPr>
          </w:p>
        </w:tc>
        <w:tc>
          <w:tcPr>
            <w:tcW w:w="2624" w:type="dxa"/>
            <w:tcBorders>
              <w:tl2br w:val="nil"/>
              <w:tr2bl w:val="nil"/>
            </w:tcBorders>
          </w:tcPr>
          <w:p>
            <w:pPr>
              <w:pStyle w:val="3258"/>
              <w:rPr>
                <w:rFonts w:ascii="Times New Roman" w:eastAsia="宋体" w:hAnsi="Times New Roman"/>
                <w:sz w:val="24"/>
                <w:szCs w:val="24"/>
                <w:highlight w:val="auto"/>
              </w:rPr>
            </w:pPr>
          </w:p>
        </w:tc>
        <w:tc>
          <w:tcPr>
            <w:tcW w:w="2623" w:type="dxa"/>
            <w:tcBorders>
              <w:tl2br w:val="nil"/>
              <w:tr2bl w:val="nil"/>
            </w:tcBorders>
          </w:tcPr>
          <w:p>
            <w:pPr>
              <w:pStyle w:val="3258"/>
              <w:rPr>
                <w:rFonts w:ascii="Times New Roman" w:eastAsia="宋体" w:hAnsi="Times New Roman"/>
                <w:sz w:val="24"/>
                <w:szCs w:val="24"/>
                <w:highlight w:val="auto"/>
              </w:rPr>
            </w:pPr>
          </w:p>
        </w:tc>
        <w:tc>
          <w:tcPr>
            <w:tcW w:w="2631" w:type="dxa"/>
            <w:tcBorders>
              <w:tl2br w:val="nil"/>
              <w:tr2bl w:val="nil"/>
            </w:tcBorders>
          </w:tcPr>
          <w:p>
            <w:pPr>
              <w:pStyle w:val="3258"/>
              <w:rPr>
                <w:rFonts w:ascii="Times New Roman" w:eastAsia="宋体" w:hAnsi="Times New Roman"/>
                <w:sz w:val="24"/>
                <w:szCs w:val="24"/>
                <w:highlight w:val="auto"/>
              </w:rPr>
            </w:pPr>
          </w:p>
        </w:tc>
      </w:tr>
      <w:tr>
        <w:trPr>
          <w:trHeight w:val="535"/>
        </w:trPr>
        <w:tc>
          <w:tcPr>
            <w:tcW w:w="5253" w:type="dxa"/>
            <w:gridSpan w:val="2"/>
            <w:tcBorders>
              <w:tl2br w:val="nil"/>
              <w:tr2bl w:val="nil"/>
            </w:tcBorders>
          </w:tcPr>
          <w:p>
            <w:pPr>
              <w:pStyle w:val="3258"/>
              <w:spacing w:before="107" w:line="180" w:lineRule="auto"/>
              <w:ind w:firstLine="2211"/>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6"/>
                <w:sz w:val="24"/>
                <w:szCs w:val="24"/>
                <w:lang w:bidi="ar-SA"/>
                <w:highlight w:val="auto"/>
              </w:rPr>
              <w:t>合</w:t>
            </w:r>
            <w:r>
              <w:rPr>
                <w:rFonts w:ascii="Times New Roman" w:eastAsia="宋体" w:cs="Microsoft JhengHei" w:hAnsi="Times New Roman" w:hint="eastAsia"/>
                <w:spacing w:val="2"/>
                <w:sz w:val="24"/>
                <w:szCs w:val="24"/>
                <w:lang w:bidi="ar-SA"/>
                <w:highlight w:val="auto"/>
              </w:rPr>
              <w:t xml:space="preserve">    </w:t>
            </w:r>
            <w:r>
              <w:rPr>
                <w:rFonts w:ascii="Times New Roman" w:eastAsia="宋体" w:cs="Microsoft JhengHei" w:hAnsi="Times New Roman" w:hint="eastAsia"/>
                <w:spacing w:val="-6"/>
                <w:sz w:val="24"/>
                <w:szCs w:val="24"/>
                <w:lang w:bidi="ar-SA"/>
                <w:highlight w:val="auto"/>
              </w:rPr>
              <w:t>计</w:t>
            </w:r>
          </w:p>
        </w:tc>
        <w:tc>
          <w:tcPr>
            <w:tcW w:w="2624" w:type="dxa"/>
            <w:tcBorders>
              <w:tl2br w:val="nil"/>
              <w:tr2bl w:val="nil"/>
            </w:tcBorders>
          </w:tcPr>
          <w:p>
            <w:pPr>
              <w:pStyle w:val="3258"/>
              <w:rPr>
                <w:rFonts w:ascii="Times New Roman" w:eastAsia="宋体" w:hAnsi="Times New Roman"/>
                <w:sz w:val="24"/>
                <w:szCs w:val="24"/>
                <w:highlight w:val="auto"/>
              </w:rPr>
            </w:pPr>
          </w:p>
        </w:tc>
        <w:tc>
          <w:tcPr>
            <w:tcW w:w="2623" w:type="dxa"/>
            <w:tcBorders>
              <w:tl2br w:val="nil"/>
              <w:tr2bl w:val="nil"/>
            </w:tcBorders>
          </w:tcPr>
          <w:p>
            <w:pPr>
              <w:pStyle w:val="3258"/>
              <w:rPr>
                <w:rFonts w:ascii="Times New Roman" w:eastAsia="宋体" w:hAnsi="Times New Roman"/>
                <w:sz w:val="24"/>
                <w:szCs w:val="24"/>
                <w:highlight w:val="auto"/>
              </w:rPr>
            </w:pPr>
          </w:p>
        </w:tc>
        <w:tc>
          <w:tcPr>
            <w:tcW w:w="2631" w:type="dxa"/>
            <w:tcBorders>
              <w:tl2br w:val="nil"/>
              <w:tr2bl w:val="nil"/>
            </w:tcBorders>
          </w:tcPr>
          <w:p>
            <w:pPr>
              <w:pStyle w:val="3258"/>
              <w:rPr>
                <w:rFonts w:ascii="Times New Roman" w:eastAsia="宋体" w:hAnsi="Times New Roman"/>
                <w:sz w:val="24"/>
                <w:szCs w:val="24"/>
                <w:highlight w:val="auto"/>
              </w:rPr>
            </w:pPr>
          </w:p>
        </w:tc>
      </w:tr>
    </w:tbl>
    <w:p>
      <w:pPr>
        <w:pStyle w:val="3258"/>
        <w:spacing w:before="94" w:line="180" w:lineRule="auto"/>
        <w:ind w:firstLine="134"/>
        <w:jc w:val="both"/>
        <w:rPr>
          <w:rFonts w:ascii="方正仿宋_GBK" w:eastAsia="方正仿宋_GBK" w:cs="方正仿宋_GBK" w:hint="eastAsia"/>
          <w:spacing w:val="-1"/>
          <w:sz w:val="24"/>
          <w:szCs w:val="24"/>
          <w:lang w:bidi="ar-SA"/>
          <w:highlight w:val="auto"/>
        </w:rPr>
      </w:pPr>
    </w:p>
    <w:p>
      <w:pPr>
        <w:pStyle w:val="3258"/>
        <w:spacing w:before="94" w:line="180" w:lineRule="auto"/>
        <w:ind w:firstLineChars="350" w:firstLine="833"/>
        <w:jc w:val="both"/>
        <w:rPr>
          <w:rFonts w:ascii="方正仿宋_GBK" w:eastAsia="方正仿宋_GBK" w:cs="方正仿宋_GBK" w:hint="eastAsia"/>
          <w:sz w:val="24"/>
          <w:szCs w:val="24"/>
          <w:lang w:bidi="ar-SA"/>
          <w:highlight w:val="auto"/>
        </w:rPr>
      </w:pPr>
      <w:r>
        <w:rPr>
          <w:rFonts w:ascii="方正仿宋_GBK" w:eastAsia="方正仿宋_GBK" w:cs="方正仿宋_GBK" w:hint="eastAsia"/>
          <w:spacing w:val="-1"/>
          <w:sz w:val="24"/>
          <w:szCs w:val="24"/>
          <w:lang w:bidi="ar-SA"/>
          <w:highlight w:val="auto"/>
        </w:rPr>
        <w:t>注：</w:t>
      </w:r>
      <w:r>
        <w:rPr>
          <w:rFonts w:ascii="方正仿宋_GBK" w:eastAsia="方正仿宋_GBK" w:cs="方正仿宋_GBK"/>
          <w:spacing w:val="-1"/>
          <w:sz w:val="24"/>
          <w:szCs w:val="24"/>
          <w:lang w:bidi="ar-SA"/>
        </w:rPr>
        <w:t>集宁</w:t>
      </w:r>
      <w:r>
        <w:rPr>
          <w:rFonts w:ascii="方正仿宋_GBK" w:eastAsia="方正仿宋_GBK" w:cs="方正仿宋_GBK" w:hint="eastAsia"/>
          <w:spacing w:val="-1"/>
          <w:sz w:val="24"/>
          <w:szCs w:val="24"/>
          <w:lang w:bidi="ar-SA"/>
          <w:highlight w:val="auto"/>
        </w:rPr>
        <w:t>海关无政府性基金预算拨款收入，也无使用政府性基金安排的支出，故本表无数据。</w:t>
      </w:r>
    </w:p>
    <w:p>
      <w:pPr>
        <w:pStyle w:val="3258"/>
        <w:jc w:val="both"/>
        <w:rPr>
          <w:rFonts w:ascii="Times New Roman" w:eastAsia="宋体" w:hAnsi="Times New Roman"/>
        </w:rPr>
      </w:pPr>
    </w:p>
    <w:p>
      <w:pPr>
        <w:rPr>
          <w:rFonts w:ascii="Times New Roman" w:eastAsia="宋体" w:hAnsi="Times New Roman"/>
        </w:rPr>
      </w:pPr>
    </w:p>
    <w:p>
      <w:pPr>
        <w:jc w:val="center"/>
        <w:rPr>
          <w:rFonts w:cs="Microsoft JhengHei"/>
          <w:b/>
          <w:snapToGrid w:val="0"/>
          <w:color w:val="000000"/>
          <w:sz w:val="36"/>
          <w:szCs w:val="36"/>
          <w:lang w:bidi="ar-SA"/>
          <w:highlight w:val="auto"/>
        </w:rPr>
      </w:pPr>
    </w:p>
    <w:p>
      <w:pPr>
        <w:jc w:val="center"/>
        <w:rPr>
          <w:rFonts w:cs="Microsoft JhengHei"/>
          <w:b/>
          <w:snapToGrid w:val="0"/>
          <w:color w:val="000000"/>
          <w:sz w:val="36"/>
          <w:szCs w:val="36"/>
          <w:lang w:bidi="ar-SA"/>
          <w:highlight w:val="auto"/>
        </w:rPr>
      </w:pPr>
    </w:p>
    <w:p>
      <w:pPr>
        <w:pStyle w:val="3110"/>
        <w:rPr>
          <w:rFonts w:ascii="Times New Roman" w:eastAsia="宋体" w:hAnsi="Times New Roman"/>
          <w:highlight w:val="auto"/>
        </w:rPr>
      </w:pPr>
    </w:p>
    <w:p>
      <w:pPr>
        <w:pStyle w:val="3111"/>
        <w:rPr>
          <w:rFonts w:ascii="Times New Roman" w:eastAsia="宋体" w:hAnsi="Times New Roman"/>
          <w:highlight w:val="auto"/>
        </w:rPr>
      </w:pPr>
    </w:p>
    <w:p>
      <w:pPr>
        <w:pStyle w:val="3116"/>
        <w:rPr>
          <w:rFonts w:ascii="Times New Roman" w:eastAsia="宋体" w:hAnsi="Times New Roman"/>
          <w:highlight w:val="auto"/>
        </w:rPr>
      </w:pPr>
    </w:p>
    <w:p>
      <w:pPr>
        <w:pStyle w:val="3112"/>
        <w:rPr>
          <w:rFonts w:ascii="Times New Roman" w:eastAsia="宋体" w:hAnsi="Times New Roman"/>
          <w:highlight w:val="auto"/>
        </w:rPr>
      </w:pPr>
    </w:p>
    <w:p>
      <w:pPr>
        <w:pStyle w:val="3113"/>
        <w:rPr>
          <w:rFonts w:ascii="Times New Roman" w:eastAsia="宋体" w:hAnsi="Times New Roman"/>
          <w:highlight w:val="auto"/>
        </w:rPr>
      </w:pPr>
    </w:p>
    <w:p>
      <w:pPr>
        <w:pStyle w:val="3114"/>
        <w:rPr>
          <w:rFonts w:ascii="Times New Roman" w:eastAsia="宋体" w:hAnsi="Times New Roman"/>
          <w:highlight w:val="auto"/>
        </w:rPr>
      </w:pPr>
    </w:p>
    <w:p>
      <w:pPr>
        <w:pStyle w:val="3115"/>
        <w:rPr>
          <w:rFonts w:ascii="Times New Roman" w:eastAsia="宋体" w:hAnsi="Times New Roman"/>
          <w:highlight w:val="auto"/>
        </w:rPr>
      </w:pPr>
    </w:p>
    <w:p>
      <w:pPr>
        <w:pStyle w:val="2326"/>
        <w:rPr>
          <w:rFonts w:ascii="Times New Roman" w:eastAsia="宋体" w:hAnsi="Times New Roman"/>
          <w:highlight w:val="auto"/>
        </w:rPr>
        <w:sectPr>
          <w:pgSz w:w="16841" w:h="11907"/>
          <w:pgMar w:top="563" w:right="934" w:bottom="0" w:left="933" w:header="0" w:footer="0" w:gutter="0"/>
          <w:pgNumType/>
          <w:docGrid w:linePitch="285" w:charSpace="0"/>
        </w:sectPr>
      </w:pPr>
    </w:p>
    <w:p>
      <w:pPr>
        <w:jc w:val="right"/>
        <w:rPr>
          <w:rFonts w:ascii="黑体" w:eastAsia="黑体" w:cs="黑体"/>
          <w:snapToGrid w:val="0"/>
          <w:sz w:val="20"/>
          <w:szCs w:val="20"/>
          <w:lang w:bidi="ar-SA"/>
          <w:highlight w:val="auto"/>
        </w:rPr>
      </w:pPr>
    </w:p>
    <w:p>
      <w:pPr>
        <w:jc w:val="right"/>
        <w:rPr>
          <w:rFonts w:ascii="黑体" w:eastAsia="黑体" w:cs="黑体" w:hint="eastAsia"/>
          <w:snapToGrid w:val="0"/>
          <w:sz w:val="20"/>
          <w:szCs w:val="20"/>
          <w:lang w:bidi="ar-SA"/>
          <w:highlight w:val="auto"/>
        </w:rPr>
      </w:pPr>
      <w:r>
        <w:rPr>
          <w:rFonts w:ascii="黑体" w:eastAsia="黑体" w:cs="黑体" w:hint="eastAsia"/>
          <w:snapToGrid w:val="0"/>
          <w:sz w:val="20"/>
          <w:szCs w:val="20"/>
          <w:lang w:bidi="ar-SA"/>
          <w:highlight w:val="auto"/>
        </w:rPr>
        <w:t>部门公开表 8</w:t>
      </w:r>
    </w:p>
    <w:p>
      <w:pPr>
        <w:rPr>
          <w:rFonts w:ascii="Times New Roman" w:eastAsia="宋体" w:hAnsi="Times New Roman"/>
        </w:rPr>
      </w:pPr>
    </w:p>
    <w:tbl>
      <w:tblPr>
        <w:tblpPr w:leftFromText="180" w:rightFromText="180" w:vertAnchor="text" w:horzAnchor="page" w:tblpX="1706" w:tblpY="1254"/>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3295"/>
              <w:spacing w:line="372" w:lineRule="auto"/>
              <w:rPr>
                <w:rFonts w:ascii="Times New Roman" w:eastAsia="宋体" w:hAnsi="Times New Roman"/>
                <w:sz w:val="24"/>
                <w:szCs w:val="24"/>
                <w:highlight w:val="auto"/>
              </w:rPr>
            </w:pPr>
          </w:p>
          <w:p>
            <w:pPr>
              <w:pStyle w:val="3295"/>
              <w:spacing w:before="121" w:line="180" w:lineRule="auto"/>
              <w:ind w:firstLine="760"/>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科目编码</w:t>
            </w:r>
          </w:p>
        </w:tc>
        <w:tc>
          <w:tcPr>
            <w:tcW w:w="2622" w:type="dxa"/>
            <w:vMerge w:val="restart"/>
            <w:tcBorders>
              <w:bottom w:val="nil"/>
              <w:tl2br w:val="nil"/>
              <w:tr2bl w:val="nil"/>
            </w:tcBorders>
          </w:tcPr>
          <w:p>
            <w:pPr>
              <w:pStyle w:val="3294"/>
              <w:spacing w:line="372" w:lineRule="auto"/>
              <w:rPr>
                <w:rFonts w:ascii="Times New Roman" w:eastAsia="宋体" w:hAnsi="Times New Roman"/>
                <w:sz w:val="24"/>
                <w:szCs w:val="24"/>
                <w:highlight w:val="auto"/>
              </w:rPr>
            </w:pPr>
          </w:p>
          <w:p>
            <w:pPr>
              <w:pStyle w:val="3294"/>
              <w:spacing w:before="121" w:line="180" w:lineRule="auto"/>
              <w:ind w:firstLine="754"/>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科目名称</w:t>
            </w:r>
          </w:p>
        </w:tc>
        <w:tc>
          <w:tcPr>
            <w:tcW w:w="7878" w:type="dxa"/>
            <w:gridSpan w:val="3"/>
            <w:tcBorders>
              <w:tl2br w:val="nil"/>
              <w:tr2bl w:val="nil"/>
            </w:tcBorders>
            <w:vAlign w:val="center"/>
          </w:tcPr>
          <w:p>
            <w:pPr>
              <w:pStyle w:val="3293"/>
              <w:spacing w:before="166" w:line="180" w:lineRule="auto"/>
              <w:jc w:val="center"/>
              <w:rPr>
                <w:rFonts w:ascii="Times New Roman" w:eastAsia="宋体" w:cs="Microsoft JhengHei" w:hAnsi="Times New Roman" w:hint="eastAsia"/>
                <w:sz w:val="24"/>
                <w:szCs w:val="24"/>
                <w:lang w:bidi="ar-SA"/>
                <w:highlight w:val="auto"/>
              </w:rPr>
            </w:pPr>
            <w:r>
              <w:rPr>
                <w:rFonts w:ascii="Times New Roman" w:eastAsia="宋体" w:cs="Times New Roman" w:hAnsi="Times New Roman"/>
                <w:spacing w:val="-2"/>
                <w:sz w:val="24"/>
                <w:szCs w:val="24"/>
                <w:lang w:bidi="ar-SA"/>
              </w:rPr>
              <w:t>2026</w:t>
            </w:r>
            <w:r>
              <w:rPr>
                <w:rFonts w:ascii="Times New Roman" w:eastAsia="宋体" w:cs="Microsoft JhengHei" w:hAnsi="Times New Roman" w:hint="eastAsia"/>
                <w:spacing w:val="-2"/>
                <w:sz w:val="24"/>
                <w:szCs w:val="24"/>
                <w:lang w:bidi="ar-SA"/>
                <w:highlight w:val="auto"/>
              </w:rPr>
              <w:t>年国有资本经营预算支出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3292"/>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3"/>
                <w:sz w:val="24"/>
                <w:szCs w:val="24"/>
                <w:lang w:bidi="ar-SA"/>
                <w:highlight w:val="auto"/>
              </w:rPr>
              <w:t>合计</w:t>
            </w:r>
          </w:p>
        </w:tc>
        <w:tc>
          <w:tcPr>
            <w:tcW w:w="2623" w:type="dxa"/>
            <w:tcBorders>
              <w:tl2br w:val="nil"/>
              <w:tr2bl w:val="nil"/>
            </w:tcBorders>
            <w:vAlign w:val="center"/>
          </w:tcPr>
          <w:p>
            <w:pPr>
              <w:pStyle w:val="3291"/>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基本支出</w:t>
            </w:r>
          </w:p>
        </w:tc>
        <w:tc>
          <w:tcPr>
            <w:tcW w:w="2631" w:type="dxa"/>
            <w:tcBorders>
              <w:tl2br w:val="nil"/>
              <w:tr2bl w:val="nil"/>
            </w:tcBorders>
            <w:vAlign w:val="center"/>
          </w:tcPr>
          <w:p>
            <w:pPr>
              <w:pStyle w:val="3290"/>
              <w:spacing w:before="158" w:line="180" w:lineRule="auto"/>
              <w:jc w:val="center"/>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2"/>
                <w:sz w:val="24"/>
                <w:szCs w:val="24"/>
                <w:lang w:bidi="ar-SA"/>
                <w:highlight w:val="auto"/>
              </w:rPr>
              <w:t>项目支出</w:t>
            </w:r>
          </w:p>
        </w:tc>
      </w:tr>
      <w:tr>
        <w:trPr>
          <w:trHeight w:val="529"/>
        </w:trPr>
        <w:tc>
          <w:tcPr>
            <w:tcW w:w="2631" w:type="dxa"/>
            <w:tcBorders>
              <w:tl2br w:val="nil"/>
              <w:tr2bl w:val="nil"/>
            </w:tcBorders>
          </w:tcPr>
          <w:p>
            <w:pPr>
              <w:pStyle w:val="3289"/>
              <w:rPr>
                <w:rFonts w:ascii="Times New Roman" w:eastAsia="宋体" w:hAnsi="Times New Roman"/>
                <w:sz w:val="24"/>
                <w:szCs w:val="24"/>
                <w:highlight w:val="auto"/>
              </w:rPr>
            </w:pPr>
          </w:p>
        </w:tc>
        <w:tc>
          <w:tcPr>
            <w:tcW w:w="2622" w:type="dxa"/>
            <w:tcBorders>
              <w:tl2br w:val="nil"/>
              <w:tr2bl w:val="nil"/>
            </w:tcBorders>
          </w:tcPr>
          <w:p>
            <w:pPr>
              <w:pStyle w:val="3288"/>
              <w:rPr>
                <w:rFonts w:ascii="Times New Roman" w:eastAsia="宋体" w:hAnsi="Times New Roman"/>
                <w:sz w:val="24"/>
                <w:szCs w:val="24"/>
                <w:highlight w:val="auto"/>
              </w:rPr>
            </w:pPr>
          </w:p>
        </w:tc>
        <w:tc>
          <w:tcPr>
            <w:tcW w:w="2624" w:type="dxa"/>
            <w:tcBorders>
              <w:tl2br w:val="nil"/>
              <w:tr2bl w:val="nil"/>
            </w:tcBorders>
          </w:tcPr>
          <w:p>
            <w:pPr>
              <w:pStyle w:val="3287"/>
              <w:rPr>
                <w:rFonts w:ascii="Times New Roman" w:eastAsia="宋体" w:hAnsi="Times New Roman"/>
                <w:sz w:val="24"/>
                <w:szCs w:val="24"/>
                <w:highlight w:val="auto"/>
              </w:rPr>
            </w:pPr>
          </w:p>
        </w:tc>
        <w:tc>
          <w:tcPr>
            <w:tcW w:w="2623" w:type="dxa"/>
            <w:tcBorders>
              <w:tl2br w:val="nil"/>
              <w:tr2bl w:val="nil"/>
            </w:tcBorders>
          </w:tcPr>
          <w:p>
            <w:pPr>
              <w:pStyle w:val="3286"/>
              <w:rPr>
                <w:rFonts w:ascii="Times New Roman" w:eastAsia="宋体" w:hAnsi="Times New Roman"/>
                <w:sz w:val="24"/>
                <w:szCs w:val="24"/>
                <w:highlight w:val="auto"/>
              </w:rPr>
            </w:pPr>
          </w:p>
        </w:tc>
        <w:tc>
          <w:tcPr>
            <w:tcW w:w="2631" w:type="dxa"/>
            <w:tcBorders>
              <w:tl2br w:val="nil"/>
              <w:tr2bl w:val="nil"/>
            </w:tcBorders>
          </w:tcPr>
          <w:p>
            <w:pPr>
              <w:pStyle w:val="3285"/>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84"/>
              <w:rPr>
                <w:rFonts w:ascii="Times New Roman" w:eastAsia="宋体" w:hAnsi="Times New Roman"/>
                <w:sz w:val="24"/>
                <w:szCs w:val="24"/>
                <w:highlight w:val="auto"/>
              </w:rPr>
            </w:pPr>
          </w:p>
        </w:tc>
        <w:tc>
          <w:tcPr>
            <w:tcW w:w="2622" w:type="dxa"/>
            <w:tcBorders>
              <w:tl2br w:val="nil"/>
              <w:tr2bl w:val="nil"/>
            </w:tcBorders>
          </w:tcPr>
          <w:p>
            <w:pPr>
              <w:pStyle w:val="3283"/>
              <w:rPr>
                <w:rFonts w:ascii="Times New Roman" w:eastAsia="宋体" w:hAnsi="Times New Roman"/>
                <w:sz w:val="24"/>
                <w:szCs w:val="24"/>
                <w:highlight w:val="auto"/>
              </w:rPr>
            </w:pPr>
          </w:p>
        </w:tc>
        <w:tc>
          <w:tcPr>
            <w:tcW w:w="2624" w:type="dxa"/>
            <w:tcBorders>
              <w:tl2br w:val="nil"/>
              <w:tr2bl w:val="nil"/>
            </w:tcBorders>
          </w:tcPr>
          <w:p>
            <w:pPr>
              <w:pStyle w:val="3282"/>
              <w:rPr>
                <w:rFonts w:ascii="Times New Roman" w:eastAsia="宋体" w:hAnsi="Times New Roman"/>
                <w:sz w:val="24"/>
                <w:szCs w:val="24"/>
                <w:highlight w:val="auto"/>
              </w:rPr>
            </w:pPr>
          </w:p>
        </w:tc>
        <w:tc>
          <w:tcPr>
            <w:tcW w:w="2623" w:type="dxa"/>
            <w:tcBorders>
              <w:tl2br w:val="nil"/>
              <w:tr2bl w:val="nil"/>
            </w:tcBorders>
          </w:tcPr>
          <w:p>
            <w:pPr>
              <w:pStyle w:val="3281"/>
              <w:rPr>
                <w:rFonts w:ascii="Times New Roman" w:eastAsia="宋体" w:hAnsi="Times New Roman"/>
                <w:sz w:val="24"/>
                <w:szCs w:val="24"/>
                <w:highlight w:val="auto"/>
              </w:rPr>
            </w:pPr>
          </w:p>
        </w:tc>
        <w:tc>
          <w:tcPr>
            <w:tcW w:w="2631" w:type="dxa"/>
            <w:tcBorders>
              <w:tl2br w:val="nil"/>
              <w:tr2bl w:val="nil"/>
            </w:tcBorders>
          </w:tcPr>
          <w:p>
            <w:pPr>
              <w:pStyle w:val="3280"/>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79"/>
              <w:rPr>
                <w:rFonts w:ascii="Times New Roman" w:eastAsia="宋体" w:hAnsi="Times New Roman"/>
                <w:sz w:val="24"/>
                <w:szCs w:val="24"/>
                <w:highlight w:val="auto"/>
              </w:rPr>
            </w:pPr>
          </w:p>
        </w:tc>
        <w:tc>
          <w:tcPr>
            <w:tcW w:w="2622" w:type="dxa"/>
            <w:tcBorders>
              <w:tl2br w:val="nil"/>
              <w:tr2bl w:val="nil"/>
            </w:tcBorders>
          </w:tcPr>
          <w:p>
            <w:pPr>
              <w:pStyle w:val="3278"/>
              <w:rPr>
                <w:rFonts w:ascii="Times New Roman" w:eastAsia="宋体" w:hAnsi="Times New Roman"/>
                <w:sz w:val="24"/>
                <w:szCs w:val="24"/>
                <w:highlight w:val="auto"/>
              </w:rPr>
            </w:pPr>
          </w:p>
        </w:tc>
        <w:tc>
          <w:tcPr>
            <w:tcW w:w="2624" w:type="dxa"/>
            <w:tcBorders>
              <w:tl2br w:val="nil"/>
              <w:tr2bl w:val="nil"/>
            </w:tcBorders>
          </w:tcPr>
          <w:p>
            <w:pPr>
              <w:pStyle w:val="3277"/>
              <w:rPr>
                <w:rFonts w:ascii="Times New Roman" w:eastAsia="宋体" w:hAnsi="Times New Roman"/>
                <w:sz w:val="24"/>
                <w:szCs w:val="24"/>
                <w:highlight w:val="auto"/>
              </w:rPr>
            </w:pPr>
          </w:p>
        </w:tc>
        <w:tc>
          <w:tcPr>
            <w:tcW w:w="2623" w:type="dxa"/>
            <w:tcBorders>
              <w:tl2br w:val="nil"/>
              <w:tr2bl w:val="nil"/>
            </w:tcBorders>
          </w:tcPr>
          <w:p>
            <w:pPr>
              <w:pStyle w:val="3276"/>
              <w:rPr>
                <w:rFonts w:ascii="Times New Roman" w:eastAsia="宋体" w:hAnsi="Times New Roman"/>
                <w:sz w:val="24"/>
                <w:szCs w:val="24"/>
                <w:highlight w:val="auto"/>
              </w:rPr>
            </w:pPr>
          </w:p>
        </w:tc>
        <w:tc>
          <w:tcPr>
            <w:tcW w:w="2631" w:type="dxa"/>
            <w:tcBorders>
              <w:tl2br w:val="nil"/>
              <w:tr2bl w:val="nil"/>
            </w:tcBorders>
          </w:tcPr>
          <w:p>
            <w:pPr>
              <w:pStyle w:val="3275"/>
              <w:rPr>
                <w:rFonts w:ascii="Times New Roman" w:eastAsia="宋体" w:hAnsi="Times New Roman"/>
                <w:sz w:val="24"/>
                <w:szCs w:val="24"/>
                <w:highlight w:val="auto"/>
              </w:rPr>
            </w:pPr>
          </w:p>
        </w:tc>
      </w:tr>
      <w:tr>
        <w:trPr>
          <w:trHeight w:val="528"/>
        </w:trPr>
        <w:tc>
          <w:tcPr>
            <w:tcW w:w="2631" w:type="dxa"/>
            <w:tcBorders>
              <w:tl2br w:val="nil"/>
              <w:tr2bl w:val="nil"/>
            </w:tcBorders>
          </w:tcPr>
          <w:p>
            <w:pPr>
              <w:pStyle w:val="3274"/>
              <w:rPr>
                <w:rFonts w:ascii="Times New Roman" w:eastAsia="宋体" w:hAnsi="Times New Roman"/>
                <w:sz w:val="24"/>
                <w:szCs w:val="24"/>
                <w:highlight w:val="auto"/>
              </w:rPr>
            </w:pPr>
          </w:p>
        </w:tc>
        <w:tc>
          <w:tcPr>
            <w:tcW w:w="2622" w:type="dxa"/>
            <w:tcBorders>
              <w:tl2br w:val="nil"/>
              <w:tr2bl w:val="nil"/>
            </w:tcBorders>
          </w:tcPr>
          <w:p>
            <w:pPr>
              <w:pStyle w:val="3273"/>
              <w:rPr>
                <w:rFonts w:ascii="Times New Roman" w:eastAsia="宋体" w:hAnsi="Times New Roman"/>
                <w:sz w:val="24"/>
                <w:szCs w:val="24"/>
                <w:highlight w:val="auto"/>
              </w:rPr>
            </w:pPr>
          </w:p>
        </w:tc>
        <w:tc>
          <w:tcPr>
            <w:tcW w:w="2624" w:type="dxa"/>
            <w:tcBorders>
              <w:tl2br w:val="nil"/>
              <w:tr2bl w:val="nil"/>
            </w:tcBorders>
          </w:tcPr>
          <w:p>
            <w:pPr>
              <w:pStyle w:val="3272"/>
              <w:rPr>
                <w:rFonts w:ascii="Times New Roman" w:eastAsia="宋体" w:hAnsi="Times New Roman"/>
                <w:sz w:val="24"/>
                <w:szCs w:val="24"/>
                <w:highlight w:val="auto"/>
              </w:rPr>
            </w:pPr>
          </w:p>
        </w:tc>
        <w:tc>
          <w:tcPr>
            <w:tcW w:w="2623" w:type="dxa"/>
            <w:tcBorders>
              <w:tl2br w:val="nil"/>
              <w:tr2bl w:val="nil"/>
            </w:tcBorders>
          </w:tcPr>
          <w:p>
            <w:pPr>
              <w:pStyle w:val="3271"/>
              <w:rPr>
                <w:rFonts w:ascii="Times New Roman" w:eastAsia="宋体" w:hAnsi="Times New Roman"/>
                <w:sz w:val="24"/>
                <w:szCs w:val="24"/>
                <w:highlight w:val="auto"/>
              </w:rPr>
            </w:pPr>
          </w:p>
        </w:tc>
        <w:tc>
          <w:tcPr>
            <w:tcW w:w="2631" w:type="dxa"/>
            <w:tcBorders>
              <w:tl2br w:val="nil"/>
              <w:tr2bl w:val="nil"/>
            </w:tcBorders>
          </w:tcPr>
          <w:p>
            <w:pPr>
              <w:pStyle w:val="3270"/>
              <w:rPr>
                <w:rFonts w:ascii="Times New Roman" w:eastAsia="宋体" w:hAnsi="Times New Roman"/>
                <w:sz w:val="24"/>
                <w:szCs w:val="24"/>
                <w:highlight w:val="auto"/>
              </w:rPr>
            </w:pPr>
          </w:p>
        </w:tc>
      </w:tr>
      <w:tr>
        <w:trPr>
          <w:trHeight w:val="535"/>
        </w:trPr>
        <w:tc>
          <w:tcPr>
            <w:tcW w:w="5253" w:type="dxa"/>
            <w:gridSpan w:val="2"/>
            <w:tcBorders>
              <w:tl2br w:val="nil"/>
              <w:tr2bl w:val="nil"/>
            </w:tcBorders>
          </w:tcPr>
          <w:p>
            <w:pPr>
              <w:pStyle w:val="3269"/>
              <w:spacing w:before="107" w:line="180" w:lineRule="auto"/>
              <w:ind w:firstLine="2211"/>
              <w:rPr>
                <w:rFonts w:ascii="Times New Roman" w:eastAsia="宋体" w:cs="Microsoft JhengHei" w:hAnsi="Times New Roman" w:hint="eastAsia"/>
                <w:sz w:val="24"/>
                <w:szCs w:val="24"/>
                <w:lang w:bidi="ar-SA"/>
                <w:highlight w:val="auto"/>
              </w:rPr>
            </w:pPr>
            <w:r>
              <w:rPr>
                <w:rFonts w:ascii="Times New Roman" w:eastAsia="宋体" w:cs="Microsoft JhengHei" w:hAnsi="Times New Roman" w:hint="eastAsia"/>
                <w:spacing w:val="-6"/>
                <w:sz w:val="24"/>
                <w:szCs w:val="24"/>
                <w:lang w:bidi="ar-SA"/>
                <w:highlight w:val="auto"/>
              </w:rPr>
              <w:t>合</w:t>
            </w:r>
            <w:r>
              <w:rPr>
                <w:rFonts w:ascii="Times New Roman" w:eastAsia="宋体" w:cs="Microsoft JhengHei" w:hAnsi="Times New Roman" w:hint="eastAsia"/>
                <w:spacing w:val="2"/>
                <w:sz w:val="24"/>
                <w:szCs w:val="24"/>
                <w:lang w:bidi="ar-SA"/>
                <w:highlight w:val="auto"/>
              </w:rPr>
              <w:t xml:space="preserve">    </w:t>
            </w:r>
            <w:r>
              <w:rPr>
                <w:rFonts w:ascii="Times New Roman" w:eastAsia="宋体" w:cs="Microsoft JhengHei" w:hAnsi="Times New Roman" w:hint="eastAsia"/>
                <w:spacing w:val="-6"/>
                <w:sz w:val="24"/>
                <w:szCs w:val="24"/>
                <w:lang w:bidi="ar-SA"/>
                <w:highlight w:val="auto"/>
              </w:rPr>
              <w:t>计</w:t>
            </w:r>
          </w:p>
        </w:tc>
        <w:tc>
          <w:tcPr>
            <w:tcW w:w="2624" w:type="dxa"/>
            <w:tcBorders>
              <w:tl2br w:val="nil"/>
              <w:tr2bl w:val="nil"/>
            </w:tcBorders>
          </w:tcPr>
          <w:p>
            <w:pPr>
              <w:pStyle w:val="3268"/>
              <w:rPr>
                <w:rFonts w:ascii="Times New Roman" w:eastAsia="宋体" w:hAnsi="Times New Roman"/>
                <w:sz w:val="24"/>
                <w:szCs w:val="24"/>
                <w:highlight w:val="auto"/>
              </w:rPr>
            </w:pPr>
          </w:p>
        </w:tc>
        <w:tc>
          <w:tcPr>
            <w:tcW w:w="2623" w:type="dxa"/>
            <w:tcBorders>
              <w:tl2br w:val="nil"/>
              <w:tr2bl w:val="nil"/>
            </w:tcBorders>
          </w:tcPr>
          <w:p>
            <w:pPr>
              <w:pStyle w:val="3267"/>
              <w:rPr>
                <w:rFonts w:ascii="Times New Roman" w:eastAsia="宋体" w:hAnsi="Times New Roman"/>
                <w:sz w:val="24"/>
                <w:szCs w:val="24"/>
                <w:highlight w:val="auto"/>
              </w:rPr>
            </w:pPr>
          </w:p>
        </w:tc>
        <w:tc>
          <w:tcPr>
            <w:tcW w:w="2631" w:type="dxa"/>
            <w:tcBorders>
              <w:tl2br w:val="nil"/>
              <w:tr2bl w:val="nil"/>
            </w:tcBorders>
          </w:tcPr>
          <w:p>
            <w:pPr>
              <w:pStyle w:val="3266"/>
              <w:rPr>
                <w:rFonts w:ascii="Times New Roman" w:eastAsia="宋体" w:hAnsi="Times New Roman"/>
                <w:sz w:val="24"/>
                <w:szCs w:val="24"/>
                <w:highlight w:val="auto"/>
              </w:rPr>
            </w:pPr>
          </w:p>
        </w:tc>
      </w:tr>
    </w:tbl>
    <w:p>
      <w:pPr>
        <w:jc w:val="center"/>
        <w:rPr>
          <w:rFonts w:cs="Microsoft JhengHei" w:hint="eastAsia"/>
          <w:b/>
          <w:sz w:val="36"/>
          <w:szCs w:val="36"/>
          <w:lang w:bidi="ar-SA"/>
          <w:highlight w:val="auto"/>
        </w:rPr>
      </w:pPr>
      <w:r>
        <w:rPr>
          <w:rFonts w:ascii="Times New Roman" w:eastAsia="宋体" w:hAnsi="Times New Roman"/>
        </w:rPr>
        <w:tab/>
      </w:r>
      <w:r>
        <w:rPr>
          <w:rFonts w:cs="Microsoft JhengHei" w:hint="eastAsia"/>
          <w:b/>
          <w:snapToGrid w:val="0"/>
          <w:color w:val="000000"/>
          <w:sz w:val="36"/>
          <w:szCs w:val="36"/>
          <w:lang w:bidi="ar-SA"/>
          <w:highlight w:val="auto"/>
        </w:rPr>
        <w:t>国有资本经营预算支出表</w:t>
      </w:r>
    </w:p>
    <w:p>
      <w:pPr>
        <w:tabs>
          <w:tab w:val="left" w:pos="10180"/>
        </w:tabs>
        <w:ind w:firstLineChars="3150" w:firstLine="6237"/>
        <w:rPr>
          <w:rFonts w:ascii="Times New Roman" w:eastAsia="宋体" w:cs="Microsoft JhengHei" w:hAnsi="Times New Roman"/>
          <w:spacing w:val="-1"/>
          <w:sz w:val="20"/>
          <w:szCs w:val="20"/>
          <w:lang w:bidi="ar-SA"/>
          <w:highlight w:val="auto"/>
        </w:rPr>
      </w:pPr>
    </w:p>
    <w:p>
      <w:pPr>
        <w:tabs>
          <w:tab w:val="left" w:pos="10180"/>
        </w:tabs>
        <w:ind w:firstLineChars="3150" w:firstLine="6237"/>
        <w:rPr>
          <w:rFonts w:ascii="Times New Roman" w:eastAsia="宋体" w:cs="Microsoft JhengHei" w:hAnsi="Times New Roman"/>
          <w:spacing w:val="-1"/>
          <w:sz w:val="20"/>
          <w:szCs w:val="20"/>
          <w:lang w:bidi="ar-SA"/>
          <w:highlight w:val="auto"/>
        </w:rPr>
      </w:pPr>
    </w:p>
    <w:p>
      <w:pPr>
        <w:tabs>
          <w:tab w:val="left" w:pos="10180"/>
        </w:tabs>
        <w:ind w:firstLineChars="6100" w:firstLine="12078"/>
        <w:rPr>
          <w:rFonts w:ascii="Times New Roman" w:eastAsia="宋体" w:cs="Microsoft JhengHei" w:hAnsi="Times New Roman"/>
          <w:spacing w:val="-1"/>
          <w:sz w:val="20"/>
          <w:szCs w:val="20"/>
          <w:lang w:bidi="ar-SA"/>
          <w:highlight w:val="auto"/>
        </w:rPr>
      </w:pPr>
      <w:r>
        <w:rPr>
          <w:rFonts w:ascii="Times New Roman" w:eastAsia="宋体" w:cs="Microsoft JhengHei" w:hAnsi="Times New Roman" w:hint="eastAsia"/>
          <w:spacing w:val="-1"/>
          <w:sz w:val="20"/>
          <w:szCs w:val="20"/>
          <w:lang w:bidi="ar-SA"/>
          <w:highlight w:val="auto"/>
        </w:rPr>
        <w:t xml:space="preserve">单位:万元 </w:t>
      </w:r>
    </w:p>
    <w:p>
      <w:pPr>
        <w:tabs>
          <w:tab w:val="left" w:pos="10180"/>
        </w:tabs>
        <w:ind w:left="0"/>
        <w:rPr>
          <w:rFonts w:ascii="方正仿宋_GBK" w:eastAsia="方正仿宋_GBK" w:cs="方正仿宋_GBK"/>
          <w:spacing w:val="-6"/>
          <w:sz w:val="24"/>
          <w:szCs w:val="24"/>
          <w:lang w:bidi="ar-SA"/>
          <w:highlight w:val="auto"/>
        </w:rPr>
      </w:pPr>
    </w:p>
    <w:p>
      <w:pPr>
        <w:tabs>
          <w:tab w:val="left" w:pos="10180"/>
        </w:tabs>
        <w:ind w:left="0"/>
        <w:rPr>
          <w:rFonts w:cs="Microsoft JhengHei"/>
          <w:spacing w:val="-1"/>
          <w:sz w:val="20"/>
          <w:szCs w:val="20"/>
        </w:rPr>
        <w:sectPr>
          <w:pgSz w:w="16841" w:h="11907"/>
          <w:pgMar w:top="808" w:right="1848" w:bottom="0" w:left="1850" w:header="0" w:footer="0" w:gutter="0"/>
          <w:pgNumType/>
          <w:docGrid w:linePitch="285" w:charSpace="0"/>
        </w:sectPr>
      </w:pPr>
      <w:r>
        <w:rPr>
          <w:rFonts w:ascii="方正仿宋_GBK" w:eastAsia="方正仿宋_GBK" w:cs="方正仿宋_GBK" w:hint="eastAsia"/>
          <w:spacing w:val="-6"/>
          <w:sz w:val="24"/>
          <w:szCs w:val="24"/>
          <w:lang w:bidi="ar-SA"/>
          <w:highlight w:val="auto"/>
        </w:rPr>
        <w:t>注：</w:t>
      </w:r>
      <w:r>
        <w:rPr>
          <w:rFonts w:ascii="方正仿宋_GBK" w:eastAsia="方正仿宋_GBK" w:cs="方正仿宋_GBK"/>
          <w:spacing w:val="-6"/>
          <w:sz w:val="24"/>
          <w:szCs w:val="24"/>
          <w:lang w:bidi="ar-SA"/>
        </w:rPr>
        <w:t>集宁</w:t>
      </w:r>
      <w:r>
        <w:rPr>
          <w:rFonts w:ascii="方正仿宋_GBK" w:eastAsia="方正仿宋_GBK" w:cs="方正仿宋_GBK" w:hint="eastAsia"/>
          <w:spacing w:val="-6"/>
          <w:sz w:val="24"/>
          <w:szCs w:val="24"/>
          <w:lang w:bidi="ar-SA"/>
          <w:highlight w:val="auto"/>
        </w:rPr>
        <w:t>海关无国有资本经营预算收入，也无使用国有资本经营预算安排的支出，故本表无数据。</w:t>
      </w:r>
      <w:r>
        <w:rPr>
          <w:rFonts w:ascii="Times New Roman" w:eastAsia="宋体" w:cs="Microsoft JhengHei" w:hAnsi="Times New Roman" w:hint="eastAsia"/>
          <w:spacing w:val="-1"/>
          <w:sz w:val="20"/>
          <w:szCs w:val="20"/>
          <w:lang w:bidi="ar-SA"/>
          <w:highlight w:val="auto"/>
        </w:rPr>
        <w:t xml:space="preserve"> </w:t>
      </w:r>
    </w:p>
    <w:p>
      <w:pPr>
        <w:wordWrap w:val="0"/>
        <w:jc w:val="right"/>
        <w:rPr>
          <w:rFonts w:ascii="黑体" w:eastAsia="黑体" w:cs="黑体"/>
          <w:snapToGrid w:val="0"/>
          <w:sz w:val="20"/>
          <w:szCs w:val="20"/>
          <w:lang w:bidi="ar-SA"/>
          <w:highlight w:val="auto"/>
        </w:rPr>
      </w:pPr>
    </w:p>
    <w:p>
      <w:pPr>
        <w:wordWrap w:val="0"/>
        <w:jc w:val="right"/>
        <w:rPr>
          <w:rFonts w:cs="Microsoft JhengHei"/>
          <w:snapToGrid w:val="0"/>
          <w:szCs w:val="21"/>
          <w:lang w:bidi="ar-SA"/>
          <w:highlight w:val="auto"/>
        </w:rPr>
      </w:pPr>
      <w:r>
        <w:rPr>
          <w:rFonts w:ascii="黑体" w:eastAsia="黑体" w:cs="黑体" w:hint="eastAsia"/>
          <w:snapToGrid w:val="0"/>
          <w:sz w:val="20"/>
          <w:szCs w:val="20"/>
          <w:lang w:bidi="ar-SA"/>
          <w:highlight w:val="auto"/>
        </w:rPr>
        <w:t>部门公开表 9</w:t>
      </w:r>
      <w:r>
        <w:rPr>
          <w:rFonts w:cs="Microsoft JhengHei" w:hint="eastAsia"/>
          <w:snapToGrid w:val="0"/>
          <w:szCs w:val="21"/>
          <w:lang w:bidi="ar-SA"/>
          <w:highlight w:val="auto"/>
        </w:rPr>
        <w:t xml:space="preserve">  </w:t>
      </w:r>
    </w:p>
    <w:p>
      <w:pPr>
        <w:wordWrap w:val="0"/>
        <w:jc w:val="right"/>
        <w:rPr>
          <w:rFonts w:cs="Microsoft JhengHei"/>
          <w:snapToGrid w:val="0"/>
          <w:szCs w:val="21"/>
          <w:lang w:bidi="ar-SA"/>
          <w:highlight w:val="auto"/>
        </w:rPr>
      </w:pPr>
    </w:p>
    <w:p>
      <w:pPr>
        <w:wordWrap w:val="0"/>
        <w:jc w:val="center"/>
        <w:rPr>
          <w:rFonts w:cs="Microsoft JhengHei"/>
          <w:snapToGrid w:val="0"/>
          <w:szCs w:val="21"/>
        </w:rPr>
      </w:pPr>
      <w:r>
        <w:rPr>
          <w:rFonts w:cs="Microsoft JhengHei" w:hint="eastAsia"/>
          <w:b/>
          <w:snapToGrid w:val="0"/>
          <w:color w:val="000000"/>
          <w:sz w:val="36"/>
          <w:szCs w:val="36"/>
          <w:lang w:bidi="ar-SA"/>
          <w:highlight w:val="auto"/>
        </w:rPr>
        <w:t>财政拨款预算“三公”经费支出表</w:t>
      </w:r>
    </w:p>
    <w:p>
      <w:pPr>
        <w:pStyle w:val="3298"/>
        <w:spacing w:before="65" w:line="180" w:lineRule="auto"/>
        <w:ind w:firstLine="13869"/>
        <w:jc w:val="right"/>
        <w:rPr>
          <w:rFonts w:ascii="Times New Roman" w:eastAsia="宋体" w:cs="Microsoft JhengHei" w:hAnsi="Times New Roman"/>
          <w:spacing w:val="-3"/>
          <w:sz w:val="20"/>
          <w:szCs w:val="20"/>
          <w:lang w:bidi="ar-SA"/>
          <w:highlight w:val="auto"/>
        </w:rPr>
      </w:pPr>
    </w:p>
    <w:p>
      <w:pPr>
        <w:pStyle w:val="3298"/>
        <w:spacing w:before="65" w:line="180" w:lineRule="auto"/>
        <w:ind w:firstLine="13869"/>
        <w:jc w:val="right"/>
        <w:rPr>
          <w:rFonts w:ascii="Times New Roman" w:eastAsia="宋体" w:cs="Microsoft JhengHei" w:hAnsi="Times New Roman"/>
          <w:spacing w:val="-3"/>
          <w:sz w:val="20"/>
          <w:szCs w:val="20"/>
          <w:lang w:bidi="ar-SA"/>
          <w:highlight w:val="auto"/>
        </w:rPr>
      </w:pPr>
    </w:p>
    <w:p>
      <w:pPr>
        <w:pStyle w:val="3298"/>
        <w:spacing w:before="65" w:line="180" w:lineRule="auto"/>
        <w:ind w:firstLine="13869"/>
        <w:jc w:val="right"/>
        <w:rPr>
          <w:rFonts w:ascii="Times New Roman" w:eastAsia="宋体" w:cs="Microsoft JhengHei" w:hAnsi="Times New Roman"/>
          <w:spacing w:val="-3"/>
          <w:sz w:val="20"/>
          <w:szCs w:val="20"/>
          <w:lang w:bidi="ar-SA"/>
          <w:highlight w:val="auto"/>
        </w:rPr>
      </w:pPr>
    </w:p>
    <w:p>
      <w:pPr>
        <w:pStyle w:val="3298"/>
        <w:spacing w:before="65" w:line="180" w:lineRule="auto"/>
        <w:ind w:firstLine="13869"/>
        <w:jc w:val="right"/>
        <w:rPr>
          <w:rFonts w:ascii="Times New Roman" w:eastAsia="宋体" w:cs="Microsoft JhengHei" w:hAnsi="Times New Roman" w:hint="eastAsia"/>
          <w:sz w:val="20"/>
          <w:szCs w:val="20"/>
          <w:lang w:bidi="ar-SA"/>
          <w:highlight w:val="auto"/>
        </w:rPr>
      </w:pPr>
      <w:r>
        <w:rPr>
          <w:rFonts w:ascii="Times New Roman" w:eastAsia="宋体" w:cs="Microsoft JhengHei" w:hAnsi="Times New Roman" w:hint="eastAsia"/>
          <w:spacing w:val="-3"/>
          <w:sz w:val="20"/>
          <w:szCs w:val="20"/>
          <w:lang w:bidi="ar-SA"/>
          <w:highlight w:val="auto"/>
        </w:rPr>
        <w:t>单位：万元</w:t>
      </w:r>
    </w:p>
    <w:p>
      <w:pPr>
        <w:pStyle w:val="3298"/>
        <w:spacing w:line="20" w:lineRule="exact"/>
        <w:rPr>
          <w:rFonts w:ascii="Times New Roman" w:eastAsia="宋体" w:hAnsi="Times New Roman"/>
          <w:highlight w:val="auto"/>
        </w:rPr>
      </w:pPr>
    </w:p>
    <w:tbl>
      <w:tblPr>
        <w:tblpPr w:leftFromText="180" w:rightFromText="180" w:vertAnchor="text" w:horzAnchor="page" w:tblpX="1181" w:tblpY="109"/>
        <w:tblOverlap w:val="never"/>
        <w:tblW w:w="149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89"/>
        <w:gridCol w:w="1319"/>
        <w:gridCol w:w="1079"/>
        <w:gridCol w:w="1154"/>
        <w:gridCol w:w="1319"/>
        <w:gridCol w:w="1439"/>
        <w:gridCol w:w="1080"/>
        <w:gridCol w:w="1319"/>
        <w:gridCol w:w="1080"/>
        <w:gridCol w:w="1320"/>
        <w:gridCol w:w="1319"/>
        <w:gridCol w:w="1446"/>
      </w:tblGrid>
      <w:tr>
        <w:trPr>
          <w:trHeight w:val="671"/>
        </w:trPr>
        <w:tc>
          <w:tcPr>
            <w:tcW w:w="7399" w:type="dxa"/>
            <w:gridSpan w:val="6"/>
            <w:tcBorders>
              <w:tl2br w:val="nil"/>
              <w:tr2bl w:val="nil"/>
            </w:tcBorders>
          </w:tcPr>
          <w:p>
            <w:pPr>
              <w:pStyle w:val="3298"/>
              <w:spacing w:before="213" w:line="180" w:lineRule="auto"/>
              <w:ind w:firstLine="3045"/>
              <w:rPr>
                <w:rFonts w:ascii="Times New Roman" w:eastAsia="宋体" w:cs="Times New Roman" w:hAnsi="Times New Roman"/>
                <w:lang w:bidi="ar-SA"/>
                <w:highlight w:val="auto"/>
              </w:rPr>
            </w:pPr>
            <w:r>
              <w:rPr>
                <w:rFonts w:ascii="Times New Roman" w:eastAsia="宋体" w:cs="Times New Roman" w:hAnsi="Times New Roman"/>
                <w:spacing w:val="-2"/>
                <w:lang w:bidi="ar-SA"/>
              </w:rPr>
              <w:t>2025</w:t>
            </w:r>
            <w:r>
              <w:rPr>
                <w:rFonts w:ascii="Times New Roman" w:eastAsia="宋体" w:cs="Times New Roman" w:hAnsi="Times New Roman"/>
                <w:spacing w:val="-2"/>
                <w:lang w:bidi="ar-SA"/>
                <w:highlight w:val="auto"/>
              </w:rPr>
              <w:t>年预算数</w:t>
            </w:r>
          </w:p>
        </w:tc>
        <w:tc>
          <w:tcPr>
            <w:tcW w:w="7564" w:type="dxa"/>
            <w:gridSpan w:val="6"/>
            <w:tcBorders>
              <w:tl2br w:val="nil"/>
              <w:tr2bl w:val="nil"/>
            </w:tcBorders>
          </w:tcPr>
          <w:p>
            <w:pPr>
              <w:pStyle w:val="3298"/>
              <w:spacing w:before="213" w:line="180" w:lineRule="auto"/>
              <w:ind w:firstLine="3123"/>
              <w:rPr>
                <w:rFonts w:ascii="Times New Roman" w:eastAsia="宋体" w:cs="Times New Roman" w:hAnsi="Times New Roman"/>
                <w:lang w:bidi="ar-SA"/>
                <w:highlight w:val="auto"/>
              </w:rPr>
            </w:pPr>
            <w:r>
              <w:rPr>
                <w:rFonts w:ascii="Times New Roman" w:eastAsia="宋体" w:cs="Times New Roman" w:hAnsi="Times New Roman"/>
                <w:spacing w:val="-2"/>
                <w:lang w:bidi="ar-SA"/>
              </w:rPr>
              <w:t>2026</w:t>
            </w:r>
            <w:r>
              <w:rPr>
                <w:rFonts w:ascii="Times New Roman" w:eastAsia="宋体" w:cs="Times New Roman" w:hAnsi="Times New Roman"/>
                <w:spacing w:val="-2"/>
                <w:lang w:bidi="ar-SA"/>
                <w:highlight w:val="auto"/>
              </w:rPr>
              <w:t>年预算数</w:t>
            </w:r>
          </w:p>
        </w:tc>
      </w:tr>
      <w:tr>
        <w:trPr>
          <w:trHeight w:val="872"/>
        </w:trPr>
        <w:tc>
          <w:tcPr>
            <w:tcW w:w="1089" w:type="dxa"/>
            <w:vMerge w:val="restart"/>
            <w:tcBorders>
              <w:bottom w:val="nil"/>
              <w:tl2br w:val="nil"/>
              <w:tr2bl w:val="nil"/>
            </w:tcBorders>
          </w:tcPr>
          <w:p>
            <w:pPr>
              <w:pStyle w:val="3298"/>
              <w:spacing w:line="295" w:lineRule="auto"/>
              <w:rPr>
                <w:rFonts w:ascii="Times New Roman" w:eastAsia="宋体" w:cs="Times New Roman" w:hAnsi="Times New Roman"/>
                <w:lang w:bidi="ar-SA"/>
                <w:highlight w:val="auto"/>
              </w:rPr>
            </w:pPr>
          </w:p>
          <w:p>
            <w:pPr>
              <w:pStyle w:val="3298"/>
              <w:spacing w:line="295" w:lineRule="auto"/>
              <w:rPr>
                <w:rFonts w:ascii="Times New Roman" w:eastAsia="宋体" w:cs="Times New Roman" w:hAnsi="Times New Roman"/>
                <w:lang w:bidi="ar-SA"/>
                <w:highlight w:val="auto"/>
              </w:rPr>
            </w:pPr>
          </w:p>
          <w:p>
            <w:pPr>
              <w:pStyle w:val="3298"/>
              <w:spacing w:before="90" w:line="180" w:lineRule="auto"/>
              <w:ind w:firstLine="336"/>
              <w:rPr>
                <w:rFonts w:ascii="Times New Roman" w:eastAsia="宋体" w:cs="Times New Roman" w:hAnsi="Times New Roman"/>
                <w:lang w:bidi="ar-SA"/>
                <w:highlight w:val="auto"/>
              </w:rPr>
            </w:pPr>
            <w:r>
              <w:rPr>
                <w:rFonts w:ascii="Times New Roman" w:eastAsia="宋体" w:cs="Times New Roman" w:hAnsi="Times New Roman"/>
                <w:spacing w:val="-2"/>
                <w:lang w:bidi="ar-SA"/>
                <w:highlight w:val="auto"/>
              </w:rPr>
              <w:t>合计</w:t>
            </w:r>
          </w:p>
        </w:tc>
        <w:tc>
          <w:tcPr>
            <w:tcW w:w="1319" w:type="dxa"/>
            <w:vMerge w:val="restart"/>
            <w:tcBorders>
              <w:bottom w:val="nil"/>
              <w:tl2br w:val="nil"/>
              <w:tr2bl w:val="nil"/>
            </w:tcBorders>
          </w:tcPr>
          <w:p>
            <w:pPr>
              <w:pStyle w:val="3298"/>
              <w:spacing w:line="439" w:lineRule="auto"/>
              <w:rPr>
                <w:rFonts w:ascii="Times New Roman" w:eastAsia="宋体" w:cs="Times New Roman" w:hAnsi="Times New Roman"/>
                <w:lang w:bidi="ar-SA"/>
                <w:highlight w:val="auto"/>
              </w:rPr>
            </w:pPr>
          </w:p>
          <w:p>
            <w:pPr>
              <w:pStyle w:val="3298"/>
              <w:spacing w:before="91" w:line="204" w:lineRule="auto"/>
              <w:ind w:left="221" w:right="235" w:firstLine="33"/>
              <w:rPr>
                <w:rFonts w:ascii="Times New Roman" w:eastAsia="宋体" w:cs="Times New Roman" w:hAnsi="Times New Roman"/>
                <w:lang w:bidi="ar-SA"/>
                <w:highlight w:val="auto"/>
              </w:rPr>
            </w:pPr>
            <w:r>
              <w:rPr>
                <w:rFonts w:ascii="Times New Roman" w:eastAsia="宋体" w:cs="Times New Roman" w:hAnsi="Times New Roman"/>
                <w:spacing w:val="-6"/>
                <w:lang w:bidi="ar-SA"/>
                <w:highlight w:val="auto"/>
              </w:rPr>
              <w:t>因公出国</w:t>
            </w:r>
            <w:r>
              <w:rPr>
                <w:rFonts w:ascii="Times New Roman" w:eastAsia="宋体" w:cs="Times New Roman" w:hAnsi="Times New Roman"/>
                <w:spacing w:val="2"/>
                <w:w w:val="101"/>
                <w:lang w:bidi="ar-SA"/>
                <w:highlight w:val="auto"/>
              </w:rPr>
              <w:t xml:space="preserve"> </w:t>
            </w:r>
            <w:r>
              <w:rPr>
                <w:rFonts w:ascii="Times New Roman" w:eastAsia="宋体" w:cs="Times New Roman" w:hAnsi="Times New Roman"/>
                <w:spacing w:val="2"/>
                <w:lang w:bidi="ar-SA"/>
                <w:highlight w:val="auto"/>
              </w:rPr>
              <w:t>（境）费</w:t>
            </w:r>
          </w:p>
        </w:tc>
        <w:tc>
          <w:tcPr>
            <w:tcW w:w="3552" w:type="dxa"/>
            <w:gridSpan w:val="3"/>
            <w:tcBorders>
              <w:tl2br w:val="nil"/>
              <w:tr2bl w:val="nil"/>
            </w:tcBorders>
          </w:tcPr>
          <w:p>
            <w:pPr>
              <w:pStyle w:val="3298"/>
              <w:spacing w:before="312" w:line="180" w:lineRule="auto"/>
              <w:ind w:firstLine="722"/>
              <w:rPr>
                <w:rFonts w:ascii="Times New Roman" w:eastAsia="宋体" w:cs="Times New Roman" w:hAnsi="Times New Roman"/>
                <w:lang w:bidi="ar-SA"/>
                <w:highlight w:val="auto"/>
              </w:rPr>
            </w:pPr>
            <w:r>
              <w:rPr>
                <w:rFonts w:ascii="Times New Roman" w:eastAsia="宋体" w:cs="Times New Roman" w:hAnsi="Times New Roman"/>
                <w:lang w:bidi="ar-SA"/>
                <w:highlight w:val="auto"/>
              </w:rPr>
              <w:t>公务用车购置及运行费</w:t>
            </w:r>
          </w:p>
        </w:tc>
        <w:tc>
          <w:tcPr>
            <w:tcW w:w="1439" w:type="dxa"/>
            <w:vMerge w:val="restart"/>
            <w:tcBorders>
              <w:bottom w:val="nil"/>
              <w:tl2br w:val="nil"/>
              <w:tr2bl w:val="nil"/>
            </w:tcBorders>
          </w:tcPr>
          <w:p>
            <w:pPr>
              <w:pStyle w:val="3298"/>
              <w:spacing w:line="295" w:lineRule="auto"/>
              <w:rPr>
                <w:rFonts w:ascii="Times New Roman" w:eastAsia="宋体" w:cs="Times New Roman" w:hAnsi="Times New Roman"/>
                <w:lang w:bidi="ar-SA"/>
                <w:highlight w:val="auto"/>
              </w:rPr>
            </w:pPr>
          </w:p>
          <w:p>
            <w:pPr>
              <w:pStyle w:val="3298"/>
              <w:spacing w:line="295" w:lineRule="auto"/>
              <w:rPr>
                <w:rFonts w:ascii="Times New Roman" w:eastAsia="宋体" w:cs="Times New Roman" w:hAnsi="Times New Roman"/>
                <w:lang w:bidi="ar-SA"/>
                <w:highlight w:val="auto"/>
              </w:rPr>
            </w:pPr>
          </w:p>
          <w:p>
            <w:pPr>
              <w:pStyle w:val="3298"/>
              <w:spacing w:before="90" w:line="180" w:lineRule="auto"/>
              <w:ind w:firstLine="192"/>
              <w:rPr>
                <w:rFonts w:ascii="Times New Roman" w:eastAsia="宋体" w:cs="Times New Roman" w:hAnsi="Times New Roman"/>
                <w:lang w:bidi="ar-SA"/>
                <w:highlight w:val="auto"/>
              </w:rPr>
            </w:pPr>
            <w:r>
              <w:rPr>
                <w:rFonts w:ascii="Times New Roman" w:eastAsia="宋体" w:cs="Times New Roman" w:hAnsi="Times New Roman"/>
                <w:lang w:bidi="ar-SA"/>
                <w:highlight w:val="auto"/>
              </w:rPr>
              <w:t>公务接待费</w:t>
            </w:r>
          </w:p>
        </w:tc>
        <w:tc>
          <w:tcPr>
            <w:tcW w:w="1080" w:type="dxa"/>
            <w:vMerge w:val="restart"/>
            <w:tcBorders>
              <w:bottom w:val="nil"/>
              <w:tl2br w:val="nil"/>
              <w:tr2bl w:val="nil"/>
            </w:tcBorders>
          </w:tcPr>
          <w:p>
            <w:pPr>
              <w:pStyle w:val="3298"/>
              <w:spacing w:line="295" w:lineRule="auto"/>
              <w:rPr>
                <w:rFonts w:ascii="Times New Roman" w:eastAsia="宋体" w:cs="Times New Roman" w:hAnsi="Times New Roman"/>
                <w:lang w:bidi="ar-SA"/>
                <w:highlight w:val="auto"/>
              </w:rPr>
            </w:pPr>
          </w:p>
          <w:p>
            <w:pPr>
              <w:pStyle w:val="3298"/>
              <w:spacing w:line="295" w:lineRule="auto"/>
              <w:rPr>
                <w:rFonts w:ascii="Times New Roman" w:eastAsia="宋体" w:cs="Times New Roman" w:hAnsi="Times New Roman"/>
                <w:lang w:bidi="ar-SA"/>
                <w:highlight w:val="auto"/>
              </w:rPr>
            </w:pPr>
          </w:p>
          <w:p>
            <w:pPr>
              <w:pStyle w:val="3298"/>
              <w:spacing w:before="90" w:line="180" w:lineRule="auto"/>
              <w:ind w:firstLine="333"/>
              <w:rPr>
                <w:rFonts w:ascii="Times New Roman" w:eastAsia="宋体" w:cs="Times New Roman" w:hAnsi="Times New Roman"/>
                <w:lang w:bidi="ar-SA"/>
                <w:highlight w:val="auto"/>
              </w:rPr>
            </w:pPr>
            <w:r>
              <w:rPr>
                <w:rFonts w:ascii="Times New Roman" w:eastAsia="宋体" w:cs="Times New Roman" w:hAnsi="Times New Roman"/>
                <w:spacing w:val="-2"/>
                <w:lang w:bidi="ar-SA"/>
                <w:highlight w:val="auto"/>
              </w:rPr>
              <w:t>合计</w:t>
            </w:r>
          </w:p>
        </w:tc>
        <w:tc>
          <w:tcPr>
            <w:tcW w:w="1319" w:type="dxa"/>
            <w:vMerge w:val="restart"/>
            <w:tcBorders>
              <w:bottom w:val="nil"/>
              <w:tl2br w:val="nil"/>
              <w:tr2bl w:val="nil"/>
            </w:tcBorders>
          </w:tcPr>
          <w:p>
            <w:pPr>
              <w:pStyle w:val="3298"/>
              <w:spacing w:line="439" w:lineRule="auto"/>
              <w:rPr>
                <w:rFonts w:ascii="Times New Roman" w:eastAsia="宋体" w:cs="Times New Roman" w:hAnsi="Times New Roman"/>
                <w:lang w:bidi="ar-SA"/>
                <w:highlight w:val="auto"/>
              </w:rPr>
            </w:pPr>
          </w:p>
          <w:p>
            <w:pPr>
              <w:pStyle w:val="3298"/>
              <w:spacing w:before="91" w:line="204" w:lineRule="auto"/>
              <w:ind w:left="227" w:right="230" w:firstLine="33"/>
              <w:rPr>
                <w:rFonts w:ascii="Times New Roman" w:eastAsia="宋体" w:cs="Times New Roman" w:hAnsi="Times New Roman"/>
                <w:lang w:bidi="ar-SA"/>
                <w:highlight w:val="auto"/>
              </w:rPr>
            </w:pPr>
            <w:r>
              <w:rPr>
                <w:rFonts w:ascii="Times New Roman" w:eastAsia="宋体" w:cs="Times New Roman" w:hAnsi="Times New Roman"/>
                <w:spacing w:val="-6"/>
                <w:lang w:bidi="ar-SA"/>
                <w:highlight w:val="auto"/>
              </w:rPr>
              <w:t>因公出国</w:t>
            </w:r>
            <w:r>
              <w:rPr>
                <w:rFonts w:ascii="Times New Roman" w:eastAsia="宋体" w:cs="Times New Roman" w:hAnsi="Times New Roman"/>
                <w:spacing w:val="2"/>
                <w:w w:val="101"/>
                <w:lang w:bidi="ar-SA"/>
                <w:highlight w:val="auto"/>
              </w:rPr>
              <w:t xml:space="preserve"> </w:t>
            </w:r>
            <w:r>
              <w:rPr>
                <w:rFonts w:ascii="Times New Roman" w:eastAsia="宋体" w:cs="Times New Roman" w:hAnsi="Times New Roman"/>
                <w:spacing w:val="2"/>
                <w:lang w:bidi="ar-SA"/>
                <w:highlight w:val="auto"/>
              </w:rPr>
              <w:t>（境）费</w:t>
            </w:r>
          </w:p>
        </w:tc>
        <w:tc>
          <w:tcPr>
            <w:tcW w:w="3719" w:type="dxa"/>
            <w:gridSpan w:val="3"/>
            <w:tcBorders>
              <w:tl2br w:val="nil"/>
              <w:tr2bl w:val="nil"/>
            </w:tcBorders>
          </w:tcPr>
          <w:p>
            <w:pPr>
              <w:pStyle w:val="3298"/>
              <w:spacing w:before="312" w:line="180" w:lineRule="auto"/>
              <w:ind w:firstLine="809"/>
              <w:rPr>
                <w:rFonts w:ascii="Times New Roman" w:eastAsia="宋体" w:cs="Times New Roman" w:hAnsi="Times New Roman"/>
                <w:lang w:bidi="ar-SA"/>
                <w:highlight w:val="auto"/>
              </w:rPr>
            </w:pPr>
            <w:r>
              <w:rPr>
                <w:rFonts w:ascii="Times New Roman" w:eastAsia="宋体" w:cs="Times New Roman" w:hAnsi="Times New Roman"/>
                <w:lang w:bidi="ar-SA"/>
                <w:highlight w:val="auto"/>
              </w:rPr>
              <w:t>公务用车购置及运行费</w:t>
            </w:r>
          </w:p>
        </w:tc>
        <w:tc>
          <w:tcPr>
            <w:tcW w:w="1446" w:type="dxa"/>
            <w:vMerge w:val="restart"/>
            <w:tcBorders>
              <w:bottom w:val="nil"/>
              <w:tl2br w:val="nil"/>
              <w:tr2bl w:val="nil"/>
            </w:tcBorders>
          </w:tcPr>
          <w:p>
            <w:pPr>
              <w:pStyle w:val="3298"/>
              <w:spacing w:line="295" w:lineRule="auto"/>
              <w:rPr>
                <w:rFonts w:ascii="Times New Roman" w:eastAsia="宋体" w:cs="Times New Roman" w:hAnsi="Times New Roman"/>
                <w:lang w:bidi="ar-SA"/>
                <w:highlight w:val="auto"/>
              </w:rPr>
            </w:pPr>
          </w:p>
          <w:p>
            <w:pPr>
              <w:pStyle w:val="3298"/>
              <w:spacing w:line="295" w:lineRule="auto"/>
              <w:rPr>
                <w:rFonts w:ascii="Times New Roman" w:eastAsia="宋体" w:cs="Times New Roman" w:hAnsi="Times New Roman"/>
                <w:lang w:bidi="ar-SA"/>
                <w:highlight w:val="auto"/>
              </w:rPr>
            </w:pPr>
          </w:p>
          <w:p>
            <w:pPr>
              <w:pStyle w:val="3298"/>
              <w:spacing w:before="90" w:line="180" w:lineRule="auto"/>
              <w:ind w:firstLine="196"/>
              <w:rPr>
                <w:rFonts w:ascii="Times New Roman" w:eastAsia="宋体" w:cs="Times New Roman" w:hAnsi="Times New Roman"/>
                <w:lang w:bidi="ar-SA"/>
                <w:highlight w:val="auto"/>
              </w:rPr>
            </w:pPr>
            <w:r>
              <w:rPr>
                <w:rFonts w:ascii="Times New Roman" w:eastAsia="宋体" w:cs="Times New Roman" w:hAnsi="Times New Roman"/>
                <w:lang w:bidi="ar-SA"/>
                <w:highlight w:val="auto"/>
              </w:rPr>
              <w:t>公务接待费</w:t>
            </w:r>
          </w:p>
        </w:tc>
      </w:tr>
      <w:tr>
        <w:trPr>
          <w:trHeight w:val="737"/>
        </w:trPr>
        <w:tc>
          <w:tcPr>
            <w:tcW w:w="1089" w:type="dxa"/>
            <w:vMerge/>
            <w:tcBorders>
              <w:top w:val="nil"/>
              <w:tl2br w:val="nil"/>
              <w:tr2bl w:val="nil"/>
            </w:tcBorders>
          </w:tcPr>
          <w:p/>
        </w:tc>
        <w:tc>
          <w:tcPr>
            <w:tcW w:w="1319" w:type="dxa"/>
            <w:vMerge/>
            <w:tcBorders>
              <w:top w:val="nil"/>
              <w:tl2br w:val="nil"/>
              <w:tr2bl w:val="nil"/>
            </w:tcBorders>
          </w:tcPr>
          <w:p/>
        </w:tc>
        <w:tc>
          <w:tcPr>
            <w:tcW w:w="1079" w:type="dxa"/>
            <w:tcBorders>
              <w:tl2br w:val="nil"/>
              <w:tr2bl w:val="nil"/>
            </w:tcBorders>
          </w:tcPr>
          <w:p>
            <w:pPr>
              <w:pStyle w:val="3298"/>
              <w:spacing w:before="246" w:line="180" w:lineRule="auto"/>
              <w:ind w:firstLine="327"/>
              <w:rPr>
                <w:rFonts w:ascii="Times New Roman" w:eastAsia="宋体" w:cs="Times New Roman" w:hAnsi="Times New Roman"/>
                <w:lang w:bidi="ar-SA"/>
                <w:highlight w:val="auto"/>
              </w:rPr>
            </w:pPr>
            <w:r>
              <w:rPr>
                <w:rFonts w:ascii="Times New Roman" w:eastAsia="宋体" w:cs="Times New Roman" w:hAnsi="Times New Roman"/>
                <w:spacing w:val="-2"/>
                <w:lang w:bidi="ar-SA"/>
                <w:highlight w:val="auto"/>
              </w:rPr>
              <w:t>小计</w:t>
            </w:r>
          </w:p>
        </w:tc>
        <w:tc>
          <w:tcPr>
            <w:tcW w:w="1154" w:type="dxa"/>
            <w:tcBorders>
              <w:tl2br w:val="nil"/>
              <w:tr2bl w:val="nil"/>
            </w:tcBorders>
          </w:tcPr>
          <w:p>
            <w:pPr>
              <w:pStyle w:val="3298"/>
              <w:spacing w:before="92" w:line="204" w:lineRule="auto"/>
              <w:ind w:left="259" w:right="152" w:hanging="107"/>
              <w:rPr>
                <w:rFonts w:ascii="Times New Roman" w:eastAsia="宋体" w:cs="Times New Roman" w:hAnsi="Times New Roman"/>
                <w:lang w:bidi="ar-SA"/>
                <w:highlight w:val="auto"/>
              </w:rPr>
            </w:pPr>
            <w:r>
              <w:rPr>
                <w:rFonts w:ascii="Times New Roman" w:eastAsia="宋体" w:cs="Times New Roman" w:hAnsi="Times New Roman"/>
                <w:spacing w:val="-1"/>
                <w:lang w:bidi="ar-SA"/>
                <w:highlight w:val="auto"/>
              </w:rPr>
              <w:t>公务用车</w:t>
            </w:r>
            <w:r>
              <w:rPr>
                <w:rFonts w:ascii="Times New Roman" w:eastAsia="宋体" w:cs="Times New Roman" w:hAnsi="Times New Roman"/>
                <w:spacing w:val="3"/>
                <w:lang w:bidi="ar-SA"/>
                <w:highlight w:val="auto"/>
              </w:rPr>
              <w:t xml:space="preserve"> </w:t>
            </w:r>
            <w:r>
              <w:rPr>
                <w:rFonts w:ascii="Times New Roman" w:eastAsia="宋体" w:cs="Times New Roman" w:hAnsi="Times New Roman"/>
                <w:spacing w:val="-1"/>
                <w:lang w:bidi="ar-SA"/>
                <w:highlight w:val="auto"/>
              </w:rPr>
              <w:t>购置费</w:t>
            </w:r>
          </w:p>
        </w:tc>
        <w:tc>
          <w:tcPr>
            <w:tcW w:w="1319" w:type="dxa"/>
            <w:tcBorders>
              <w:tl2br w:val="nil"/>
              <w:tr2bl w:val="nil"/>
            </w:tcBorders>
          </w:tcPr>
          <w:p>
            <w:pPr>
              <w:pStyle w:val="3298"/>
              <w:spacing w:before="92" w:line="204" w:lineRule="auto"/>
              <w:ind w:left="345" w:right="232" w:hanging="108"/>
              <w:rPr>
                <w:rFonts w:ascii="Times New Roman" w:eastAsia="宋体" w:cs="Times New Roman" w:hAnsi="Times New Roman"/>
                <w:lang w:bidi="ar-SA"/>
                <w:highlight w:val="auto"/>
              </w:rPr>
            </w:pPr>
            <w:r>
              <w:rPr>
                <w:rFonts w:ascii="Times New Roman" w:eastAsia="宋体" w:cs="Times New Roman" w:hAnsi="Times New Roman"/>
                <w:spacing w:val="-1"/>
                <w:lang w:bidi="ar-SA"/>
                <w:highlight w:val="auto"/>
              </w:rPr>
              <w:t>公务用车</w:t>
            </w:r>
            <w:r>
              <w:rPr>
                <w:rFonts w:ascii="Times New Roman" w:eastAsia="宋体" w:cs="Times New Roman" w:hAnsi="Times New Roman"/>
                <w:spacing w:val="3"/>
                <w:lang w:bidi="ar-SA"/>
                <w:highlight w:val="auto"/>
              </w:rPr>
              <w:t xml:space="preserve"> </w:t>
            </w:r>
            <w:r>
              <w:rPr>
                <w:rFonts w:ascii="Times New Roman" w:eastAsia="宋体" w:cs="Times New Roman" w:hAnsi="Times New Roman"/>
                <w:spacing w:val="-2"/>
                <w:lang w:bidi="ar-SA"/>
                <w:highlight w:val="auto"/>
              </w:rPr>
              <w:t>运行费</w:t>
            </w:r>
          </w:p>
        </w:tc>
        <w:tc>
          <w:tcPr>
            <w:tcW w:w="1439" w:type="dxa"/>
            <w:vMerge/>
            <w:tcBorders>
              <w:top w:val="nil"/>
              <w:tl2br w:val="nil"/>
              <w:tr2bl w:val="nil"/>
            </w:tcBorders>
          </w:tcPr>
          <w:p/>
        </w:tc>
        <w:tc>
          <w:tcPr>
            <w:tcW w:w="1080" w:type="dxa"/>
            <w:vMerge/>
            <w:tcBorders>
              <w:top w:val="nil"/>
              <w:tl2br w:val="nil"/>
              <w:tr2bl w:val="nil"/>
            </w:tcBorders>
          </w:tcPr>
          <w:p/>
        </w:tc>
        <w:tc>
          <w:tcPr>
            <w:tcW w:w="1319" w:type="dxa"/>
            <w:vMerge/>
            <w:tcBorders>
              <w:top w:val="nil"/>
              <w:tl2br w:val="nil"/>
              <w:tr2bl w:val="nil"/>
            </w:tcBorders>
          </w:tcPr>
          <w:p/>
        </w:tc>
        <w:tc>
          <w:tcPr>
            <w:tcW w:w="1080" w:type="dxa"/>
            <w:tcBorders>
              <w:tl2br w:val="nil"/>
              <w:tr2bl w:val="nil"/>
            </w:tcBorders>
          </w:tcPr>
          <w:p>
            <w:pPr>
              <w:pStyle w:val="3298"/>
              <w:spacing w:before="246" w:line="180" w:lineRule="auto"/>
              <w:ind w:firstLine="332"/>
              <w:rPr>
                <w:rFonts w:ascii="Times New Roman" w:eastAsia="宋体" w:cs="Times New Roman" w:hAnsi="Times New Roman"/>
                <w:lang w:bidi="ar-SA"/>
                <w:highlight w:val="auto"/>
              </w:rPr>
            </w:pPr>
            <w:r>
              <w:rPr>
                <w:rFonts w:ascii="Times New Roman" w:eastAsia="宋体" w:cs="Times New Roman" w:hAnsi="Times New Roman"/>
                <w:spacing w:val="-2"/>
                <w:lang w:bidi="ar-SA"/>
                <w:highlight w:val="auto"/>
              </w:rPr>
              <w:t>小计</w:t>
            </w:r>
          </w:p>
        </w:tc>
        <w:tc>
          <w:tcPr>
            <w:tcW w:w="1320" w:type="dxa"/>
            <w:tcBorders>
              <w:tl2br w:val="nil"/>
              <w:tr2bl w:val="nil"/>
            </w:tcBorders>
          </w:tcPr>
          <w:p>
            <w:pPr>
              <w:pStyle w:val="3298"/>
              <w:spacing w:before="92" w:line="204" w:lineRule="auto"/>
              <w:ind w:left="345" w:right="229" w:hanging="105"/>
              <w:rPr>
                <w:rFonts w:ascii="Times New Roman" w:eastAsia="宋体" w:cs="Times New Roman" w:hAnsi="Times New Roman"/>
                <w:lang w:bidi="ar-SA"/>
                <w:highlight w:val="auto"/>
              </w:rPr>
            </w:pPr>
            <w:r>
              <w:rPr>
                <w:rFonts w:ascii="Times New Roman" w:eastAsia="宋体" w:cs="Times New Roman" w:hAnsi="Times New Roman"/>
                <w:spacing w:val="-1"/>
                <w:lang w:bidi="ar-SA"/>
                <w:highlight w:val="auto"/>
              </w:rPr>
              <w:t>公务用车</w:t>
            </w:r>
            <w:r>
              <w:rPr>
                <w:rFonts w:ascii="Times New Roman" w:eastAsia="宋体" w:cs="Times New Roman" w:hAnsi="Times New Roman"/>
                <w:spacing w:val="3"/>
                <w:w w:val="101"/>
                <w:lang w:bidi="ar-SA"/>
                <w:highlight w:val="auto"/>
              </w:rPr>
              <w:t xml:space="preserve"> </w:t>
            </w:r>
            <w:r>
              <w:rPr>
                <w:rFonts w:ascii="Times New Roman" w:eastAsia="宋体" w:cs="Times New Roman" w:hAnsi="Times New Roman"/>
                <w:spacing w:val="-1"/>
                <w:lang w:bidi="ar-SA"/>
                <w:highlight w:val="auto"/>
              </w:rPr>
              <w:t>购置费</w:t>
            </w:r>
          </w:p>
        </w:tc>
        <w:tc>
          <w:tcPr>
            <w:tcW w:w="1319" w:type="dxa"/>
            <w:tcBorders>
              <w:tl2br w:val="nil"/>
              <w:tr2bl w:val="nil"/>
            </w:tcBorders>
          </w:tcPr>
          <w:p>
            <w:pPr>
              <w:pStyle w:val="3298"/>
              <w:spacing w:before="92" w:line="204" w:lineRule="auto"/>
              <w:ind w:left="349" w:right="228" w:hanging="108"/>
              <w:rPr>
                <w:rFonts w:ascii="Times New Roman" w:eastAsia="宋体" w:cs="Times New Roman" w:hAnsi="Times New Roman"/>
                <w:lang w:bidi="ar-SA"/>
                <w:highlight w:val="auto"/>
              </w:rPr>
            </w:pPr>
            <w:r>
              <w:rPr>
                <w:rFonts w:ascii="Times New Roman" w:eastAsia="宋体" w:cs="Times New Roman" w:hAnsi="Times New Roman"/>
                <w:spacing w:val="-1"/>
                <w:lang w:bidi="ar-SA"/>
                <w:highlight w:val="auto"/>
              </w:rPr>
              <w:t>公务用车</w:t>
            </w:r>
            <w:r>
              <w:rPr>
                <w:rFonts w:ascii="Times New Roman" w:eastAsia="宋体" w:cs="Times New Roman" w:hAnsi="Times New Roman"/>
                <w:spacing w:val="3"/>
                <w:lang w:bidi="ar-SA"/>
                <w:highlight w:val="auto"/>
              </w:rPr>
              <w:t xml:space="preserve"> </w:t>
            </w:r>
            <w:r>
              <w:rPr>
                <w:rFonts w:ascii="Times New Roman" w:eastAsia="宋体" w:cs="Times New Roman" w:hAnsi="Times New Roman"/>
                <w:spacing w:val="-2"/>
                <w:lang w:bidi="ar-SA"/>
                <w:highlight w:val="auto"/>
              </w:rPr>
              <w:t>运行费</w:t>
            </w:r>
          </w:p>
        </w:tc>
        <w:tc>
          <w:tcPr>
            <w:tcW w:w="1446" w:type="dxa"/>
            <w:vMerge/>
            <w:tcBorders>
              <w:top w:val="nil"/>
              <w:tl2br w:val="nil"/>
              <w:tr2bl w:val="nil"/>
            </w:tcBorders>
          </w:tcPr>
          <w:p/>
        </w:tc>
      </w:tr>
      <w:tr>
        <w:trPr>
          <w:trHeight w:val="1345"/>
        </w:trPr>
        <w:tc>
          <w:tcPr>
            <w:tcW w:w="1089" w:type="dxa"/>
            <w:tcBorders>
              <w:tl2br w:val="nil"/>
              <w:tr2bl w:val="nil"/>
            </w:tcBorders>
            <w:vAlign w:val="center"/>
          </w:tcPr>
          <w:p>
            <w:pPr>
              <w:pStyle w:val="3299"/>
              <w:spacing w:before="60" w:line="192" w:lineRule="auto"/>
              <w:jc w:val="center"/>
              <w:rPr>
                <w:rFonts w:ascii="Times New Roman" w:eastAsia="宋体" w:cs="Times New Roman" w:hAnsi="Times New Roman"/>
                <w:lang w:bidi="ar-SA"/>
                <w:highlight w:val="auto"/>
              </w:rPr>
            </w:pPr>
            <w:r>
              <w:rPr>
                <w:rFonts w:ascii="Times New Roman" w:eastAsia="宋体" w:cs="Times New Roman" w:hAnsi="Times New Roman"/>
                <w:lang w:bidi="ar-SA"/>
                <w:highlight w:val="auto"/>
              </w:rPr>
              <w:t>13.47</w:t>
            </w:r>
          </w:p>
        </w:tc>
        <w:tc>
          <w:tcPr>
            <w:tcW w:w="1319" w:type="dxa"/>
            <w:tcBorders>
              <w:tl2br w:val="nil"/>
              <w:tr2bl w:val="nil"/>
            </w:tcBorders>
            <w:vAlign w:val="center"/>
          </w:tcPr>
          <w:p>
            <w:pPr>
              <w:pStyle w:val="3300"/>
              <w:spacing w:before="60" w:line="192" w:lineRule="auto"/>
              <w:jc w:val="right"/>
              <w:rPr>
                <w:rFonts w:ascii="Times New Roman" w:eastAsia="宋体" w:cs="Times New Roman" w:hAnsi="Times New Roman"/>
                <w:lang w:bidi="ar-SA"/>
                <w:highlight w:val="auto"/>
              </w:rPr>
            </w:pPr>
          </w:p>
        </w:tc>
        <w:tc>
          <w:tcPr>
            <w:tcW w:w="1079" w:type="dxa"/>
            <w:tcBorders>
              <w:tl2br w:val="nil"/>
              <w:tr2bl w:val="nil"/>
            </w:tcBorders>
            <w:vAlign w:val="center"/>
          </w:tcPr>
          <w:p>
            <w:pPr>
              <w:pStyle w:val="3301"/>
              <w:spacing w:before="60" w:line="192" w:lineRule="auto"/>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13.47</w:t>
            </w:r>
          </w:p>
        </w:tc>
        <w:tc>
          <w:tcPr>
            <w:tcW w:w="1154" w:type="dxa"/>
            <w:tcBorders>
              <w:tl2br w:val="nil"/>
              <w:tr2bl w:val="nil"/>
            </w:tcBorders>
            <w:vAlign w:val="center"/>
          </w:tcPr>
          <w:p>
            <w:pPr>
              <w:pStyle w:val="3302"/>
              <w:spacing w:before="60" w:line="192" w:lineRule="auto"/>
              <w:jc w:val="right"/>
              <w:rPr>
                <w:rFonts w:ascii="Times New Roman" w:eastAsia="宋体" w:cs="Times New Roman" w:hAnsi="Times New Roman"/>
                <w:lang w:bidi="ar-SA"/>
                <w:highlight w:val="auto"/>
              </w:rPr>
            </w:pPr>
          </w:p>
        </w:tc>
        <w:tc>
          <w:tcPr>
            <w:tcW w:w="1319" w:type="dxa"/>
            <w:tcBorders>
              <w:tl2br w:val="nil"/>
              <w:tr2bl w:val="nil"/>
            </w:tcBorders>
            <w:vAlign w:val="center"/>
          </w:tcPr>
          <w:p>
            <w:pPr>
              <w:pStyle w:val="3303"/>
              <w:spacing w:before="60" w:line="192" w:lineRule="auto"/>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13.47</w:t>
            </w:r>
          </w:p>
        </w:tc>
        <w:tc>
          <w:tcPr>
            <w:tcW w:w="1439" w:type="dxa"/>
            <w:tcBorders>
              <w:tl2br w:val="nil"/>
              <w:tr2bl w:val="nil"/>
            </w:tcBorders>
            <w:vAlign w:val="center"/>
          </w:tcPr>
          <w:p>
            <w:pPr>
              <w:pStyle w:val="3304"/>
              <w:spacing w:before="60" w:line="192" w:lineRule="auto"/>
              <w:jc w:val="right"/>
              <w:rPr>
                <w:rFonts w:ascii="Times New Roman" w:eastAsia="宋体" w:cs="Times New Roman" w:hAnsi="Times New Roman"/>
                <w:lang w:bidi="ar-SA"/>
                <w:highlight w:val="auto"/>
              </w:rPr>
            </w:pPr>
          </w:p>
        </w:tc>
        <w:tc>
          <w:tcPr>
            <w:tcW w:w="1080" w:type="dxa"/>
            <w:tcBorders>
              <w:tl2br w:val="nil"/>
              <w:tr2bl w:val="nil"/>
            </w:tcBorders>
            <w:vAlign w:val="center"/>
          </w:tcPr>
          <w:p>
            <w:pPr>
              <w:pStyle w:val="3381"/>
              <w:spacing w:before="60" w:line="192" w:lineRule="auto"/>
              <w:jc w:val="center"/>
              <w:rPr>
                <w:rFonts w:ascii="Times New Roman" w:eastAsia="宋体" w:cs="Times New Roman" w:hAnsi="Times New Roman"/>
                <w:lang w:bidi="ar-SA"/>
                <w:highlight w:val="auto"/>
              </w:rPr>
            </w:pPr>
            <w:r>
              <w:rPr>
                <w:rFonts w:ascii="Times New Roman" w:eastAsia="宋体" w:cs="Times New Roman" w:hAnsi="Times New Roman"/>
                <w:lang w:bidi="ar-SA"/>
                <w:highlight w:val="auto"/>
              </w:rPr>
              <w:t>32.03</w:t>
            </w:r>
          </w:p>
        </w:tc>
        <w:tc>
          <w:tcPr>
            <w:tcW w:w="1319" w:type="dxa"/>
            <w:tcBorders>
              <w:tl2br w:val="nil"/>
              <w:tr2bl w:val="nil"/>
            </w:tcBorders>
            <w:vAlign w:val="center"/>
          </w:tcPr>
          <w:p>
            <w:pPr>
              <w:pStyle w:val="3382"/>
              <w:spacing w:before="60" w:line="192" w:lineRule="auto"/>
              <w:jc w:val="right"/>
              <w:rPr>
                <w:rFonts w:ascii="Times New Roman" w:eastAsia="宋体" w:cs="Times New Roman" w:hAnsi="Times New Roman"/>
                <w:lang w:bidi="ar-SA"/>
                <w:highlight w:val="auto"/>
              </w:rPr>
            </w:pPr>
          </w:p>
        </w:tc>
        <w:tc>
          <w:tcPr>
            <w:tcW w:w="1080" w:type="dxa"/>
            <w:tcBorders>
              <w:tl2br w:val="nil"/>
              <w:tr2bl w:val="nil"/>
            </w:tcBorders>
            <w:vAlign w:val="center"/>
          </w:tcPr>
          <w:p>
            <w:pPr>
              <w:pStyle w:val="3383"/>
              <w:spacing w:before="60" w:line="192" w:lineRule="auto"/>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13.47</w:t>
            </w:r>
          </w:p>
        </w:tc>
        <w:tc>
          <w:tcPr>
            <w:tcW w:w="1320" w:type="dxa"/>
            <w:tcBorders>
              <w:tl2br w:val="nil"/>
              <w:tr2bl w:val="nil"/>
            </w:tcBorders>
            <w:vAlign w:val="center"/>
          </w:tcPr>
          <w:p>
            <w:pPr>
              <w:pStyle w:val="3384"/>
              <w:spacing w:before="60" w:line="192" w:lineRule="auto"/>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18.56</w:t>
            </w:r>
          </w:p>
        </w:tc>
        <w:tc>
          <w:tcPr>
            <w:tcW w:w="1319" w:type="dxa"/>
            <w:tcBorders>
              <w:tl2br w:val="nil"/>
              <w:tr2bl w:val="nil"/>
            </w:tcBorders>
            <w:vAlign w:val="center"/>
          </w:tcPr>
          <w:p>
            <w:pPr>
              <w:pStyle w:val="3385"/>
              <w:spacing w:before="60" w:line="192" w:lineRule="auto"/>
              <w:jc w:val="right"/>
              <w:rPr>
                <w:rFonts w:ascii="Times New Roman" w:eastAsia="宋体" w:cs="Times New Roman" w:hAnsi="Times New Roman"/>
                <w:lang w:bidi="ar-SA"/>
                <w:highlight w:val="auto"/>
              </w:rPr>
            </w:pPr>
            <w:r>
              <w:rPr>
                <w:rFonts w:ascii="Times New Roman" w:eastAsia="宋体" w:cs="Times New Roman" w:hAnsi="Times New Roman"/>
                <w:lang w:bidi="ar-SA"/>
                <w:highlight w:val="auto"/>
              </w:rPr>
              <w:t>13.47</w:t>
            </w:r>
          </w:p>
        </w:tc>
        <w:tc>
          <w:tcPr>
            <w:tcW w:w="1446" w:type="dxa"/>
            <w:tcBorders>
              <w:tl2br w:val="nil"/>
              <w:tr2bl w:val="nil"/>
            </w:tcBorders>
            <w:vAlign w:val="center"/>
          </w:tcPr>
          <w:p>
            <w:pPr>
              <w:pStyle w:val="3298"/>
              <w:spacing w:before="60" w:line="192" w:lineRule="auto"/>
              <w:ind w:firstLine="621"/>
              <w:jc w:val="right"/>
              <w:rPr>
                <w:rFonts w:ascii="Times New Roman" w:eastAsia="宋体" w:cs="Times New Roman" w:hAnsi="Times New Roman"/>
                <w:lang w:bidi="ar-SA"/>
                <w:highlight w:val="auto"/>
              </w:rPr>
            </w:pPr>
          </w:p>
        </w:tc>
      </w:tr>
    </w:tbl>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sectPr>
          <w:pgSz w:w="16841" w:h="11907" w:orient="landscape"/>
          <w:pgMar w:top="1431" w:right="638" w:bottom="0" w:left="451" w:header="0" w:footer="0" w:gutter="0"/>
          <w:pgNumType/>
          <w:docGrid w:linePitch="285" w:charSpace="0"/>
        </w:sectPr>
      </w:pPr>
      <w:r>
        <w:rPr>
          <w:rFonts w:ascii="Times New Roman" w:eastAsia="宋体" w:cs="Microsoft JhengHei" w:hAnsi="Times New Roman" w:hint="eastAsia"/>
          <w:spacing w:val="-1"/>
          <w:sz w:val="20"/>
          <w:szCs w:val="20"/>
          <w:lang w:bidi="ar-SA"/>
          <w:highlight w:val="auto"/>
        </w:rPr>
        <w:t xml:space="preserve">         </w:t>
      </w:r>
    </w:p>
    <w:p>
      <w:pPr>
        <w:pStyle w:val="2325"/>
        <w:rPr>
          <w:rFonts w:ascii="Times New Roman" w:eastAsia="宋体" w:hAnsi="Times New Roman"/>
          <w:highlight w:val="auto"/>
        </w:rPr>
        <w:sectPr>
          <w:type w:val="continuous"/>
          <w:pgSz w:w="16841" w:h="11907" w:orient="landscape"/>
          <w:pgMar w:top="1431" w:right="638" w:bottom="0" w:left="451" w:header="0" w:footer="0" w:gutter="0"/>
          <w:pgNumType/>
          <w:docGrid w:linePitch="285" w:charSpace="0"/>
        </w:sect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sz w:val="24"/>
          <w:highlight w:val="auto"/>
        </w:rPr>
      </w:pPr>
    </w:p>
    <w:p>
      <w:pPr>
        <w:jc w:val="right"/>
        <w:rPr>
          <w:highlight w:val="auto"/>
        </w:rPr>
      </w:pPr>
    </w:p>
    <w:p>
      <w:pPr>
        <w:rPr>
          <w:b/>
          <w:sz w:val="44"/>
          <w:szCs w:val="44"/>
          <w:highlight w:val="auto"/>
        </w:rPr>
      </w:pPr>
    </w:p>
    <w:p>
      <w:pPr>
        <w:jc w:val="center"/>
        <w:rPr>
          <w:b/>
          <w:sz w:val="84"/>
          <w:szCs w:val="84"/>
          <w:highlight w:val="auto"/>
        </w:rPr>
      </w:pPr>
    </w:p>
    <w:p>
      <w:pPr>
        <w:jc w:val="center"/>
        <w:rPr>
          <w:b/>
          <w:sz w:val="84"/>
          <w:szCs w:val="84"/>
          <w:highlight w:val="auto"/>
        </w:rPr>
      </w:pPr>
      <w:r>
        <w:rPr>
          <w:rFonts w:hint="eastAsia"/>
          <w:b/>
          <w:sz w:val="84"/>
          <w:szCs w:val="84"/>
          <w:highlight w:val="auto"/>
        </w:rPr>
        <w:t>第三部分</w:t>
      </w:r>
      <w:r>
        <w:rPr>
          <w:b/>
          <w:sz w:val="84"/>
          <w:szCs w:val="84"/>
          <w:highlight w:val="auto"/>
        </w:rPr>
        <w:t xml:space="preserve">  </w:t>
      </w:r>
    </w:p>
    <w:p>
      <w:pPr>
        <w:jc w:val="center"/>
        <w:rPr>
          <w:rFonts w:hint="eastAsia"/>
          <w:b/>
          <w:sz w:val="80"/>
          <w:szCs w:val="80"/>
          <w:highlight w:val="auto"/>
        </w:rPr>
      </w:pPr>
      <w:r>
        <w:rPr>
          <w:b/>
          <w:sz w:val="80"/>
          <w:szCs w:val="80"/>
        </w:rPr>
        <w:t>集宁</w:t>
      </w:r>
      <w:r>
        <w:rPr>
          <w:rFonts w:hint="eastAsia"/>
          <w:b/>
          <w:sz w:val="80"/>
          <w:szCs w:val="80"/>
          <w:highlight w:val="auto"/>
        </w:rPr>
        <w:t>海关</w:t>
      </w:r>
      <w:r>
        <w:rPr>
          <w:b/>
          <w:sz w:val="80"/>
          <w:szCs w:val="80"/>
        </w:rPr>
        <w:t>2026</w:t>
      </w:r>
      <w:r>
        <w:rPr>
          <w:rFonts w:hint="eastAsia"/>
          <w:b/>
          <w:sz w:val="80"/>
          <w:szCs w:val="80"/>
          <w:highlight w:val="auto"/>
        </w:rPr>
        <w:t>年</w:t>
      </w:r>
    </w:p>
    <w:p>
      <w:pPr>
        <w:jc w:val="center"/>
        <w:rPr>
          <w:b/>
          <w:sz w:val="80"/>
          <w:szCs w:val="80"/>
          <w:highlight w:val="auto"/>
        </w:rPr>
      </w:pPr>
      <w:r>
        <w:rPr>
          <w:rFonts w:hint="eastAsia"/>
          <w:b/>
          <w:sz w:val="80"/>
          <w:szCs w:val="80"/>
          <w:highlight w:val="auto"/>
        </w:rPr>
        <w:t>部门预算情况说明</w:t>
      </w:r>
    </w:p>
    <w:p>
      <w:pPr>
        <w:pStyle w:val="30"/>
        <w:spacing w:line="560" w:lineRule="exact"/>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rPr>
          <w:b/>
          <w:sz w:val="84"/>
          <w:szCs w:val="84"/>
          <w:highlight w:val="auto"/>
        </w:rPr>
      </w:pPr>
    </w:p>
    <w:p>
      <w:pPr>
        <w:jc w:val="left"/>
        <w:rPr>
          <w:rFonts w:eastAsia="方正仿宋_GBK"/>
          <w:sz w:val="32"/>
          <w:szCs w:val="32"/>
          <w:highlight w:val="auto"/>
        </w:rPr>
      </w:pPr>
    </w:p>
    <w:p>
      <w:pPr>
        <w:pStyle w:val="30"/>
        <w:spacing w:line="560" w:lineRule="exact"/>
        <w:ind w:firstLineChars="200" w:firstLine="640"/>
        <w:rPr>
          <w:rFonts w:eastAsia="方正仿宋_GBK"/>
          <w:sz w:val="32"/>
          <w:szCs w:val="32"/>
          <w:highlight w:val="auto"/>
        </w:rPr>
      </w:pPr>
      <w:r>
        <w:rPr>
          <w:rFonts w:eastAsia="方正仿宋_GBK" w:hint="eastAsia"/>
          <w:sz w:val="32"/>
          <w:szCs w:val="32"/>
          <w:highlight w:val="auto"/>
        </w:rPr>
        <w:br w:type="page"/>
      </w:r>
    </w:p>
    <w:p>
      <w:pPr>
        <w:pStyle w:val="30"/>
        <w:spacing w:line="560" w:lineRule="exact"/>
        <w:ind w:firstLineChars="200" w:firstLine="640"/>
        <w:rPr>
          <w:rFonts w:eastAsia="方正仿宋_GBK" w:hint="eastAsia"/>
          <w:sz w:val="32"/>
          <w:szCs w:val="32"/>
          <w:highlight w:val="auto"/>
        </w:rPr>
      </w:pPr>
      <w:r>
        <w:rPr>
          <w:rFonts w:eastAsia="方正黑体_GBK"/>
          <w:sz w:val="32"/>
          <w:szCs w:val="32"/>
          <w:highlight w:val="auto"/>
        </w:rPr>
        <w:t>一、关于</w:t>
      </w:r>
      <w:r>
        <w:rPr>
          <w:rFonts w:eastAsia="方正黑体_GBK"/>
          <w:sz w:val="32"/>
          <w:szCs w:val="32"/>
        </w:rPr>
        <w:t>2026</w:t>
      </w:r>
      <w:r>
        <w:rPr>
          <w:rFonts w:eastAsia="方正黑体_GBK"/>
          <w:sz w:val="32"/>
          <w:szCs w:val="32"/>
          <w:highlight w:val="auto"/>
        </w:rPr>
        <w:t>年收支预算情况的总体说明</w:t>
      </w:r>
    </w:p>
    <w:p>
      <w:pPr>
        <w:pStyle w:val="30"/>
        <w:spacing w:line="560" w:lineRule="exact"/>
        <w:ind w:firstLineChars="200" w:firstLine="640"/>
        <w:rPr>
          <w:rFonts w:eastAsia="方正仿宋_GBK"/>
          <w:sz w:val="32"/>
          <w:szCs w:val="32"/>
          <w:highlight w:val="auto"/>
        </w:rPr>
      </w:pPr>
      <w:r>
        <w:rPr>
          <w:rFonts w:eastAsia="方正仿宋_GBK"/>
          <w:sz w:val="32"/>
          <w:szCs w:val="32"/>
          <w:highlight w:val="auto"/>
        </w:rPr>
        <w:t>按照综合预算的原则，</w:t>
      </w:r>
      <w:r>
        <w:rPr>
          <w:rFonts w:eastAsia="方正仿宋_GBK"/>
          <w:sz w:val="32"/>
          <w:szCs w:val="32"/>
        </w:rPr>
        <w:t>集宁</w:t>
      </w:r>
      <w:r>
        <w:rPr>
          <w:rFonts w:eastAsia="方正仿宋_GBK"/>
          <w:sz w:val="32"/>
          <w:szCs w:val="32"/>
          <w:highlight w:val="auto"/>
        </w:rPr>
        <w:t>海关所有收入和支出均纳入部门预算管理。收入包括：一般公共预算拨款收入、其他收入、上年结转；支出包括：一般公共服务支出、社会保障和就业支出、卫生健康支出、住房保障支出。</w:t>
      </w:r>
      <w:r>
        <w:rPr>
          <w:rFonts w:eastAsia="方正仿宋_GBK"/>
          <w:sz w:val="32"/>
          <w:szCs w:val="32"/>
        </w:rPr>
        <w:t>集宁</w:t>
      </w:r>
      <w:r>
        <w:rPr>
          <w:rFonts w:eastAsia="方正仿宋_GBK"/>
          <w:sz w:val="32"/>
          <w:szCs w:val="32"/>
          <w:highlight w:val="auto"/>
        </w:rPr>
        <w:t>海关</w:t>
      </w:r>
      <w:r>
        <w:rPr>
          <w:rFonts w:eastAsia="方正仿宋_GBK"/>
          <w:sz w:val="32"/>
          <w:szCs w:val="32"/>
        </w:rPr>
        <w:t>2026</w:t>
      </w:r>
      <w:r>
        <w:rPr>
          <w:rFonts w:eastAsia="方正仿宋_GBK"/>
          <w:sz w:val="32"/>
          <w:szCs w:val="32"/>
          <w:highlight w:val="auto"/>
        </w:rPr>
        <w:t>年收支总预算</w:t>
      </w:r>
      <w:r>
        <w:rPr>
          <w:rFonts w:eastAsia="方正仿宋_GBK"/>
          <w:sz w:val="32"/>
          <w:szCs w:val="32"/>
        </w:rPr>
        <w:t>集宁</w:t>
      </w:r>
      <w:r>
        <w:rPr>
          <w:rFonts w:eastAsia="方正仿宋_GBK"/>
          <w:sz w:val="32"/>
          <w:szCs w:val="32"/>
          <w:highlight w:val="auto"/>
        </w:rPr>
        <w:t>1078.68万元。</w:t>
      </w:r>
    </w:p>
    <w:p>
      <w:pPr>
        <w:pStyle w:val="30"/>
        <w:spacing w:line="560" w:lineRule="exact"/>
        <w:ind w:firstLineChars="200" w:firstLine="640"/>
        <w:rPr>
          <w:rFonts w:eastAsia="方正黑体_GBK"/>
          <w:sz w:val="32"/>
          <w:szCs w:val="32"/>
        </w:rPr>
      </w:pPr>
      <w:r>
        <w:rPr>
          <w:rFonts w:eastAsia="方正黑体_GBK"/>
          <w:sz w:val="32"/>
          <w:szCs w:val="32"/>
          <w:highlight w:val="auto"/>
        </w:rPr>
        <w:t>二、关于</w:t>
      </w:r>
      <w:r>
        <w:rPr>
          <w:rFonts w:eastAsia="方正黑体_GBK"/>
          <w:sz w:val="32"/>
          <w:szCs w:val="32"/>
        </w:rPr>
        <w:t>2026</w:t>
      </w:r>
      <w:r>
        <w:rPr>
          <w:rFonts w:eastAsia="方正黑体_GBK"/>
          <w:sz w:val="32"/>
          <w:szCs w:val="32"/>
          <w:highlight w:val="auto"/>
        </w:rPr>
        <w:t>年收入预算情况说明</w:t>
      </w:r>
    </w:p>
    <w:p>
      <w:pPr>
        <w:pStyle w:val="30"/>
        <w:spacing w:line="560" w:lineRule="exact"/>
        <w:ind w:firstLineChars="200" w:firstLine="640"/>
        <w:rPr>
          <w:rFonts w:eastAsia="方正仿宋_GBK"/>
          <w:sz w:val="32"/>
          <w:szCs w:val="32"/>
          <w:highlight w:val="auto"/>
        </w:rPr>
      </w:pPr>
      <w:r>
        <w:rPr>
          <w:rFonts w:eastAsia="方正仿宋_GBK"/>
          <w:sz w:val="32"/>
          <w:szCs w:val="32"/>
        </w:rPr>
        <w:t>集宁</w:t>
      </w:r>
      <w:r>
        <w:rPr>
          <w:rFonts w:eastAsia="方正仿宋_GBK"/>
          <w:sz w:val="32"/>
          <w:szCs w:val="32"/>
          <w:highlight w:val="auto"/>
        </w:rPr>
        <w:t>海关</w:t>
      </w:r>
      <w:r>
        <w:rPr>
          <w:rFonts w:eastAsia="方正仿宋_GBK"/>
          <w:sz w:val="32"/>
          <w:szCs w:val="32"/>
        </w:rPr>
        <w:t>2026</w:t>
      </w:r>
      <w:r>
        <w:rPr>
          <w:rFonts w:eastAsia="方正仿宋_GBK"/>
          <w:sz w:val="32"/>
          <w:szCs w:val="32"/>
          <w:highlight w:val="auto"/>
        </w:rPr>
        <w:t>年收入预算1078.68万元，其中：上年结转83.88万元，占7.78%；一般公共预算财政拨款844.8万元，占78.32%；其他收入150.00万元，占17.76%。</w:t>
      </w:r>
    </w:p>
    <w:p>
      <w:pPr>
        <w:pStyle w:val="30"/>
        <w:spacing w:line="560" w:lineRule="exact"/>
        <w:ind w:firstLineChars="200" w:firstLine="640"/>
        <w:rPr>
          <w:rFonts w:eastAsia="方正仿宋_GBK"/>
          <w:sz w:val="32"/>
          <w:szCs w:val="32"/>
          <w:highlight w:val="auto"/>
        </w:rPr>
      </w:pPr>
      <w:r>
        <w:rPr>
          <w:rFonts w:eastAsia="方正仿宋_GBK"/>
          <w:sz w:val="32"/>
          <w:szCs w:val="32"/>
        </w:rPr>
        <w:drawing>
          <wp:anchor distT="0" distB="0" distL="85723" distR="85723" simplePos="0" relativeHeight="17" behindDoc="0" locked="0" layoutInCell="1" hidden="0" allowOverlap="1">
            <wp:simplePos x="0" y="0"/>
            <wp:positionH relativeFrom="column">
              <wp:posOffset>817877</wp:posOffset>
            </wp:positionH>
            <wp:positionV relativeFrom="paragraph">
              <wp:posOffset>406400</wp:posOffset>
            </wp:positionV>
            <wp:extent cx="4338956" cy="2579673"/>
            <wp:effectExtent l="0" t="0" r="0" b="0"/>
            <wp:wrapSquare wrapText="bothSides"/>
            <wp:docPr id="10" name="图片"/>
            <wp:cNvGraphicFramePr>
              <a:graphicFrameLocks noChangeAspect="1"/>
            </wp:cNvGraphicFramePr>
            <a:graphic>
              <a:graphicData uri="http://schemas.openxmlformats.org/drawingml/2006/picture">
                <pic:pic>
                  <pic:nvPicPr>
                    <pic:cNvPr id="12" name="图片 12"/>
                    <pic:cNvPicPr/>
                  </pic:nvPicPr>
                  <pic:blipFill>
                    <a:blip r:embed="rId5"/>
                    <a:stretch>
                      <a:fillRect/>
                    </a:stretch>
                  </pic:blipFill>
                  <pic:spPr>
                    <a:xfrm rot="0">
                      <a:off x="0" y="0"/>
                      <a:ext cx="4338956" cy="2579673"/>
                    </a:xfrm>
                    <a:prstGeom prst="rect"/>
                    <a:noFill/>
                    <a:ln w="9525" cmpd="sng" cap="flat">
                      <a:noFill/>
                      <a:prstDash val="solid"/>
                      <a:miter/>
                    </a:ln>
                  </pic:spPr>
                </pic:pic>
              </a:graphicData>
            </a:graphic>
          </wp:anchor>
        </w:drawing>
      </w:r>
    </w:p>
    <w:p>
      <w:pPr>
        <w:pStyle w:val="30"/>
        <w:spacing w:line="560" w:lineRule="exact"/>
        <w:ind w:firstLineChars="200" w:firstLine="640"/>
        <w:rPr>
          <w:rFonts w:eastAsia="方正黑体_GBK" w:hint="eastAsia"/>
          <w:sz w:val="32"/>
          <w:szCs w:val="32"/>
          <w:highlight w:val="auto"/>
        </w:rPr>
      </w:pPr>
    </w:p>
    <w:p>
      <w:pPr>
        <w:pStyle w:val="30"/>
        <w:spacing w:line="560" w:lineRule="exact"/>
        <w:ind w:firstLineChars="200" w:firstLine="640"/>
        <w:rPr>
          <w:rFonts w:eastAsia="方正黑体_GBK" w:hint="eastAsia"/>
          <w:sz w:val="32"/>
          <w:szCs w:val="32"/>
          <w:highlight w:val="auto"/>
        </w:rPr>
      </w:pPr>
    </w:p>
    <w:p>
      <w:pPr>
        <w:pStyle w:val="30"/>
        <w:spacing w:line="560" w:lineRule="exact"/>
        <w:ind w:firstLineChars="200" w:firstLine="640"/>
        <w:rPr>
          <w:rFonts w:eastAsia="方正黑体_GBK" w:hint="eastAsia"/>
          <w:sz w:val="32"/>
          <w:szCs w:val="32"/>
          <w:highlight w:val="auto"/>
        </w:rPr>
      </w:pPr>
    </w:p>
    <w:p>
      <w:pPr>
        <w:pStyle w:val="30"/>
        <w:spacing w:line="560" w:lineRule="exact"/>
        <w:ind w:firstLineChars="200" w:firstLine="640"/>
        <w:rPr>
          <w:rFonts w:eastAsia="方正黑体_GBK" w:hint="eastAsia"/>
          <w:sz w:val="32"/>
          <w:szCs w:val="32"/>
          <w:highlight w:val="auto"/>
        </w:rPr>
      </w:pPr>
    </w:p>
    <w:p>
      <w:pPr>
        <w:pStyle w:val="30"/>
        <w:spacing w:line="560" w:lineRule="exact"/>
        <w:ind w:firstLineChars="200" w:firstLine="640"/>
        <w:rPr>
          <w:rFonts w:eastAsia="方正黑体_GBK"/>
          <w:sz w:val="32"/>
          <w:szCs w:val="32"/>
          <w:highlight w:val="auto"/>
        </w:rPr>
      </w:pPr>
    </w:p>
    <w:p>
      <w:pPr>
        <w:pStyle w:val="30"/>
        <w:spacing w:line="560" w:lineRule="exact"/>
        <w:ind w:firstLineChars="200" w:firstLine="640"/>
        <w:rPr>
          <w:rFonts w:eastAsia="方正黑体_GBK"/>
          <w:sz w:val="32"/>
          <w:szCs w:val="32"/>
          <w:highlight w:val="auto"/>
        </w:rPr>
      </w:pPr>
    </w:p>
    <w:p>
      <w:pPr>
        <w:pStyle w:val="30"/>
        <w:spacing w:line="560" w:lineRule="exact"/>
        <w:ind w:firstLineChars="200" w:firstLine="640"/>
        <w:rPr>
          <w:rFonts w:eastAsia="方正黑体_GBK"/>
          <w:sz w:val="32"/>
          <w:szCs w:val="32"/>
          <w:highlight w:val="auto"/>
        </w:rPr>
      </w:pPr>
    </w:p>
    <w:p>
      <w:pPr>
        <w:pStyle w:val="30"/>
        <w:spacing w:line="560" w:lineRule="exact"/>
        <w:ind w:firstLineChars="200" w:firstLine="640"/>
        <w:rPr>
          <w:rFonts w:eastAsia="方正黑体_GBK" w:hint="eastAsia"/>
          <w:sz w:val="32"/>
          <w:szCs w:val="32"/>
          <w:highlight w:val="auto"/>
        </w:rPr>
      </w:pP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三、关于</w:t>
      </w:r>
      <w:r>
        <w:rPr>
          <w:rFonts w:eastAsia="方正黑体_GBK"/>
          <w:sz w:val="32"/>
          <w:szCs w:val="32"/>
        </w:rPr>
        <w:t>2026</w:t>
      </w:r>
      <w:r>
        <w:rPr>
          <w:rFonts w:eastAsia="方正黑体_GBK" w:hint="eastAsia"/>
          <w:sz w:val="32"/>
          <w:szCs w:val="32"/>
          <w:highlight w:val="auto"/>
        </w:rPr>
        <w:t>年支出预算情况说明</w:t>
      </w:r>
    </w:p>
    <w:p>
      <w:pPr>
        <w:pStyle w:val="30"/>
        <w:spacing w:line="560" w:lineRule="exact"/>
        <w:ind w:firstLineChars="200" w:firstLine="640"/>
        <w:rPr>
          <w:sz w:val="32"/>
          <w:szCs w:val="32"/>
          <w:highlight w:val="auto"/>
        </w:rPr>
      </w:pPr>
      <w:r>
        <w:rPr>
          <w:rFonts w:eastAsia="方正仿宋_GBK"/>
          <w:sz w:val="32"/>
          <w:szCs w:val="32"/>
        </w:rPr>
        <w:t>集宁</w:t>
      </w:r>
      <w:r>
        <w:rPr>
          <w:rFonts w:eastAsia="方正仿宋_GBK" w:hint="eastAsia"/>
          <w:sz w:val="32"/>
          <w:szCs w:val="32"/>
          <w:highlight w:val="auto"/>
        </w:rPr>
        <w:t>海关</w:t>
      </w:r>
      <w:r>
        <w:rPr>
          <w:rFonts w:eastAsia="方正仿宋_GBK"/>
          <w:sz w:val="32"/>
          <w:szCs w:val="32"/>
        </w:rPr>
        <w:t>2026</w:t>
      </w:r>
      <w:r>
        <w:rPr>
          <w:rFonts w:eastAsia="方正仿宋_GBK" w:hint="eastAsia"/>
          <w:sz w:val="32"/>
          <w:szCs w:val="32"/>
          <w:highlight w:val="auto"/>
        </w:rPr>
        <w:t>年支出预算</w:t>
      </w:r>
      <w:r>
        <w:rPr>
          <w:rFonts w:eastAsia="方正仿宋_GBK"/>
          <w:sz w:val="32"/>
          <w:szCs w:val="32"/>
          <w:highlight w:val="auto"/>
        </w:rPr>
        <w:t>1078.68</w:t>
      </w:r>
      <w:r>
        <w:rPr>
          <w:rFonts w:eastAsia="方正仿宋_GBK" w:hint="eastAsia"/>
          <w:sz w:val="32"/>
          <w:szCs w:val="32"/>
          <w:highlight w:val="auto"/>
        </w:rPr>
        <w:t>万元，其中：基本支出</w:t>
      </w:r>
      <w:r>
        <w:rPr>
          <w:rFonts w:eastAsia="方正仿宋_GBK"/>
          <w:sz w:val="32"/>
          <w:szCs w:val="32"/>
          <w:highlight w:val="auto"/>
        </w:rPr>
        <w:t>985.63</w:t>
      </w:r>
      <w:r>
        <w:rPr>
          <w:rFonts w:eastAsia="方正仿宋_GBK" w:hint="eastAsia"/>
          <w:sz w:val="32"/>
          <w:szCs w:val="32"/>
          <w:highlight w:val="auto"/>
        </w:rPr>
        <w:t>万元，占</w:t>
      </w:r>
      <w:r>
        <w:rPr>
          <w:rFonts w:eastAsia="方正仿宋_GBK"/>
          <w:sz w:val="32"/>
          <w:szCs w:val="32"/>
          <w:highlight w:val="auto"/>
        </w:rPr>
        <w:t>91.37%</w:t>
      </w:r>
      <w:r>
        <w:rPr>
          <w:rFonts w:eastAsia="方正仿宋_GBK" w:hint="eastAsia"/>
          <w:sz w:val="32"/>
          <w:szCs w:val="32"/>
          <w:highlight w:val="auto"/>
        </w:rPr>
        <w:t>；项目支出</w:t>
      </w:r>
      <w:r>
        <w:rPr>
          <w:rFonts w:eastAsia="方正仿宋_GBK"/>
          <w:sz w:val="32"/>
          <w:szCs w:val="32"/>
          <w:highlight w:val="auto"/>
        </w:rPr>
        <w:t>93.05</w:t>
      </w:r>
      <w:r>
        <w:rPr>
          <w:rFonts w:eastAsia="方正仿宋_GBK" w:hint="eastAsia"/>
          <w:sz w:val="32"/>
          <w:szCs w:val="32"/>
          <w:highlight w:val="auto"/>
        </w:rPr>
        <w:t>万元，占</w:t>
      </w:r>
      <w:r>
        <w:rPr>
          <w:rFonts w:eastAsia="方正仿宋_GBK"/>
          <w:sz w:val="32"/>
          <w:szCs w:val="32"/>
          <w:highlight w:val="auto"/>
        </w:rPr>
        <w:t>8.63%</w:t>
      </w:r>
      <w:r>
        <w:rPr>
          <w:rFonts w:eastAsia="方正仿宋_GBK" w:hint="eastAsia"/>
          <w:sz w:val="32"/>
          <w:szCs w:val="32"/>
          <w:highlight w:val="auto"/>
        </w:rPr>
        <w:t>。</w:t>
      </w:r>
    </w:p>
    <w:p>
      <w:pPr>
        <w:pStyle w:val="30"/>
        <w:spacing w:line="560" w:lineRule="exact"/>
        <w:ind w:firstLineChars="200" w:firstLine="640"/>
        <w:rPr>
          <w:sz w:val="32"/>
          <w:szCs w:val="32"/>
          <w:highlight w:val="auto"/>
        </w:rPr>
      </w:pPr>
    </w:p>
    <w:p>
      <w:pPr>
        <w:pStyle w:val="30"/>
        <w:spacing w:line="560" w:lineRule="exact"/>
        <w:ind w:firstLineChars="200" w:firstLine="640"/>
        <w:rPr>
          <w:rFonts w:eastAsia="方正仿宋_GBK"/>
          <w:sz w:val="32"/>
          <w:szCs w:val="32"/>
        </w:rPr>
      </w:pPr>
    </w:p>
    <w:p>
      <w:pPr>
        <w:pStyle w:val="3407"/>
        <w:spacing w:line="560" w:lineRule="exact"/>
        <w:ind w:left="0"/>
        <w:rPr>
          <w:sz w:val="32"/>
          <w:szCs w:val="32"/>
          <w:highlight w:val="auto"/>
        </w:rPr>
      </w:pPr>
    </w:p>
    <w:p>
      <w:pPr>
        <w:pStyle w:val="3407"/>
        <w:spacing w:line="560" w:lineRule="exact"/>
        <w:ind w:left="0"/>
        <w:rPr>
          <w:sz w:val="32"/>
          <w:szCs w:val="32"/>
          <w:highlight w:val="auto"/>
        </w:rPr>
      </w:pPr>
    </w:p>
    <w:p>
      <w:pPr>
        <w:pStyle w:val="3407"/>
        <w:spacing w:line="560" w:lineRule="exact"/>
        <w:ind w:left="0"/>
        <w:rPr>
          <w:sz w:val="32"/>
          <w:szCs w:val="32"/>
          <w:highlight w:val="auto"/>
        </w:rPr>
      </w:pPr>
    </w:p>
    <w:p>
      <w:pPr>
        <w:pStyle w:val="3407"/>
        <w:spacing w:line="560" w:lineRule="exact"/>
        <w:ind w:left="0"/>
        <w:rPr>
          <w:sz w:val="32"/>
          <w:szCs w:val="32"/>
          <w:highlight w:val="auto"/>
        </w:rPr>
      </w:pPr>
    </w:p>
    <w:p>
      <w:pPr>
        <w:pStyle w:val="3407"/>
        <w:spacing w:line="560" w:lineRule="exact"/>
        <w:ind w:left="0"/>
        <w:rPr>
          <w:sz w:val="32"/>
          <w:szCs w:val="32"/>
          <w:highlight w:val="auto"/>
        </w:rPr>
      </w:pPr>
      <w:r>
        <w:rPr>
          <w:sz w:val="32"/>
          <w:szCs w:val="32"/>
        </w:rPr>
        <w:drawing>
          <wp:anchor distT="0" distB="0" distL="85723" distR="85723" simplePos="0" relativeHeight="18" behindDoc="0" locked="0" layoutInCell="1" hidden="0" allowOverlap="1">
            <wp:simplePos x="0" y="0"/>
            <wp:positionH relativeFrom="column">
              <wp:posOffset>756284</wp:posOffset>
            </wp:positionH>
            <wp:positionV relativeFrom="paragraph">
              <wp:posOffset>-1804459</wp:posOffset>
            </wp:positionV>
            <wp:extent cx="4570500" cy="2660439"/>
            <wp:effectExtent l="0" t="0" r="0" b="0"/>
            <wp:wrapSquare wrapText="bothSides"/>
            <wp:docPr id="13" name="图片"/>
            <wp:cNvGraphicFramePr>
              <a:graphicFrameLocks noChangeAspect="1"/>
            </wp:cNvGraphicFramePr>
            <a:graphic>
              <a:graphicData uri="http://schemas.openxmlformats.org/drawingml/2006/picture">
                <pic:pic>
                  <pic:nvPicPr>
                    <pic:cNvPr id="14" name="图片 14"/>
                    <pic:cNvPicPr/>
                  </pic:nvPicPr>
                  <pic:blipFill>
                    <a:blip r:embed="rId6"/>
                    <a:stretch>
                      <a:fillRect/>
                    </a:stretch>
                  </pic:blipFill>
                  <pic:spPr>
                    <a:xfrm rot="0">
                      <a:off x="0" y="0"/>
                      <a:ext cx="4570500" cy="2660439"/>
                    </a:xfrm>
                    <a:prstGeom prst="rect"/>
                    <a:noFill/>
                    <a:ln w="9525" cmpd="sng" cap="flat">
                      <a:noFill/>
                      <a:prstDash val="solid"/>
                      <a:miter/>
                    </a:ln>
                  </pic:spPr>
                </pic:pic>
              </a:graphicData>
            </a:graphic>
          </wp:anchor>
        </w:drawing>
      </w:r>
    </w:p>
    <w:p>
      <w:pPr>
        <w:pStyle w:val="3407"/>
        <w:spacing w:line="560" w:lineRule="exact"/>
        <w:ind w:left="0"/>
        <w:rPr>
          <w:sz w:val="32"/>
          <w:szCs w:val="32"/>
          <w:highlight w:val="auto"/>
        </w:rPr>
      </w:pPr>
    </w:p>
    <w:p>
      <w:pPr>
        <w:pStyle w:val="30"/>
        <w:spacing w:line="560" w:lineRule="exact"/>
        <w:ind w:firstLineChars="200" w:firstLine="640"/>
        <w:rPr>
          <w:rFonts w:eastAsia="方正黑体_GBK"/>
          <w:sz w:val="32"/>
          <w:szCs w:val="32"/>
          <w:highlight w:val="auto"/>
        </w:rPr>
      </w:pP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四、关于</w:t>
      </w:r>
      <w:r>
        <w:rPr>
          <w:rFonts w:eastAsia="方正黑体_GBK" w:hint="eastAsia"/>
          <w:sz w:val="32"/>
          <w:szCs w:val="32"/>
        </w:rPr>
        <w:t>2026</w:t>
      </w:r>
      <w:r>
        <w:rPr>
          <w:rFonts w:eastAsia="方正黑体_GBK" w:hint="eastAsia"/>
          <w:sz w:val="32"/>
          <w:szCs w:val="32"/>
          <w:highlight w:val="auto"/>
        </w:rPr>
        <w:t>年财政拨款收支预算情况的总体说明</w:t>
      </w:r>
    </w:p>
    <w:p>
      <w:pPr>
        <w:spacing w:line="560" w:lineRule="exact"/>
        <w:ind w:firstLineChars="200" w:firstLine="640"/>
        <w:rPr>
          <w:rFonts w:eastAsia="方正仿宋_GBK"/>
          <w:sz w:val="32"/>
          <w:szCs w:val="32"/>
          <w:highlight w:val="auto"/>
        </w:rPr>
      </w:pPr>
      <w:r>
        <w:rPr>
          <w:rFonts w:eastAsia="方正仿宋_GBK"/>
          <w:sz w:val="32"/>
          <w:szCs w:val="32"/>
        </w:rPr>
        <w:t>集宁</w:t>
      </w:r>
      <w:r>
        <w:rPr>
          <w:rFonts w:eastAsia="方正仿宋_GBK" w:hint="eastAsia"/>
          <w:sz w:val="32"/>
          <w:szCs w:val="32"/>
          <w:highlight w:val="auto"/>
        </w:rPr>
        <w:t>海关</w:t>
      </w:r>
      <w:r>
        <w:rPr>
          <w:rFonts w:eastAsia="方正仿宋_GBK" w:hint="eastAsia"/>
          <w:sz w:val="32"/>
          <w:szCs w:val="32"/>
        </w:rPr>
        <w:t>2026</w:t>
      </w:r>
      <w:r>
        <w:rPr>
          <w:rFonts w:eastAsia="方正仿宋_GBK" w:hint="eastAsia"/>
          <w:sz w:val="32"/>
          <w:szCs w:val="32"/>
          <w:highlight w:val="auto"/>
        </w:rPr>
        <w:t>年财政拨款收支总预算</w:t>
      </w:r>
      <w:r>
        <w:rPr>
          <w:rFonts w:eastAsia="方正仿宋_GBK"/>
          <w:sz w:val="32"/>
          <w:szCs w:val="32"/>
          <w:highlight w:val="auto"/>
        </w:rPr>
        <w:t>844.8</w:t>
      </w:r>
      <w:r>
        <w:rPr>
          <w:rFonts w:eastAsia="方正仿宋_GBK" w:hint="eastAsia"/>
          <w:sz w:val="32"/>
          <w:szCs w:val="32"/>
          <w:highlight w:val="auto"/>
        </w:rPr>
        <w:t>万元。收入全部为一般公共预算拨款，无政府性基金预算拨款。收入包括：一般公共预算当年财政拨款收入</w:t>
      </w:r>
      <w:r>
        <w:rPr>
          <w:rFonts w:eastAsia="方正仿宋_GBK"/>
          <w:sz w:val="32"/>
          <w:szCs w:val="32"/>
          <w:highlight w:val="auto"/>
        </w:rPr>
        <w:t>844.8</w:t>
      </w:r>
      <w:r>
        <w:rPr>
          <w:rFonts w:eastAsia="方正仿宋_GBK" w:hint="eastAsia"/>
          <w:sz w:val="32"/>
          <w:szCs w:val="32"/>
          <w:highlight w:val="auto"/>
        </w:rPr>
        <w:t>万元。支出包括：一般公共服务支出</w:t>
      </w:r>
      <w:r>
        <w:rPr>
          <w:rFonts w:eastAsia="方正仿宋_GBK"/>
          <w:sz w:val="32"/>
          <w:szCs w:val="32"/>
          <w:highlight w:val="auto"/>
        </w:rPr>
        <w:t>672.98</w:t>
      </w:r>
      <w:r>
        <w:rPr>
          <w:rFonts w:eastAsia="方正仿宋_GBK" w:hint="eastAsia"/>
          <w:sz w:val="32"/>
          <w:szCs w:val="32"/>
          <w:highlight w:val="auto"/>
        </w:rPr>
        <w:t>万元、社会保障和就业支出</w:t>
      </w:r>
      <w:r>
        <w:rPr>
          <w:rFonts w:eastAsia="方正仿宋_GBK"/>
          <w:sz w:val="32"/>
          <w:szCs w:val="32"/>
          <w:highlight w:val="auto"/>
        </w:rPr>
        <w:t>70.84</w:t>
      </w:r>
      <w:r>
        <w:rPr>
          <w:rFonts w:eastAsia="方正仿宋_GBK" w:hint="eastAsia"/>
          <w:sz w:val="32"/>
          <w:szCs w:val="32"/>
          <w:highlight w:val="auto"/>
        </w:rPr>
        <w:t>万元、卫生健康支出</w:t>
      </w:r>
      <w:r>
        <w:rPr>
          <w:rFonts w:eastAsia="方正仿宋_GBK"/>
          <w:sz w:val="32"/>
          <w:szCs w:val="32"/>
          <w:highlight w:val="auto"/>
        </w:rPr>
        <w:t>23.21</w:t>
      </w:r>
      <w:r>
        <w:rPr>
          <w:rFonts w:eastAsia="方正仿宋_GBK" w:hint="eastAsia"/>
          <w:sz w:val="32"/>
          <w:szCs w:val="32"/>
          <w:highlight w:val="auto"/>
        </w:rPr>
        <w:t>万元、住房保障支出</w:t>
      </w:r>
      <w:r>
        <w:rPr>
          <w:rFonts w:eastAsia="方正仿宋_GBK"/>
          <w:sz w:val="32"/>
          <w:szCs w:val="32"/>
          <w:highlight w:val="auto"/>
        </w:rPr>
        <w:t>77.77</w:t>
      </w:r>
      <w:r>
        <w:rPr>
          <w:rFonts w:eastAsia="方正仿宋_GBK" w:hint="eastAsia"/>
          <w:sz w:val="32"/>
          <w:szCs w:val="32"/>
          <w:highlight w:val="auto"/>
        </w:rPr>
        <w:t>万元。</w:t>
      </w:r>
    </w:p>
    <w:p>
      <w:pPr>
        <w:spacing w:line="560" w:lineRule="exact"/>
        <w:ind w:firstLineChars="200" w:firstLine="640"/>
        <w:rPr>
          <w:rFonts w:eastAsia="方正仿宋_GBK"/>
          <w:sz w:val="32"/>
          <w:szCs w:val="32"/>
        </w:rPr>
      </w:pPr>
      <w:r>
        <w:rPr>
          <w:rFonts w:eastAsia="方正仿宋_GBK"/>
          <w:sz w:val="32"/>
          <w:szCs w:val="32"/>
        </w:rPr>
        <w:drawing>
          <wp:anchor distT="0" distB="0" distL="85723" distR="85723" simplePos="0" relativeHeight="19" behindDoc="0" locked="0" layoutInCell="1" hidden="0" allowOverlap="1">
            <wp:simplePos x="0" y="0"/>
            <wp:positionH relativeFrom="column">
              <wp:posOffset>758819</wp:posOffset>
            </wp:positionH>
            <wp:positionV relativeFrom="paragraph">
              <wp:posOffset>327041</wp:posOffset>
            </wp:positionV>
            <wp:extent cx="4533830" cy="2676483"/>
            <wp:effectExtent l="0" t="0" r="0" b="0"/>
            <wp:wrapSquare wrapText="bothSides"/>
            <wp:docPr id="15" name="图片"/>
            <wp:cNvGraphicFramePr>
              <a:graphicFrameLocks noChangeAspect="1"/>
            </wp:cNvGraphicFramePr>
            <a:graphic>
              <a:graphicData uri="http://schemas.openxmlformats.org/drawingml/2006/picture">
                <pic:pic>
                  <pic:nvPicPr>
                    <pic:cNvPr id="16" name="图片 16"/>
                    <pic:cNvPicPr/>
                  </pic:nvPicPr>
                  <pic:blipFill>
                    <a:blip r:embed="rId7"/>
                    <a:stretch>
                      <a:fillRect/>
                    </a:stretch>
                  </pic:blipFill>
                  <pic:spPr>
                    <a:xfrm rot="0">
                      <a:off x="0" y="0"/>
                      <a:ext cx="4533830" cy="2676483"/>
                    </a:xfrm>
                    <a:prstGeom prst="rect"/>
                    <a:noFill/>
                    <a:ln w="9525" cmpd="sng" cap="flat">
                      <a:noFill/>
                      <a:prstDash val="solid"/>
                      <a:miter/>
                    </a:ln>
                  </pic:spPr>
                </pic:pic>
              </a:graphicData>
            </a:graphic>
          </wp:anchor>
        </w:drawing>
      </w: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firstLineChars="200" w:firstLine="640"/>
        <w:rPr>
          <w:rFonts w:eastAsia="方正仿宋_GBK"/>
          <w:sz w:val="32"/>
          <w:szCs w:val="32"/>
        </w:rPr>
      </w:pPr>
    </w:p>
    <w:p>
      <w:pPr>
        <w:spacing w:line="560" w:lineRule="exact"/>
        <w:ind w:left="0"/>
        <w:rPr>
          <w:rFonts w:eastAsia="方正仿宋_GBK"/>
          <w:sz w:val="32"/>
          <w:szCs w:val="32"/>
        </w:rPr>
      </w:pPr>
    </w:p>
    <w:p>
      <w:pPr>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五、关于</w:t>
      </w:r>
      <w:r>
        <w:rPr>
          <w:rFonts w:eastAsia="方正黑体_GBK" w:hint="eastAsia"/>
          <w:sz w:val="32"/>
          <w:szCs w:val="32"/>
        </w:rPr>
        <w:t>2026</w:t>
      </w:r>
      <w:r>
        <w:rPr>
          <w:rFonts w:eastAsia="方正黑体_GBK" w:hint="eastAsia"/>
          <w:sz w:val="32"/>
          <w:szCs w:val="32"/>
          <w:highlight w:val="auto"/>
        </w:rPr>
        <w:t>年一般公共预算当年财政拨款情况说明</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bidi="ar-SA"/>
          <w:highlight w:val="auto"/>
        </w:rPr>
        <w:t>（一）</w:t>
      </w:r>
      <w:r>
        <w:rPr>
          <w:rFonts w:ascii="方正楷体_GBK" w:eastAsia="方正楷体_GBK" w:cs="方正楷体_GBK" w:hint="eastAsia"/>
          <w:b/>
          <w:bCs/>
          <w:sz w:val="32"/>
          <w:szCs w:val="32"/>
          <w:lang w:val="zh-CN" w:eastAsia="zh-CN" w:bidi="ar-SA"/>
          <w:highlight w:val="auto"/>
        </w:rPr>
        <w:t>一般公共预算当年财政拨款规模变化情况。</w:t>
      </w:r>
    </w:p>
    <w:p>
      <w:pPr>
        <w:spacing w:line="560" w:lineRule="exact"/>
        <w:ind w:firstLineChars="200" w:firstLine="640"/>
        <w:rPr>
          <w:highlight w:val="auto"/>
        </w:rPr>
      </w:pPr>
      <w:r>
        <w:rPr>
          <w:rFonts w:eastAsia="方正仿宋_GBK" w:hint="eastAsia"/>
          <w:sz w:val="32"/>
          <w:szCs w:val="32"/>
        </w:rPr>
        <w:drawing>
          <wp:anchor distT="0" distB="0" distL="85723" distR="85723" simplePos="0" relativeHeight="20" behindDoc="0" locked="0" layoutInCell="1" hidden="0" allowOverlap="1">
            <wp:simplePos x="0" y="0"/>
            <wp:positionH relativeFrom="column">
              <wp:posOffset>891533</wp:posOffset>
            </wp:positionH>
            <wp:positionV relativeFrom="paragraph">
              <wp:posOffset>3448044</wp:posOffset>
            </wp:positionV>
            <wp:extent cx="4543356" cy="2686007"/>
            <wp:effectExtent l="0" t="0" r="0" b="0"/>
            <wp:wrapSquare wrapText="bothSides"/>
            <wp:docPr id="17" name="图片"/>
            <wp:cNvGraphicFramePr>
              <a:graphicFrameLocks noChangeAspect="1"/>
            </wp:cNvGraphicFramePr>
            <a:graphic>
              <a:graphicData uri="http://schemas.openxmlformats.org/drawingml/2006/picture">
                <pic:pic>
                  <pic:nvPicPr>
                    <pic:cNvPr id="18" name="图片 18"/>
                    <pic:cNvPicPr/>
                  </pic:nvPicPr>
                  <pic:blipFill>
                    <a:blip r:embed="rId8"/>
                    <a:stretch>
                      <a:fillRect/>
                    </a:stretch>
                  </pic:blipFill>
                  <pic:spPr>
                    <a:xfrm rot="0">
                      <a:off x="0" y="0"/>
                      <a:ext cx="4543356" cy="2686007"/>
                    </a:xfrm>
                    <a:prstGeom prst="rect"/>
                    <a:noFill/>
                    <a:ln w="9525" cmpd="sng" cap="flat">
                      <a:noFill/>
                      <a:prstDash val="solid"/>
                      <a:miter/>
                    </a:ln>
                  </pic:spPr>
                </pic:pic>
              </a:graphicData>
            </a:graphic>
          </wp:anchor>
        </w:drawing>
      </w:r>
      <w:r>
        <w:rPr>
          <w:rFonts w:eastAsia="方正仿宋_GBK"/>
          <w:sz w:val="32"/>
          <w:szCs w:val="32"/>
        </w:rPr>
        <w:t>集宁</w:t>
      </w:r>
      <w:r>
        <w:rPr>
          <w:rFonts w:eastAsia="方正仿宋_GBK" w:hint="eastAsia"/>
          <w:sz w:val="32"/>
          <w:szCs w:val="32"/>
          <w:highlight w:val="auto"/>
        </w:rPr>
        <w:t>海关</w:t>
      </w:r>
      <w:r>
        <w:rPr>
          <w:rFonts w:eastAsia="方正仿宋_GBK" w:hint="eastAsia"/>
          <w:sz w:val="32"/>
          <w:szCs w:val="32"/>
        </w:rPr>
        <w:t>2026</w:t>
      </w:r>
      <w:r>
        <w:rPr>
          <w:rFonts w:eastAsia="方正仿宋_GBK" w:hint="eastAsia"/>
          <w:sz w:val="32"/>
          <w:szCs w:val="32"/>
          <w:highlight w:val="auto"/>
        </w:rPr>
        <w:t>年一般公共预算当年财政拨款预算</w:t>
      </w:r>
      <w:r>
        <w:rPr>
          <w:rFonts w:eastAsia="方正仿宋_GBK"/>
          <w:sz w:val="32"/>
          <w:szCs w:val="32"/>
        </w:rPr>
        <w:t>844.8</w:t>
      </w:r>
      <w:r>
        <w:rPr>
          <w:rFonts w:eastAsia="方正仿宋_GBK" w:hint="eastAsia"/>
          <w:sz w:val="32"/>
          <w:szCs w:val="32"/>
        </w:rPr>
        <w:t>万元，比2025年执行数</w:t>
      </w:r>
      <w:r>
        <w:rPr>
          <w:rFonts w:eastAsia="方正仿宋_GBK"/>
          <w:sz w:val="32"/>
          <w:szCs w:val="32"/>
        </w:rPr>
        <w:t>增加53.32</w:t>
      </w:r>
      <w:r>
        <w:rPr>
          <w:rFonts w:eastAsia="方正仿宋_GBK" w:hint="eastAsia"/>
          <w:sz w:val="32"/>
          <w:szCs w:val="32"/>
        </w:rPr>
        <w:t>万元，</w:t>
      </w:r>
      <w:r>
        <w:rPr>
          <w:rFonts w:eastAsia="方正仿宋_GBK"/>
          <w:sz w:val="32"/>
          <w:szCs w:val="32"/>
        </w:rPr>
        <w:t>上涨6.74</w:t>
      </w:r>
      <w:r>
        <w:rPr>
          <w:rFonts w:eastAsia="方正仿宋_GBK" w:hint="eastAsia"/>
          <w:sz w:val="32"/>
          <w:szCs w:val="32"/>
        </w:rPr>
        <w:t>%。</w:t>
      </w:r>
      <w:r>
        <w:rPr>
          <w:rFonts w:ascii="Times New Roman" w:eastAsia="方正仿宋_GBK" w:hAnsi="Times New Roman" w:hint="eastAsia"/>
          <w:sz w:val="32"/>
          <w:szCs w:val="32"/>
        </w:rPr>
        <w:t>2026年，</w:t>
      </w:r>
      <w:r>
        <w:rPr>
          <w:rFonts w:ascii="Times New Roman" w:eastAsia="方正仿宋_GBK" w:hAnsi="Times New Roman"/>
          <w:sz w:val="32"/>
          <w:szCs w:val="32"/>
        </w:rPr>
        <w:t>集宁海关新考录关员1名，相应人员及公用经费增加，相应支出</w:t>
      </w:r>
      <w:r>
        <w:rPr>
          <w:rFonts w:ascii="Times New Roman" w:eastAsia="方正仿宋_GBK" w:hAnsi="Times New Roman" w:hint="eastAsia"/>
          <w:sz w:val="32"/>
          <w:szCs w:val="32"/>
        </w:rPr>
        <w:t>体现在有关科目中。</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（二）一般公共预算当年财政拨款结构情况。</w:t>
      </w:r>
    </w:p>
    <w:p>
      <w:pPr>
        <w:spacing w:line="560" w:lineRule="exact"/>
        <w:ind w:firstLineChars="200" w:firstLine="640"/>
        <w:rPr>
          <w:rFonts w:eastAsia="方正仿宋_GBK"/>
          <w:sz w:val="32"/>
          <w:szCs w:val="32"/>
          <w:highlight w:val="auto"/>
        </w:rPr>
      </w:pPr>
      <w:r>
        <w:rPr>
          <w:rFonts w:eastAsia="方正仿宋_GBK" w:hint="eastAsia"/>
          <w:sz w:val="32"/>
          <w:szCs w:val="32"/>
        </w:rPr>
        <w:t>2026</w:t>
      </w:r>
      <w:r>
        <w:rPr>
          <w:rFonts w:eastAsia="方正仿宋_GBK" w:hint="eastAsia"/>
          <w:sz w:val="32"/>
          <w:szCs w:val="32"/>
          <w:highlight w:val="auto"/>
        </w:rPr>
        <w:t>年部门预算中，</w:t>
      </w:r>
      <w:r>
        <w:rPr>
          <w:rFonts w:eastAsia="方正仿宋_GBK" w:hint="eastAsia"/>
          <w:sz w:val="32"/>
          <w:szCs w:val="32"/>
          <w:lang w:val="zh-CN" w:eastAsia="zh-CN"/>
          <w:highlight w:val="auto"/>
        </w:rPr>
        <w:t>一般公共预算当年财政拨款</w:t>
      </w:r>
      <w:r>
        <w:rPr>
          <w:rFonts w:eastAsia="方正仿宋_GBK" w:hint="eastAsia"/>
          <w:sz w:val="32"/>
          <w:szCs w:val="32"/>
          <w:highlight w:val="auto"/>
        </w:rPr>
        <w:t>用于以下方面：一般公共服务支</w:t>
      </w:r>
      <w:r>
        <w:rPr>
          <w:rFonts w:eastAsia="方正仿宋_GBK"/>
          <w:sz w:val="32"/>
          <w:szCs w:val="32"/>
          <w:highlight w:val="auto"/>
        </w:rPr>
        <w:t>出672.98</w:t>
      </w:r>
      <w:r>
        <w:rPr>
          <w:rFonts w:eastAsia="方正仿宋_GBK" w:hint="eastAsia"/>
          <w:sz w:val="32"/>
          <w:szCs w:val="32"/>
          <w:highlight w:val="auto"/>
        </w:rPr>
        <w:t>万元，占</w:t>
      </w:r>
      <w:r>
        <w:rPr>
          <w:rFonts w:eastAsia="方正仿宋_GBK"/>
          <w:sz w:val="32"/>
          <w:szCs w:val="32"/>
          <w:highlight w:val="auto"/>
        </w:rPr>
        <w:t>79.66</w:t>
      </w:r>
      <w:r>
        <w:rPr>
          <w:rFonts w:eastAsia="方正仿宋_GBK" w:hint="eastAsia"/>
          <w:sz w:val="32"/>
          <w:szCs w:val="32"/>
          <w:highlight w:val="auto"/>
        </w:rPr>
        <w:t>%；社会保障和就业（类）支出</w:t>
      </w:r>
      <w:r>
        <w:rPr>
          <w:rFonts w:eastAsia="方正仿宋_GBK"/>
          <w:sz w:val="32"/>
          <w:szCs w:val="32"/>
          <w:highlight w:val="auto"/>
        </w:rPr>
        <w:t>70.84</w:t>
      </w:r>
      <w:r>
        <w:rPr>
          <w:rFonts w:eastAsia="方正仿宋_GBK" w:hint="eastAsia"/>
          <w:sz w:val="32"/>
          <w:szCs w:val="32"/>
          <w:highlight w:val="auto"/>
        </w:rPr>
        <w:t>万元，占</w:t>
      </w:r>
      <w:r>
        <w:rPr>
          <w:rFonts w:eastAsia="方正仿宋_GBK"/>
          <w:sz w:val="32"/>
          <w:szCs w:val="32"/>
          <w:highlight w:val="auto"/>
        </w:rPr>
        <w:t>8.39</w:t>
      </w:r>
      <w:r>
        <w:rPr>
          <w:rFonts w:eastAsia="方正仿宋_GBK" w:hint="eastAsia"/>
          <w:sz w:val="32"/>
          <w:szCs w:val="32"/>
          <w:highlight w:val="auto"/>
        </w:rPr>
        <w:t>%；卫生健康（类）支出</w:t>
      </w:r>
      <w:r>
        <w:rPr>
          <w:rFonts w:eastAsia="方正仿宋_GBK"/>
          <w:sz w:val="32"/>
          <w:szCs w:val="32"/>
          <w:highlight w:val="auto"/>
        </w:rPr>
        <w:t>23.21</w:t>
      </w:r>
      <w:r>
        <w:rPr>
          <w:rFonts w:eastAsia="方正仿宋_GBK" w:hint="eastAsia"/>
          <w:sz w:val="32"/>
          <w:szCs w:val="32"/>
          <w:highlight w:val="auto"/>
        </w:rPr>
        <w:t>万元，占</w:t>
      </w:r>
      <w:r>
        <w:rPr>
          <w:rFonts w:eastAsia="方正仿宋_GBK"/>
          <w:sz w:val="32"/>
          <w:szCs w:val="32"/>
          <w:highlight w:val="auto"/>
        </w:rPr>
        <w:t>2.75</w:t>
      </w:r>
      <w:r>
        <w:rPr>
          <w:rFonts w:eastAsia="方正仿宋_GBK" w:hint="eastAsia"/>
          <w:sz w:val="32"/>
          <w:szCs w:val="32"/>
          <w:highlight w:val="auto"/>
        </w:rPr>
        <w:t>%；住房保障（类）支出</w:t>
      </w:r>
      <w:r>
        <w:rPr>
          <w:rFonts w:eastAsia="方正仿宋_GBK"/>
          <w:sz w:val="32"/>
          <w:szCs w:val="32"/>
          <w:highlight w:val="auto"/>
        </w:rPr>
        <w:t>77.77</w:t>
      </w:r>
      <w:r>
        <w:rPr>
          <w:rFonts w:eastAsia="方正仿宋_GBK" w:hint="eastAsia"/>
          <w:sz w:val="32"/>
          <w:szCs w:val="32"/>
          <w:highlight w:val="auto"/>
        </w:rPr>
        <w:t>万元，占</w:t>
      </w:r>
      <w:r>
        <w:rPr>
          <w:rFonts w:eastAsia="方正仿宋_GBK"/>
          <w:sz w:val="32"/>
          <w:szCs w:val="32"/>
          <w:highlight w:val="auto"/>
        </w:rPr>
        <w:t>9.21</w:t>
      </w:r>
      <w:r>
        <w:rPr>
          <w:rFonts w:eastAsia="方正仿宋_GBK" w:hint="eastAsia"/>
          <w:sz w:val="32"/>
          <w:szCs w:val="32"/>
          <w:highlight w:val="auto"/>
        </w:rPr>
        <w:t>%。</w:t>
      </w:r>
    </w:p>
    <w:p>
      <w:pPr>
        <w:spacing w:line="560" w:lineRule="exact"/>
        <w:ind w:left="0" w:firstLine="684"/>
        <w:rPr>
          <w:rFonts w:eastAsia="方正仿宋_GBK" w:hint="eastAsia"/>
          <w:sz w:val="32"/>
          <w:szCs w:val="32"/>
          <w:highlight w:val="auto"/>
        </w:rPr>
      </w:pPr>
    </w:p>
    <w:p>
      <w:pPr>
        <w:spacing w:line="560" w:lineRule="exact"/>
        <w:ind w:firstLineChars="200" w:firstLine="640"/>
        <w:rPr>
          <w:sz w:val="32"/>
          <w:szCs w:val="32"/>
          <w:highlight w:val="auto"/>
        </w:rPr>
      </w:pPr>
    </w:p>
    <w:p>
      <w:pPr>
        <w:spacing w:line="560" w:lineRule="exact"/>
        <w:ind w:firstLineChars="200" w:firstLine="640"/>
        <w:rPr>
          <w:sz w:val="32"/>
          <w:szCs w:val="32"/>
          <w:highlight w:val="auto"/>
        </w:rPr>
      </w:pPr>
    </w:p>
    <w:p>
      <w:pPr>
        <w:spacing w:line="560" w:lineRule="exact"/>
        <w:ind w:firstLineChars="200" w:firstLine="640"/>
        <w:rPr>
          <w:sz w:val="32"/>
          <w:szCs w:val="32"/>
          <w:highlight w:val="auto"/>
        </w:rPr>
      </w:pPr>
    </w:p>
    <w:p>
      <w:pPr>
        <w:spacing w:line="560" w:lineRule="exact"/>
        <w:ind w:firstLineChars="200" w:firstLine="640"/>
        <w:rPr>
          <w:sz w:val="32"/>
          <w:szCs w:val="32"/>
          <w:highlight w:val="auto"/>
        </w:rPr>
      </w:pPr>
    </w:p>
    <w:p>
      <w:pPr>
        <w:spacing w:line="560" w:lineRule="exact"/>
        <w:ind w:firstLineChars="200" w:firstLine="640"/>
        <w:rPr>
          <w:sz w:val="32"/>
          <w:szCs w:val="32"/>
          <w:highlight w:val="auto"/>
        </w:rPr>
      </w:pPr>
    </w:p>
    <w:p>
      <w:pPr>
        <w:spacing w:line="560" w:lineRule="exact"/>
        <w:ind w:firstLineChars="200" w:firstLine="640"/>
        <w:rPr>
          <w:sz w:val="32"/>
          <w:szCs w:val="32"/>
          <w:highlight w:val="auto"/>
        </w:rPr>
      </w:pPr>
    </w:p>
    <w:p>
      <w:pPr>
        <w:spacing w:line="560" w:lineRule="exact"/>
        <w:ind w:firstLineChars="200" w:firstLine="640"/>
        <w:rPr>
          <w:rFonts w:hint="eastAsia"/>
          <w:sz w:val="32"/>
          <w:szCs w:val="32"/>
          <w:highlight w:val="auto"/>
        </w:rPr>
      </w:pPr>
    </w:p>
    <w:p>
      <w:pPr>
        <w:spacing w:line="560" w:lineRule="exact"/>
        <w:ind w:left="0"/>
        <w:jc w:val="left"/>
        <w:rPr>
          <w:rFonts w:ascii="方正楷体_GBK" w:eastAsia="方正楷体_GBK" w:cs="方正楷体_GBK"/>
          <w:b/>
          <w:bCs/>
          <w:sz w:val="32"/>
          <w:szCs w:val="32"/>
          <w:lang w:val="zh-CN" w:eastAsia="zh-CN" w:bidi="ar-SA"/>
          <w:highlight w:val="auto"/>
        </w:rPr>
      </w:pP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（三）一般公共预算当年财政拨款具体使用情况。</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1．一般公共服务支出（类）海关事务（款）</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614.89</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增加74.08</w:t>
      </w:r>
      <w:r>
        <w:rPr>
          <w:rFonts w:eastAsia="方正仿宋_GBK" w:hint="eastAsia"/>
          <w:sz w:val="32"/>
          <w:szCs w:val="32"/>
          <w:highlight w:val="auto"/>
        </w:rPr>
        <w:t>万元，</w:t>
      </w:r>
      <w:r>
        <w:rPr>
          <w:rFonts w:eastAsia="方正仿宋_GBK"/>
          <w:sz w:val="32"/>
          <w:szCs w:val="32"/>
          <w:highlight w:val="auto"/>
        </w:rPr>
        <w:t>上涨13.70</w:t>
      </w:r>
      <w:r>
        <w:rPr>
          <w:rFonts w:eastAsia="方正仿宋_GBK" w:hint="eastAsia"/>
          <w:sz w:val="32"/>
          <w:szCs w:val="32"/>
          <w:highlight w:val="auto"/>
        </w:rPr>
        <w:t>%，其中：</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（1）行政运行（项）</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579.93</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增加53.19</w:t>
      </w:r>
      <w:r>
        <w:rPr>
          <w:rFonts w:eastAsia="方正仿宋_GBK" w:hint="eastAsia"/>
          <w:sz w:val="32"/>
          <w:szCs w:val="32"/>
          <w:highlight w:val="auto"/>
        </w:rPr>
        <w:t>万元，</w:t>
      </w:r>
      <w:r>
        <w:rPr>
          <w:rFonts w:eastAsia="方正仿宋_GBK"/>
          <w:sz w:val="32"/>
          <w:szCs w:val="32"/>
          <w:highlight w:val="auto"/>
        </w:rPr>
        <w:t>上涨10.09</w:t>
      </w:r>
      <w:r>
        <w:rPr>
          <w:rFonts w:eastAsia="方正仿宋_GBK" w:hint="eastAsia"/>
          <w:sz w:val="32"/>
          <w:szCs w:val="32"/>
          <w:highlight w:val="auto"/>
        </w:rPr>
        <w:t>%。主要是</w:t>
      </w:r>
      <w:r>
        <w:rPr>
          <w:rFonts w:eastAsia="方正仿宋_GBK"/>
          <w:sz w:val="32"/>
          <w:szCs w:val="32"/>
          <w:highlight w:val="auto"/>
        </w:rPr>
        <w:t>增加调入人员，</w:t>
      </w:r>
      <w:r>
        <w:rPr>
          <w:rFonts w:eastAsia="方正仿宋_GBK" w:hint="eastAsia"/>
          <w:sz w:val="32"/>
          <w:szCs w:val="32"/>
          <w:highlight w:val="auto"/>
        </w:rPr>
        <w:t>相关经费</w:t>
      </w:r>
      <w:r>
        <w:rPr>
          <w:rFonts w:eastAsia="方正仿宋_GBK"/>
          <w:sz w:val="32"/>
          <w:szCs w:val="32"/>
          <w:highlight w:val="auto"/>
        </w:rPr>
        <w:t>增加</w:t>
      </w:r>
      <w:r>
        <w:rPr>
          <w:rFonts w:eastAsia="方正仿宋_GBK" w:hint="eastAsia"/>
          <w:sz w:val="32"/>
          <w:szCs w:val="32"/>
          <w:highlight w:val="auto"/>
        </w:rPr>
        <w:t>。</w:t>
      </w:r>
    </w:p>
    <w:p>
      <w:pPr>
        <w:spacing w:line="560" w:lineRule="exact"/>
        <w:ind w:firstLineChars="200" w:firstLine="640"/>
        <w:rPr>
          <w:rFonts w:eastAsia="方正仿宋_GBK" w:hint="eastAsia"/>
          <w:color w:val="9BBB59"/>
          <w:sz w:val="32"/>
          <w:szCs w:val="32"/>
          <w:highlight w:val="auto"/>
        </w:rPr>
      </w:pPr>
      <w:r>
        <w:rPr>
          <w:rFonts w:eastAsia="方正仿宋_GBK" w:hint="eastAsia"/>
          <w:sz w:val="32"/>
          <w:szCs w:val="32"/>
          <w:highlight w:val="auto"/>
        </w:rPr>
        <w:t>（</w:t>
      </w:r>
      <w:r>
        <w:rPr>
          <w:rFonts w:eastAsia="方正仿宋_GBK"/>
          <w:sz w:val="32"/>
          <w:szCs w:val="32"/>
          <w:highlight w:val="auto"/>
        </w:rPr>
        <w:t>2</w:t>
      </w:r>
      <w:r>
        <w:rPr>
          <w:rFonts w:eastAsia="方正仿宋_GBK" w:hint="eastAsia"/>
          <w:sz w:val="32"/>
          <w:szCs w:val="32"/>
          <w:highlight w:val="auto"/>
        </w:rPr>
        <w:t>）海关关务（项）</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85.45</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减少5.8</w:t>
      </w:r>
      <w:r>
        <w:rPr>
          <w:rFonts w:eastAsia="方正仿宋_GBK" w:hint="eastAsia"/>
          <w:sz w:val="32"/>
          <w:szCs w:val="32"/>
          <w:highlight w:val="auto"/>
        </w:rPr>
        <w:t>万元，</w:t>
      </w:r>
      <w:r>
        <w:rPr>
          <w:rFonts w:eastAsia="方正仿宋_GBK"/>
          <w:sz w:val="32"/>
          <w:szCs w:val="32"/>
          <w:highlight w:val="auto"/>
        </w:rPr>
        <w:t>上涨7.28</w:t>
      </w:r>
      <w:r>
        <w:rPr>
          <w:rFonts w:eastAsia="方正仿宋_GBK" w:hint="eastAsia"/>
          <w:sz w:val="32"/>
          <w:szCs w:val="32"/>
          <w:highlight w:val="auto"/>
        </w:rPr>
        <w:t>%。主要是</w:t>
      </w:r>
      <w:r>
        <w:rPr>
          <w:rFonts w:eastAsia="方正仿宋_GBK"/>
          <w:sz w:val="32"/>
          <w:szCs w:val="32"/>
          <w:highlight w:val="auto"/>
        </w:rPr>
        <w:t>增加调入人员，个人防护、体检等支出增加</w:t>
      </w:r>
      <w:r>
        <w:rPr>
          <w:rFonts w:eastAsia="方正仿宋_GBK" w:hint="eastAsia"/>
          <w:color w:val="9BBB59"/>
          <w:sz w:val="32"/>
          <w:szCs w:val="32"/>
          <w:highlight w:val="auto"/>
        </w:rPr>
        <w:t>。</w:t>
      </w:r>
    </w:p>
    <w:p>
      <w:pPr>
        <w:spacing w:line="560" w:lineRule="exact"/>
        <w:ind w:firstLineChars="200" w:firstLine="640"/>
        <w:rPr>
          <w:rFonts w:eastAsia="方正仿宋_GBK"/>
          <w:sz w:val="32"/>
          <w:szCs w:val="32"/>
          <w:highlight w:val="auto"/>
        </w:rPr>
      </w:pPr>
      <w:r>
        <w:rPr>
          <w:rFonts w:eastAsia="方正仿宋_GBK" w:hint="eastAsia"/>
          <w:sz w:val="32"/>
          <w:szCs w:val="32"/>
          <w:highlight w:val="auto"/>
        </w:rPr>
        <w:t>（</w:t>
      </w:r>
      <w:r>
        <w:rPr>
          <w:rFonts w:eastAsia="方正仿宋_GBK"/>
          <w:sz w:val="32"/>
          <w:szCs w:val="32"/>
          <w:highlight w:val="auto"/>
        </w:rPr>
        <w:t>3</w:t>
      </w:r>
      <w:r>
        <w:rPr>
          <w:rFonts w:eastAsia="方正仿宋_GBK" w:hint="eastAsia"/>
          <w:sz w:val="32"/>
          <w:szCs w:val="32"/>
          <w:highlight w:val="auto"/>
        </w:rPr>
        <w:t>）检验检疫（项）</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7.6</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增加0.9</w:t>
      </w:r>
      <w:r>
        <w:rPr>
          <w:rFonts w:eastAsia="方正仿宋_GBK" w:hint="eastAsia"/>
          <w:sz w:val="32"/>
          <w:szCs w:val="32"/>
          <w:highlight w:val="auto"/>
        </w:rPr>
        <w:t>万元，</w:t>
      </w:r>
      <w:r>
        <w:rPr>
          <w:rFonts w:eastAsia="方正仿宋_GBK"/>
          <w:sz w:val="32"/>
          <w:szCs w:val="32"/>
          <w:highlight w:val="auto"/>
        </w:rPr>
        <w:t>下降10.59</w:t>
      </w:r>
      <w:r>
        <w:rPr>
          <w:rFonts w:eastAsia="方正仿宋_GBK" w:hint="eastAsia"/>
          <w:sz w:val="32"/>
          <w:szCs w:val="32"/>
          <w:highlight w:val="auto"/>
        </w:rPr>
        <w:t>%。主要是</w:t>
      </w:r>
      <w:r>
        <w:rPr>
          <w:rFonts w:eastAsia="方正仿宋_GBK"/>
          <w:sz w:val="32"/>
          <w:szCs w:val="32"/>
          <w:highlight w:val="auto"/>
        </w:rPr>
        <w:t>国门生物安全</w:t>
      </w:r>
      <w:r>
        <w:rPr>
          <w:rFonts w:eastAsia="方正仿宋_GBK" w:hint="eastAsia"/>
          <w:sz w:val="32"/>
          <w:szCs w:val="32"/>
          <w:highlight w:val="auto"/>
        </w:rPr>
        <w:t>支出</w:t>
      </w:r>
      <w:r>
        <w:rPr>
          <w:rFonts w:eastAsia="方正仿宋_GBK"/>
          <w:sz w:val="32"/>
          <w:szCs w:val="32"/>
          <w:highlight w:val="auto"/>
        </w:rPr>
        <w:t>减少</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r>
        <w:rPr>
          <w:rFonts w:eastAsia="方正仿宋_GBK"/>
          <w:sz w:val="32"/>
          <w:szCs w:val="32"/>
          <w:highlight w:val="auto"/>
        </w:rPr>
        <w:t>2</w:t>
      </w:r>
      <w:r>
        <w:rPr>
          <w:rFonts w:eastAsia="方正仿宋_GBK" w:hint="eastAsia"/>
          <w:sz w:val="32"/>
          <w:szCs w:val="32"/>
          <w:highlight w:val="auto"/>
        </w:rPr>
        <w:t>．社会保障和就业支出（类）行政事业单位养老支出（款）</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70.84</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增加6.82</w:t>
      </w:r>
      <w:r>
        <w:rPr>
          <w:rFonts w:eastAsia="方正仿宋_GBK" w:hint="eastAsia"/>
          <w:sz w:val="32"/>
          <w:szCs w:val="32"/>
          <w:highlight w:val="auto"/>
        </w:rPr>
        <w:t>万元，</w:t>
      </w:r>
      <w:r>
        <w:rPr>
          <w:rFonts w:eastAsia="方正仿宋_GBK"/>
          <w:sz w:val="32"/>
          <w:szCs w:val="32"/>
          <w:highlight w:val="auto"/>
        </w:rPr>
        <w:t>上涨10.65</w:t>
      </w:r>
      <w:r>
        <w:rPr>
          <w:rFonts w:eastAsia="方正仿宋_GBK" w:hint="eastAsia"/>
          <w:sz w:val="32"/>
          <w:szCs w:val="32"/>
          <w:highlight w:val="auto"/>
        </w:rPr>
        <w:t>%。其中：</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（1）行政单位离退休（项）</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4.63</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减少0.61</w:t>
      </w:r>
      <w:r>
        <w:rPr>
          <w:rFonts w:eastAsia="方正仿宋_GBK" w:hint="eastAsia"/>
          <w:sz w:val="32"/>
          <w:szCs w:val="32"/>
          <w:highlight w:val="auto"/>
        </w:rPr>
        <w:t>万元，</w:t>
      </w:r>
      <w:r>
        <w:rPr>
          <w:rFonts w:eastAsia="方正仿宋_GBK"/>
          <w:sz w:val="32"/>
          <w:szCs w:val="32"/>
          <w:highlight w:val="auto"/>
        </w:rPr>
        <w:t>下降11.64</w:t>
      </w:r>
      <w:r>
        <w:rPr>
          <w:rFonts w:eastAsia="方正仿宋_GBK" w:hint="eastAsia"/>
          <w:sz w:val="32"/>
          <w:szCs w:val="32"/>
          <w:highlight w:val="auto"/>
        </w:rPr>
        <w:t>%。主要是行政单位离退休经费</w:t>
      </w:r>
      <w:r>
        <w:rPr>
          <w:rFonts w:eastAsia="方正仿宋_GBK"/>
          <w:sz w:val="32"/>
          <w:szCs w:val="32"/>
          <w:highlight w:val="auto"/>
        </w:rPr>
        <w:t>减少</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w:t>
      </w:r>
      <w:r>
        <w:rPr>
          <w:rFonts w:eastAsia="方正仿宋_GBK"/>
          <w:sz w:val="32"/>
          <w:szCs w:val="32"/>
          <w:highlight w:val="auto"/>
        </w:rPr>
        <w:t>2</w:t>
      </w:r>
      <w:r>
        <w:rPr>
          <w:rFonts w:eastAsia="方正仿宋_GBK" w:hint="eastAsia"/>
          <w:sz w:val="32"/>
          <w:szCs w:val="32"/>
          <w:highlight w:val="auto"/>
        </w:rPr>
        <w:t>）机关事业单位基本养老保险缴费支出（项）</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41.05</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增加1.35</w:t>
      </w:r>
      <w:r>
        <w:rPr>
          <w:rFonts w:eastAsia="方正仿宋_GBK" w:hint="eastAsia"/>
          <w:sz w:val="32"/>
          <w:szCs w:val="32"/>
          <w:highlight w:val="auto"/>
        </w:rPr>
        <w:t>万元，</w:t>
      </w:r>
      <w:r>
        <w:rPr>
          <w:rFonts w:eastAsia="方正仿宋_GBK"/>
          <w:sz w:val="32"/>
          <w:szCs w:val="32"/>
          <w:highlight w:val="auto"/>
        </w:rPr>
        <w:t>上涨3.4</w:t>
      </w:r>
      <w:r>
        <w:rPr>
          <w:rFonts w:eastAsia="方正仿宋_GBK" w:hint="eastAsia"/>
          <w:sz w:val="32"/>
          <w:szCs w:val="32"/>
          <w:highlight w:val="auto"/>
        </w:rPr>
        <w:t>%。主要是</w:t>
      </w:r>
      <w:r>
        <w:rPr>
          <w:rFonts w:eastAsia="方正仿宋_GBK"/>
          <w:sz w:val="32"/>
          <w:szCs w:val="32"/>
          <w:highlight w:val="auto"/>
        </w:rPr>
        <w:t>养老保险基数增加，</w:t>
      </w:r>
      <w:r>
        <w:rPr>
          <w:rFonts w:eastAsia="方正仿宋_GBK" w:hint="eastAsia"/>
          <w:sz w:val="32"/>
          <w:szCs w:val="32"/>
          <w:highlight w:val="auto"/>
        </w:rPr>
        <w:t>基本养老保险单位缴费经费</w:t>
      </w:r>
      <w:r>
        <w:rPr>
          <w:rFonts w:eastAsia="方正仿宋_GBK"/>
          <w:sz w:val="32"/>
          <w:szCs w:val="32"/>
          <w:highlight w:val="auto"/>
        </w:rPr>
        <w:t>增加</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w:t>
      </w:r>
      <w:r>
        <w:rPr>
          <w:rFonts w:eastAsia="方正仿宋_GBK"/>
          <w:sz w:val="32"/>
          <w:szCs w:val="32"/>
          <w:highlight w:val="auto"/>
        </w:rPr>
        <w:t>3</w:t>
      </w:r>
      <w:r>
        <w:rPr>
          <w:rFonts w:eastAsia="方正仿宋_GBK" w:hint="eastAsia"/>
          <w:sz w:val="32"/>
          <w:szCs w:val="32"/>
          <w:highlight w:val="auto"/>
        </w:rPr>
        <w:t>）机关事业单位职业年金缴费支出（项）</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19.08</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增加6.08</w:t>
      </w:r>
      <w:r>
        <w:rPr>
          <w:rFonts w:eastAsia="方正仿宋_GBK" w:hint="eastAsia"/>
          <w:sz w:val="32"/>
          <w:szCs w:val="32"/>
          <w:highlight w:val="auto"/>
        </w:rPr>
        <w:t>万元，</w:t>
      </w:r>
      <w:r>
        <w:rPr>
          <w:rFonts w:eastAsia="方正仿宋_GBK"/>
          <w:sz w:val="32"/>
          <w:szCs w:val="32"/>
          <w:highlight w:val="auto"/>
        </w:rPr>
        <w:t>上涨31.87</w:t>
      </w:r>
      <w:r>
        <w:rPr>
          <w:rFonts w:eastAsia="方正仿宋_GBK" w:hint="eastAsia"/>
          <w:sz w:val="32"/>
          <w:szCs w:val="32"/>
          <w:highlight w:val="auto"/>
        </w:rPr>
        <w:t>%。主要是</w:t>
      </w:r>
      <w:r>
        <w:rPr>
          <w:rFonts w:eastAsia="方正仿宋_GBK"/>
          <w:sz w:val="32"/>
          <w:szCs w:val="32"/>
          <w:highlight w:val="auto"/>
        </w:rPr>
        <w:t>职业年金基数增加，</w:t>
      </w:r>
      <w:r>
        <w:rPr>
          <w:rFonts w:eastAsia="方正仿宋_GBK" w:hint="eastAsia"/>
          <w:sz w:val="32"/>
          <w:szCs w:val="32"/>
          <w:highlight w:val="auto"/>
        </w:rPr>
        <w:t>职业年金单位缴费经费</w:t>
      </w:r>
      <w:r>
        <w:rPr>
          <w:rFonts w:eastAsia="方正仿宋_GBK"/>
          <w:sz w:val="32"/>
          <w:szCs w:val="32"/>
          <w:highlight w:val="auto"/>
        </w:rPr>
        <w:t>增加</w:t>
      </w:r>
      <w:r>
        <w:rPr>
          <w:rFonts w:eastAsia="方正仿宋_GBK" w:hint="eastAsia"/>
          <w:sz w:val="32"/>
          <w:szCs w:val="32"/>
          <w:highlight w:val="auto"/>
        </w:rPr>
        <w:t>。</w:t>
      </w:r>
    </w:p>
    <w:p>
      <w:pPr>
        <w:spacing w:line="560" w:lineRule="exact"/>
        <w:ind w:firstLineChars="200" w:firstLine="640"/>
        <w:rPr>
          <w:rFonts w:eastAsia="方正仿宋_GBK"/>
          <w:sz w:val="32"/>
          <w:szCs w:val="32"/>
          <w:highlight w:val="auto"/>
        </w:rPr>
      </w:pPr>
      <w:r>
        <w:rPr>
          <w:rFonts w:eastAsia="方正仿宋_GBK"/>
          <w:sz w:val="32"/>
          <w:szCs w:val="32"/>
          <w:highlight w:val="auto"/>
        </w:rPr>
        <w:t>3</w:t>
      </w:r>
      <w:r>
        <w:rPr>
          <w:rFonts w:eastAsia="方正仿宋_GBK" w:hint="eastAsia"/>
          <w:sz w:val="32"/>
          <w:szCs w:val="32"/>
          <w:highlight w:val="auto"/>
        </w:rPr>
        <w:t>．卫生健康支出（类）行政事业单位医疗（款）</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23.21</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增加0.44</w:t>
      </w:r>
      <w:r>
        <w:rPr>
          <w:rFonts w:eastAsia="方正仿宋_GBK" w:hint="eastAsia"/>
          <w:sz w:val="32"/>
          <w:szCs w:val="32"/>
          <w:highlight w:val="auto"/>
        </w:rPr>
        <w:t>万元，</w:t>
      </w:r>
      <w:r>
        <w:rPr>
          <w:rFonts w:eastAsia="方正仿宋_GBK"/>
          <w:sz w:val="32"/>
          <w:szCs w:val="32"/>
          <w:highlight w:val="auto"/>
        </w:rPr>
        <w:t>上涨1.93</w:t>
      </w:r>
      <w:r>
        <w:rPr>
          <w:rFonts w:eastAsia="方正仿宋_GBK" w:hint="eastAsia"/>
          <w:sz w:val="32"/>
          <w:szCs w:val="32"/>
          <w:highlight w:val="auto"/>
        </w:rPr>
        <w:t>%。其中：行政单</w:t>
      </w:r>
    </w:p>
    <w:p>
      <w:pPr>
        <w:spacing w:line="560" w:lineRule="exact"/>
        <w:ind w:left="0"/>
        <w:rPr>
          <w:rFonts w:eastAsia="方正仿宋_GBK"/>
          <w:sz w:val="32"/>
          <w:szCs w:val="32"/>
          <w:highlight w:val="auto"/>
        </w:rPr>
      </w:pPr>
      <w:r>
        <w:rPr>
          <w:rFonts w:eastAsia="方正仿宋_GBK" w:hint="eastAsia"/>
          <w:sz w:val="32"/>
          <w:szCs w:val="32"/>
          <w:highlight w:val="auto"/>
        </w:rPr>
        <w:t>位医疗（项）</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22.7</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增加0.39</w:t>
      </w:r>
      <w:r>
        <w:rPr>
          <w:rFonts w:eastAsia="方正仿宋_GBK" w:hint="eastAsia"/>
          <w:sz w:val="32"/>
          <w:szCs w:val="32"/>
          <w:highlight w:val="auto"/>
        </w:rPr>
        <w:t>万元，</w:t>
      </w:r>
      <w:r>
        <w:rPr>
          <w:rFonts w:eastAsia="方正仿宋_GBK"/>
          <w:sz w:val="32"/>
          <w:szCs w:val="32"/>
          <w:highlight w:val="auto"/>
        </w:rPr>
        <w:t>上涨1.75</w:t>
      </w:r>
      <w:r>
        <w:rPr>
          <w:rFonts w:eastAsia="方正仿宋_GBK" w:hint="eastAsia"/>
          <w:sz w:val="32"/>
          <w:szCs w:val="32"/>
          <w:highlight w:val="auto"/>
        </w:rPr>
        <w:t>%</w:t>
      </w:r>
      <w:r>
        <w:rPr>
          <w:rFonts w:eastAsia="方正仿宋_GBK"/>
          <w:sz w:val="32"/>
          <w:szCs w:val="32"/>
          <w:highlight w:val="auto"/>
        </w:rPr>
        <w:t>；其他行政事业单位医疗支出</w:t>
      </w:r>
      <w:r>
        <w:rPr>
          <w:rFonts w:eastAsia="方正仿宋_GBK" w:hint="eastAsia"/>
          <w:sz w:val="32"/>
          <w:szCs w:val="32"/>
          <w:highlight w:val="auto"/>
        </w:rPr>
        <w:t>（项）</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0.51</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增加0.05</w:t>
      </w:r>
      <w:r>
        <w:rPr>
          <w:rFonts w:eastAsia="方正仿宋_GBK" w:hint="eastAsia"/>
          <w:sz w:val="32"/>
          <w:szCs w:val="32"/>
          <w:highlight w:val="auto"/>
        </w:rPr>
        <w:t>万元，</w:t>
      </w:r>
      <w:r>
        <w:rPr>
          <w:rFonts w:eastAsia="方正仿宋_GBK"/>
          <w:sz w:val="32"/>
          <w:szCs w:val="32"/>
          <w:highlight w:val="auto"/>
        </w:rPr>
        <w:t>上涨10.87</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r>
        <w:rPr>
          <w:rFonts w:eastAsia="方正仿宋_GBK"/>
          <w:sz w:val="32"/>
          <w:szCs w:val="32"/>
          <w:highlight w:val="auto"/>
        </w:rPr>
        <w:t>4</w:t>
      </w:r>
      <w:r>
        <w:rPr>
          <w:rFonts w:eastAsia="方正仿宋_GBK" w:hint="eastAsia"/>
          <w:sz w:val="32"/>
          <w:szCs w:val="32"/>
          <w:highlight w:val="auto"/>
        </w:rPr>
        <w:t>．住房保障支出（类）住房改革支出（款）</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77.77</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减少9.76</w:t>
      </w:r>
      <w:r>
        <w:rPr>
          <w:rFonts w:eastAsia="方正仿宋_GBK" w:hint="eastAsia"/>
          <w:sz w:val="32"/>
          <w:szCs w:val="32"/>
          <w:highlight w:val="auto"/>
        </w:rPr>
        <w:t>万元，</w:t>
      </w:r>
      <w:r>
        <w:rPr>
          <w:rFonts w:eastAsia="方正仿宋_GBK"/>
          <w:sz w:val="32"/>
          <w:szCs w:val="32"/>
          <w:highlight w:val="auto"/>
        </w:rPr>
        <w:t>下降9.76</w:t>
      </w:r>
      <w:r>
        <w:rPr>
          <w:rFonts w:eastAsia="方正仿宋_GBK" w:hint="eastAsia"/>
          <w:sz w:val="32"/>
          <w:szCs w:val="32"/>
          <w:highlight w:val="auto"/>
        </w:rPr>
        <w:t>%。</w:t>
      </w:r>
      <w:r>
        <w:rPr>
          <w:rFonts w:eastAsia="方正仿宋_GBK" w:hint="eastAsia"/>
          <w:sz w:val="32"/>
          <w:szCs w:val="32"/>
          <w:lang w:eastAsia="zh-CN"/>
          <w:highlight w:val="auto"/>
        </w:rPr>
        <w:t>主要是缴存基数调整和职务职级变动相应</w:t>
      </w:r>
      <w:r>
        <w:rPr>
          <w:rFonts w:eastAsia="方正仿宋_GBK"/>
          <w:sz w:val="32"/>
          <w:szCs w:val="32"/>
          <w:lang w:eastAsia="zh-CN"/>
          <w:highlight w:val="auto"/>
        </w:rPr>
        <w:t>增加</w:t>
      </w:r>
      <w:r>
        <w:rPr>
          <w:rFonts w:eastAsia="方正仿宋_GBK" w:hint="eastAsia"/>
          <w:sz w:val="32"/>
          <w:szCs w:val="32"/>
          <w:lang w:eastAsia="zh-CN"/>
          <w:highlight w:val="auto"/>
        </w:rPr>
        <w:t>经费支出。</w:t>
      </w:r>
      <w:r>
        <w:rPr>
          <w:rFonts w:eastAsia="方正仿宋_GBK" w:hint="eastAsia"/>
          <w:sz w:val="32"/>
          <w:szCs w:val="32"/>
          <w:highlight w:val="auto"/>
        </w:rPr>
        <w:t>其中：</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（1）住房公积金（项）</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49.2</w:t>
      </w:r>
      <w:r>
        <w:rPr>
          <w:rFonts w:eastAsia="方正仿宋_GBK" w:hint="eastAsia"/>
          <w:sz w:val="32"/>
          <w:szCs w:val="32"/>
          <w:highlight w:val="auto"/>
        </w:rPr>
        <w:t>万元，比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增加7.75</w:t>
      </w:r>
      <w:r>
        <w:rPr>
          <w:rFonts w:eastAsia="方正仿宋_GBK" w:hint="eastAsia"/>
          <w:sz w:val="32"/>
          <w:szCs w:val="32"/>
          <w:highlight w:val="auto"/>
        </w:rPr>
        <w:t>万元，</w:t>
      </w:r>
      <w:r>
        <w:rPr>
          <w:rFonts w:eastAsia="方正仿宋_GBK"/>
          <w:sz w:val="32"/>
          <w:szCs w:val="32"/>
          <w:highlight w:val="auto"/>
        </w:rPr>
        <w:t>上涨18.7</w:t>
      </w:r>
      <w:r>
        <w:rPr>
          <w:rFonts w:eastAsia="方正仿宋_GBK" w:hint="eastAsia"/>
          <w:sz w:val="32"/>
          <w:szCs w:val="32"/>
          <w:highlight w:val="auto"/>
        </w:rPr>
        <w:t>%。</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（2）购房补贴（项）</w:t>
      </w:r>
      <w:r>
        <w:rPr>
          <w:rFonts w:eastAsia="方正仿宋_GBK" w:hint="eastAsia"/>
          <w:sz w:val="32"/>
          <w:szCs w:val="32"/>
        </w:rPr>
        <w:t>2026</w:t>
      </w:r>
      <w:r>
        <w:rPr>
          <w:rFonts w:eastAsia="方正仿宋_GBK" w:hint="eastAsia"/>
          <w:sz w:val="32"/>
          <w:szCs w:val="32"/>
          <w:highlight w:val="auto"/>
        </w:rPr>
        <w:t>年预算</w:t>
      </w:r>
      <w:r>
        <w:rPr>
          <w:rFonts w:eastAsia="方正仿宋_GBK"/>
          <w:sz w:val="32"/>
          <w:szCs w:val="32"/>
          <w:highlight w:val="auto"/>
        </w:rPr>
        <w:t>28.57</w:t>
      </w:r>
      <w:r>
        <w:rPr>
          <w:rFonts w:eastAsia="方正仿宋_GBK" w:hint="eastAsia"/>
          <w:sz w:val="32"/>
          <w:szCs w:val="32"/>
          <w:highlight w:val="auto"/>
        </w:rPr>
        <w:t>万元，</w:t>
      </w:r>
      <w:r>
        <w:rPr>
          <w:rFonts w:eastAsia="方正仿宋_GBK"/>
          <w:sz w:val="32"/>
          <w:szCs w:val="32"/>
          <w:highlight w:val="auto"/>
        </w:rPr>
        <w:t>比</w:t>
      </w:r>
      <w:r>
        <w:rPr>
          <w:rFonts w:eastAsia="方正仿宋_GBK" w:hint="eastAsia"/>
          <w:sz w:val="32"/>
          <w:szCs w:val="32"/>
        </w:rPr>
        <w:t>2025</w:t>
      </w:r>
      <w:r>
        <w:rPr>
          <w:rFonts w:eastAsia="方正仿宋_GBK" w:hint="eastAsia"/>
          <w:sz w:val="32"/>
          <w:szCs w:val="32"/>
          <w:highlight w:val="auto"/>
        </w:rPr>
        <w:t>年执行数</w:t>
      </w:r>
      <w:r>
        <w:rPr>
          <w:rFonts w:eastAsia="方正仿宋_GBK"/>
          <w:sz w:val="32"/>
          <w:szCs w:val="32"/>
          <w:highlight w:val="auto"/>
        </w:rPr>
        <w:t>减少17.51万元，下降38%</w:t>
      </w:r>
      <w:r>
        <w:rPr>
          <w:rFonts w:eastAsia="方正仿宋_GBK" w:hint="eastAsia"/>
          <w:sz w:val="32"/>
          <w:szCs w:val="32"/>
          <w:highlight w:val="auto"/>
        </w:rPr>
        <w:t>。</w:t>
      </w: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六、关于</w:t>
      </w:r>
      <w:r>
        <w:rPr>
          <w:rFonts w:eastAsia="方正黑体_GBK" w:hint="eastAsia"/>
          <w:sz w:val="32"/>
          <w:szCs w:val="32"/>
        </w:rPr>
        <w:t>2026</w:t>
      </w:r>
      <w:r>
        <w:rPr>
          <w:rFonts w:eastAsia="方正黑体_GBK" w:hint="eastAsia"/>
          <w:sz w:val="32"/>
          <w:szCs w:val="32"/>
          <w:highlight w:val="auto"/>
        </w:rPr>
        <w:t>年一般公共预算基本支出情况说明</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海关</w:t>
      </w:r>
      <w:r>
        <w:rPr>
          <w:rFonts w:eastAsia="方正仿宋_GBK" w:hint="eastAsia"/>
          <w:sz w:val="32"/>
          <w:szCs w:val="32"/>
        </w:rPr>
        <w:t>2026</w:t>
      </w:r>
      <w:r>
        <w:rPr>
          <w:rFonts w:eastAsia="方正仿宋_GBK" w:hint="eastAsia"/>
          <w:sz w:val="32"/>
          <w:szCs w:val="32"/>
          <w:highlight w:val="auto"/>
        </w:rPr>
        <w:t>年一般公共预算基本支出</w:t>
      </w:r>
      <w:r>
        <w:rPr>
          <w:rFonts w:eastAsia="方正仿宋_GBK"/>
          <w:sz w:val="32"/>
          <w:szCs w:val="32"/>
          <w:highlight w:val="auto"/>
        </w:rPr>
        <w:t>751.75</w:t>
      </w:r>
      <w:r>
        <w:rPr>
          <w:rFonts w:eastAsia="方正仿宋_GBK" w:hint="eastAsia"/>
          <w:sz w:val="32"/>
          <w:szCs w:val="32"/>
          <w:highlight w:val="auto"/>
        </w:rPr>
        <w:t>万元，其中：</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人员经费</w:t>
      </w:r>
      <w:r>
        <w:rPr>
          <w:rFonts w:eastAsia="方正仿宋_GBK"/>
          <w:sz w:val="32"/>
          <w:szCs w:val="32"/>
          <w:highlight w:val="auto"/>
        </w:rPr>
        <w:t>543.26</w:t>
      </w:r>
      <w:r>
        <w:rPr>
          <w:rFonts w:eastAsia="方正仿宋_GBK" w:hint="eastAsia"/>
          <w:sz w:val="32"/>
          <w:szCs w:val="32"/>
          <w:highlight w:val="auto"/>
        </w:rPr>
        <w:t>万元，主要包括：基本工资、津贴补贴、奖金、机关事业单位基本养老保险缴费、职业年金缴费、职工基本医疗保险缴费、住房公积金、退休费、其他对个人和家庭的补助；</w:t>
      </w:r>
    </w:p>
    <w:p>
      <w:pPr>
        <w:spacing w:line="560" w:lineRule="exact"/>
        <w:ind w:firstLineChars="200" w:firstLine="640"/>
        <w:rPr>
          <w:rFonts w:eastAsia="方正仿宋_GBK" w:hint="eastAsia"/>
          <w:sz w:val="32"/>
          <w:szCs w:val="32"/>
          <w:highlight w:val="auto"/>
        </w:rPr>
      </w:pPr>
      <w:r>
        <w:rPr>
          <w:rFonts w:eastAsia="方正仿宋_GBK" w:hint="eastAsia"/>
          <w:sz w:val="32"/>
          <w:szCs w:val="32"/>
          <w:highlight w:val="auto"/>
        </w:rPr>
        <w:t>日常公用经费</w:t>
      </w:r>
      <w:r>
        <w:rPr>
          <w:rFonts w:eastAsia="方正仿宋_GBK"/>
          <w:sz w:val="32"/>
          <w:szCs w:val="32"/>
          <w:highlight w:val="auto"/>
        </w:rPr>
        <w:t>208.49</w:t>
      </w:r>
      <w:r>
        <w:rPr>
          <w:rFonts w:eastAsia="方正仿宋_GBK" w:hint="eastAsia"/>
          <w:sz w:val="32"/>
          <w:szCs w:val="32"/>
          <w:highlight w:val="auto"/>
        </w:rPr>
        <w:t>万元，主要包括：办公费、水费、电费、邮电费、取暖费、差旅费、维修（护）费、租赁费、培训费、专用材料费、被装购置费、劳务费、委托业务费、工会经费、其他交通费用、其他商品和服务支出、办公设备购置</w:t>
      </w:r>
      <w:r>
        <w:rPr>
          <w:rFonts w:eastAsia="方正仿宋_GBK"/>
          <w:sz w:val="32"/>
          <w:szCs w:val="32"/>
          <w:highlight w:val="auto"/>
        </w:rPr>
        <w:t>、公务用车购置</w:t>
      </w:r>
      <w:r>
        <w:rPr>
          <w:rFonts w:eastAsia="方正仿宋_GBK" w:hint="eastAsia"/>
          <w:sz w:val="32"/>
          <w:szCs w:val="32"/>
          <w:highlight w:val="auto"/>
        </w:rPr>
        <w:t>。</w:t>
      </w: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七、关于</w:t>
      </w:r>
      <w:r>
        <w:rPr>
          <w:rFonts w:eastAsia="方正黑体_GBK" w:hint="eastAsia"/>
          <w:sz w:val="32"/>
          <w:szCs w:val="32"/>
        </w:rPr>
        <w:t>2026</w:t>
      </w:r>
      <w:r>
        <w:rPr>
          <w:rFonts w:eastAsia="方正黑体_GBK" w:hint="eastAsia"/>
          <w:sz w:val="32"/>
          <w:szCs w:val="32"/>
          <w:highlight w:val="auto"/>
        </w:rPr>
        <w:t>年“三公”经费预算情况说明</w:t>
      </w:r>
    </w:p>
    <w:p>
      <w:pPr>
        <w:spacing w:line="560" w:lineRule="exact"/>
        <w:ind w:firstLineChars="200" w:firstLine="640"/>
        <w:rPr>
          <w:rFonts w:eastAsia="方正仿宋_GBK"/>
          <w:sz w:val="32"/>
          <w:szCs w:val="32"/>
        </w:rPr>
      </w:pPr>
      <w:r>
        <w:rPr>
          <w:rFonts w:eastAsia="方正仿宋_GBK"/>
          <w:sz w:val="32"/>
          <w:szCs w:val="32"/>
        </w:rPr>
        <w:t>集宁</w:t>
      </w:r>
      <w:r>
        <w:rPr>
          <w:rFonts w:eastAsia="方正仿宋_GBK" w:hint="eastAsia"/>
          <w:sz w:val="32"/>
          <w:szCs w:val="32"/>
          <w:highlight w:val="auto"/>
        </w:rPr>
        <w:t>海关</w:t>
      </w:r>
      <w:r>
        <w:rPr>
          <w:rFonts w:eastAsia="方正仿宋_GBK" w:hint="eastAsia"/>
          <w:sz w:val="32"/>
          <w:szCs w:val="32"/>
        </w:rPr>
        <w:t>2026</w:t>
      </w:r>
      <w:r>
        <w:rPr>
          <w:rFonts w:eastAsia="方正仿宋_GBK" w:hint="eastAsia"/>
          <w:sz w:val="32"/>
          <w:szCs w:val="32"/>
          <w:highlight w:val="auto"/>
        </w:rPr>
        <w:t>年“三公”经费预算</w:t>
      </w:r>
      <w:r>
        <w:rPr>
          <w:rFonts w:eastAsia="方正仿宋_GBK"/>
          <w:sz w:val="32"/>
          <w:szCs w:val="32"/>
          <w:highlight w:val="auto"/>
        </w:rPr>
        <w:t>收支</w:t>
      </w:r>
      <w:r>
        <w:rPr>
          <w:rFonts w:eastAsia="方正仿宋_GBK" w:hint="eastAsia"/>
          <w:sz w:val="32"/>
          <w:szCs w:val="32"/>
          <w:highlight w:val="auto"/>
        </w:rPr>
        <w:t>数为</w:t>
      </w:r>
      <w:r>
        <w:rPr>
          <w:rFonts w:eastAsia="方正仿宋_GBK"/>
          <w:sz w:val="32"/>
          <w:szCs w:val="32"/>
          <w:highlight w:val="auto"/>
        </w:rPr>
        <w:t>32.03</w:t>
      </w:r>
      <w:r>
        <w:rPr>
          <w:rFonts w:eastAsia="方正仿宋_GBK" w:hint="eastAsia"/>
          <w:sz w:val="32"/>
          <w:szCs w:val="32"/>
          <w:highlight w:val="auto"/>
        </w:rPr>
        <w:t>万元，</w:t>
      </w:r>
      <w:r>
        <w:rPr>
          <w:rFonts w:eastAsia="方正仿宋_GBK"/>
          <w:sz w:val="32"/>
          <w:szCs w:val="32"/>
          <w:highlight w:val="auto"/>
        </w:rPr>
        <w:t>与</w:t>
      </w:r>
      <w:r>
        <w:rPr>
          <w:rFonts w:eastAsia="方正仿宋_GBK" w:hint="eastAsia"/>
          <w:sz w:val="32"/>
          <w:szCs w:val="32"/>
        </w:rPr>
        <w:t>2025</w:t>
      </w:r>
      <w:r>
        <w:rPr>
          <w:rFonts w:eastAsia="方正仿宋_GBK" w:hint="eastAsia"/>
          <w:sz w:val="32"/>
          <w:szCs w:val="32"/>
          <w:highlight w:val="auto"/>
        </w:rPr>
        <w:t>年预算数</w:t>
      </w:r>
      <w:r>
        <w:rPr>
          <w:rFonts w:eastAsia="方正仿宋_GBK"/>
          <w:sz w:val="32"/>
          <w:szCs w:val="32"/>
          <w:highlight w:val="auto"/>
        </w:rPr>
        <w:t>相比增加18.56万元</w:t>
      </w:r>
      <w:r>
        <w:rPr>
          <w:rFonts w:eastAsia="方正仿宋_GBK" w:hint="eastAsia"/>
          <w:sz w:val="32"/>
          <w:szCs w:val="32"/>
          <w:highlight w:val="auto"/>
        </w:rPr>
        <w:t>。其中：公务用车运行费</w:t>
      </w:r>
      <w:r>
        <w:rPr>
          <w:rFonts w:eastAsia="方正仿宋_GBK"/>
          <w:sz w:val="32"/>
          <w:szCs w:val="32"/>
          <w:highlight w:val="auto"/>
        </w:rPr>
        <w:t>13.47</w:t>
      </w:r>
      <w:r>
        <w:rPr>
          <w:rFonts w:eastAsia="方正仿宋_GBK" w:hint="eastAsia"/>
          <w:sz w:val="32"/>
          <w:szCs w:val="32"/>
          <w:highlight w:val="auto"/>
        </w:rPr>
        <w:t>万元</w:t>
      </w:r>
      <w:r>
        <w:rPr>
          <w:rFonts w:eastAsia="方正仿宋_GBK"/>
          <w:sz w:val="32"/>
          <w:szCs w:val="32"/>
          <w:highlight w:val="auto"/>
        </w:rPr>
        <w:t>、公务用车购置18.56万元</w:t>
      </w:r>
      <w:r>
        <w:rPr>
          <w:rFonts w:eastAsia="方正仿宋_GBK" w:hint="eastAsia"/>
          <w:sz w:val="32"/>
          <w:szCs w:val="32"/>
          <w:highlight w:val="auto"/>
        </w:rPr>
        <w:t>。</w:t>
      </w:r>
    </w:p>
    <w:p>
      <w:pPr>
        <w:pStyle w:val="30"/>
        <w:spacing w:line="560" w:lineRule="exact"/>
        <w:ind w:firstLineChars="200" w:firstLine="640"/>
        <w:rPr>
          <w:rFonts w:eastAsia="方正黑体_GBK" w:hint="eastAsia"/>
          <w:sz w:val="32"/>
          <w:szCs w:val="32"/>
        </w:rPr>
      </w:pPr>
      <w:r>
        <w:rPr>
          <w:rFonts w:eastAsia="方正黑体_GBK" w:hint="eastAsia"/>
          <w:sz w:val="32"/>
          <w:szCs w:val="32"/>
          <w:highlight w:val="auto"/>
        </w:rPr>
        <w:t>八、关于</w:t>
      </w:r>
      <w:r>
        <w:rPr>
          <w:rFonts w:eastAsia="方正黑体_GBK" w:hint="eastAsia"/>
          <w:sz w:val="32"/>
          <w:szCs w:val="32"/>
        </w:rPr>
        <w:t>2026</w:t>
      </w:r>
      <w:r>
        <w:rPr>
          <w:rFonts w:eastAsia="方正黑体_GBK" w:hint="eastAsia"/>
          <w:sz w:val="32"/>
          <w:szCs w:val="32"/>
          <w:highlight w:val="auto"/>
        </w:rPr>
        <w:t>年政府性基金预算收支情况说明</w:t>
      </w:r>
    </w:p>
    <w:p>
      <w:pPr>
        <w:spacing w:line="560" w:lineRule="exact"/>
        <w:ind w:firstLineChars="200" w:firstLine="640"/>
        <w:rPr>
          <w:sz w:val="32"/>
          <w:szCs w:val="32"/>
          <w:highlight w:val="auto"/>
        </w:rPr>
      </w:pPr>
      <w:r>
        <w:rPr>
          <w:rFonts w:eastAsia="方正仿宋_GBK"/>
          <w:sz w:val="32"/>
          <w:szCs w:val="32"/>
        </w:rPr>
        <w:t>集宁</w:t>
      </w:r>
      <w:r>
        <w:rPr>
          <w:rFonts w:eastAsia="方正仿宋_GBK" w:hint="eastAsia"/>
          <w:sz w:val="32"/>
          <w:szCs w:val="32"/>
          <w:highlight w:val="auto"/>
        </w:rPr>
        <w:t>海关</w:t>
      </w:r>
      <w:r>
        <w:rPr>
          <w:rFonts w:eastAsia="方正仿宋_GBK" w:hint="eastAsia"/>
          <w:sz w:val="32"/>
          <w:szCs w:val="32"/>
        </w:rPr>
        <w:t>2026</w:t>
      </w:r>
      <w:r>
        <w:rPr>
          <w:rFonts w:eastAsia="方正仿宋_GBK" w:hint="eastAsia"/>
          <w:sz w:val="32"/>
          <w:szCs w:val="32"/>
          <w:highlight w:val="auto"/>
        </w:rPr>
        <w:t>年无政府性基金预算收支。</w:t>
      </w: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九、关于</w:t>
      </w:r>
      <w:r>
        <w:rPr>
          <w:rFonts w:eastAsia="方正黑体_GBK" w:hint="eastAsia"/>
          <w:sz w:val="32"/>
          <w:szCs w:val="32"/>
        </w:rPr>
        <w:t>2026</w:t>
      </w:r>
      <w:r>
        <w:rPr>
          <w:rFonts w:eastAsia="方正黑体_GBK" w:hint="eastAsia"/>
          <w:sz w:val="32"/>
          <w:szCs w:val="32"/>
          <w:highlight w:val="auto"/>
        </w:rPr>
        <w:t>年国有资本经营预算收支情况说明</w:t>
      </w:r>
    </w:p>
    <w:p>
      <w:pPr>
        <w:spacing w:line="560" w:lineRule="exact"/>
        <w:ind w:firstLineChars="200" w:firstLine="640"/>
        <w:rPr>
          <w:rFonts w:eastAsia="方正仿宋_GBK" w:hint="eastAsia"/>
          <w:sz w:val="32"/>
          <w:szCs w:val="32"/>
          <w:highlight w:val="auto"/>
        </w:rPr>
      </w:pPr>
      <w:r>
        <w:rPr>
          <w:rFonts w:eastAsia="方正仿宋_GBK"/>
          <w:sz w:val="32"/>
          <w:szCs w:val="32"/>
        </w:rPr>
        <w:t>集宁</w:t>
      </w:r>
      <w:r>
        <w:rPr>
          <w:rFonts w:eastAsia="方正仿宋_GBK" w:hint="eastAsia"/>
          <w:sz w:val="32"/>
          <w:szCs w:val="32"/>
          <w:highlight w:val="auto"/>
        </w:rPr>
        <w:t>海关</w:t>
      </w:r>
      <w:r>
        <w:rPr>
          <w:rFonts w:eastAsia="方正仿宋_GBK" w:hint="eastAsia"/>
          <w:sz w:val="32"/>
          <w:szCs w:val="32"/>
        </w:rPr>
        <w:t>2026</w:t>
      </w:r>
      <w:r>
        <w:rPr>
          <w:rFonts w:eastAsia="方正仿宋_GBK" w:hint="eastAsia"/>
          <w:sz w:val="32"/>
          <w:szCs w:val="32"/>
          <w:highlight w:val="auto"/>
        </w:rPr>
        <w:t>年无国有</w:t>
      </w:r>
      <w:r>
        <w:rPr>
          <w:rFonts w:eastAsia="方正仿宋_GBK" w:hint="eastAsia"/>
          <w:sz w:val="32"/>
          <w:szCs w:val="32"/>
          <w:lang w:eastAsia="zh-CN"/>
          <w:highlight w:val="auto"/>
        </w:rPr>
        <w:t>资本</w:t>
      </w:r>
      <w:r>
        <w:rPr>
          <w:rFonts w:eastAsia="方正仿宋_GBK" w:hint="eastAsia"/>
          <w:sz w:val="32"/>
          <w:szCs w:val="32"/>
          <w:highlight w:val="auto"/>
        </w:rPr>
        <w:t>经营预算收支。</w:t>
      </w:r>
    </w:p>
    <w:p>
      <w:pPr>
        <w:pStyle w:val="30"/>
        <w:spacing w:line="560" w:lineRule="exact"/>
        <w:ind w:firstLineChars="200" w:firstLine="640"/>
        <w:rPr>
          <w:rFonts w:eastAsia="方正黑体_GBK" w:hint="eastAsia"/>
          <w:sz w:val="32"/>
          <w:szCs w:val="32"/>
          <w:highlight w:val="auto"/>
        </w:rPr>
      </w:pPr>
      <w:r>
        <w:rPr>
          <w:rFonts w:eastAsia="方正黑体_GBK" w:hint="eastAsia"/>
          <w:sz w:val="32"/>
          <w:szCs w:val="32"/>
          <w:highlight w:val="auto"/>
        </w:rPr>
        <w:t>十、其他重要事项情况说明</w:t>
      </w:r>
    </w:p>
    <w:p>
      <w:pPr>
        <w:spacing w:line="560" w:lineRule="exact"/>
        <w:ind w:firstLineChars="200" w:firstLine="640"/>
        <w:jc w:val="left"/>
        <w:rPr>
          <w:rFonts w:ascii="方正楷体_GBK" w:eastAsia="方正楷体_GBK" w:cs="方正楷体_GBK" w:hint="eastAsia"/>
          <w:b/>
          <w:bCs/>
          <w:sz w:val="32"/>
          <w:szCs w:val="32"/>
          <w:lang w:val="zh-CN" w:eastAsia="zh-CN" w:bidi="ar-SA"/>
          <w:highlight w:val="auto"/>
        </w:rPr>
      </w:pPr>
      <w:r>
        <w:rPr>
          <w:rFonts w:ascii="方正楷体_GBK" w:eastAsia="方正楷体_GBK" w:cs="方正楷体_GBK" w:hint="eastAsia"/>
          <w:b/>
          <w:bCs/>
          <w:sz w:val="32"/>
          <w:szCs w:val="32"/>
          <w:lang w:val="zh-CN" w:eastAsia="zh-CN" w:bidi="ar-SA"/>
          <w:highlight w:val="auto"/>
        </w:rPr>
        <w:t>（一）机关运行经费。</w:t>
      </w:r>
    </w:p>
    <w:p>
      <w:pPr>
        <w:spacing w:line="560" w:lineRule="exact"/>
        <w:ind w:firstLineChars="200" w:firstLine="640"/>
        <w:rPr>
          <w:rFonts w:eastAsia="方正仿宋_GBK" w:hint="eastAsia"/>
          <w:color w:val="FF0000"/>
          <w:sz w:val="32"/>
          <w:szCs w:val="32"/>
          <w:highlight w:val="auto"/>
        </w:rPr>
      </w:pPr>
      <w:r>
        <w:rPr>
          <w:rFonts w:eastAsia="方正仿宋_GBK" w:hint="eastAsia"/>
          <w:sz w:val="32"/>
          <w:szCs w:val="32"/>
        </w:rPr>
        <w:t>2026</w:t>
      </w:r>
      <w:r>
        <w:rPr>
          <w:rFonts w:eastAsia="方正仿宋_GBK" w:hint="eastAsia"/>
          <w:sz w:val="32"/>
          <w:szCs w:val="32"/>
          <w:highlight w:val="auto"/>
        </w:rPr>
        <w:t>年</w:t>
      </w:r>
      <w:r>
        <w:rPr>
          <w:rFonts w:eastAsia="方正仿宋_GBK"/>
          <w:sz w:val="32"/>
          <w:szCs w:val="32"/>
        </w:rPr>
        <w:t>集宁</w:t>
      </w:r>
      <w:r>
        <w:rPr>
          <w:rFonts w:eastAsia="方正仿宋_GBK"/>
          <w:sz w:val="32"/>
          <w:szCs w:val="32"/>
          <w:highlight w:val="auto"/>
        </w:rPr>
        <w:t>海关</w:t>
      </w:r>
      <w:r>
        <w:rPr>
          <w:rFonts w:eastAsia="方正仿宋_GBK" w:hint="eastAsia"/>
          <w:sz w:val="32"/>
          <w:szCs w:val="32"/>
          <w:highlight w:val="auto"/>
        </w:rPr>
        <w:t>机关运行经费财政拨款预</w:t>
      </w:r>
      <w:r>
        <w:rPr>
          <w:rFonts w:eastAsia="方正仿宋_GBK" w:hint="eastAsia"/>
          <w:color w:val="000000"/>
          <w:sz w:val="32"/>
          <w:szCs w:val="32"/>
          <w:highlight w:val="auto"/>
        </w:rPr>
        <w:t>算</w:t>
      </w:r>
      <w:r>
        <w:rPr>
          <w:rFonts w:eastAsia="方正仿宋_GBK"/>
          <w:color w:val="000000"/>
          <w:sz w:val="32"/>
          <w:szCs w:val="32"/>
          <w:highlight w:val="auto"/>
        </w:rPr>
        <w:t>207.56</w:t>
      </w:r>
      <w:r>
        <w:rPr>
          <w:rFonts w:eastAsia="方正仿宋_GBK" w:hint="eastAsia"/>
          <w:sz w:val="32"/>
          <w:szCs w:val="32"/>
        </w:rPr>
        <w:t>万元</w:t>
      </w:r>
      <w:r>
        <w:rPr>
          <w:rFonts w:eastAsia="方正仿宋_GBK" w:hint="eastAsia"/>
          <w:sz w:val="32"/>
          <w:szCs w:val="32"/>
          <w:highlight w:val="auto"/>
        </w:rPr>
        <w:t>，较</w:t>
      </w:r>
      <w:r>
        <w:rPr>
          <w:rFonts w:eastAsia="方正仿宋_GBK" w:hint="eastAsia"/>
          <w:sz w:val="32"/>
          <w:szCs w:val="32"/>
        </w:rPr>
        <w:t>2025</w:t>
      </w:r>
      <w:r>
        <w:rPr>
          <w:rFonts w:eastAsia="方正仿宋_GBK" w:hint="eastAsia"/>
          <w:sz w:val="32"/>
          <w:szCs w:val="32"/>
          <w:highlight w:val="auto"/>
        </w:rPr>
        <w:t>年执行预</w:t>
      </w:r>
      <w:r>
        <w:rPr>
          <w:rFonts w:eastAsia="方正仿宋_GBK" w:hint="eastAsia"/>
          <w:color w:val="000000"/>
          <w:sz w:val="32"/>
          <w:szCs w:val="32"/>
          <w:highlight w:val="auto"/>
        </w:rPr>
        <w:t>算</w:t>
      </w:r>
      <w:r>
        <w:rPr>
          <w:rFonts w:eastAsia="方正仿宋_GBK"/>
          <w:color w:val="000000"/>
          <w:sz w:val="32"/>
          <w:szCs w:val="32"/>
          <w:highlight w:val="auto"/>
        </w:rPr>
        <w:t>减少了8.27</w:t>
      </w:r>
      <w:r>
        <w:rPr>
          <w:rFonts w:eastAsia="方正仿宋_GBK" w:hint="eastAsia"/>
          <w:color w:val="000000"/>
          <w:sz w:val="32"/>
          <w:szCs w:val="32"/>
          <w:highlight w:val="auto"/>
        </w:rPr>
        <w:t>万元，</w:t>
      </w:r>
      <w:r>
        <w:rPr>
          <w:rFonts w:eastAsia="方正仿宋_GBK"/>
          <w:color w:val="000000"/>
          <w:sz w:val="32"/>
          <w:szCs w:val="32"/>
          <w:highlight w:val="auto"/>
        </w:rPr>
        <w:t>下降3.83</w:t>
      </w:r>
      <w:r>
        <w:rPr>
          <w:rFonts w:eastAsia="方正仿宋_GBK" w:hint="eastAsia"/>
          <w:color w:val="000000"/>
          <w:sz w:val="32"/>
          <w:szCs w:val="32"/>
          <w:highlight w:val="auto"/>
        </w:rPr>
        <w:t>%。</w:t>
      </w:r>
    </w:p>
    <w:p>
      <w:pPr>
        <w:spacing w:line="560" w:lineRule="exact"/>
        <w:ind w:firstLineChars="200" w:firstLine="640"/>
        <w:jc w:val="left"/>
        <w:rPr>
          <w:rFonts w:ascii="方正楷体_GBK" w:eastAsia="方正楷体_GBK" w:cs="方正楷体_GBK" w:hint="eastAsia"/>
          <w:b/>
          <w:bCs/>
          <w:sz w:val="32"/>
          <w:szCs w:val="32"/>
          <w:lang w:val="zh-CN" w:eastAsia="zh-CN" w:bidi="ar-SA"/>
        </w:rPr>
      </w:pPr>
      <w:r>
        <w:rPr>
          <w:rFonts w:ascii="方正楷体_GBK" w:eastAsia="方正楷体_GBK" w:cs="方正楷体_GBK" w:hint="eastAsia"/>
          <w:b/>
          <w:bCs/>
          <w:sz w:val="32"/>
          <w:szCs w:val="32"/>
          <w:lang w:val="zh-CN" w:eastAsia="zh-CN" w:bidi="ar-SA"/>
        </w:rPr>
        <w:t>（二）政府采购情况。</w:t>
      </w:r>
    </w:p>
    <w:p>
      <w:pPr>
        <w:spacing w:line="560" w:lineRule="exact"/>
        <w:ind w:firstLineChars="200" w:firstLine="640"/>
        <w:rPr>
          <w:rFonts w:eastAsia="方正仿宋_GBK"/>
          <w:sz w:val="32"/>
          <w:szCs w:val="32"/>
        </w:rPr>
      </w:pPr>
      <w:r>
        <w:rPr>
          <w:rFonts w:ascii="方正仿宋_GBK" w:eastAsia="方正仿宋_GBK" w:hint="eastAsia"/>
          <w:sz w:val="32"/>
          <w:szCs w:val="32"/>
        </w:rPr>
        <w:t>本</w:t>
      </w:r>
      <w:r>
        <w:rPr>
          <w:rFonts w:eastAsia="方正仿宋_GBK"/>
          <w:sz w:val="32"/>
          <w:szCs w:val="32"/>
        </w:rPr>
        <w:t>年政府采购批复金额为23.58万元，较2025年增长23.58万元，上升100%。</w:t>
      </w:r>
    </w:p>
    <w:p>
      <w:pPr>
        <w:spacing w:line="560" w:lineRule="exact"/>
        <w:ind w:firstLineChars="200" w:firstLine="640"/>
        <w:jc w:val="left"/>
        <w:rPr>
          <w:rFonts w:ascii="方正楷体_GBK" w:eastAsia="方正楷体_GBK" w:cs="方正楷体_GBK" w:hint="eastAsia"/>
          <w:b/>
          <w:bCs/>
          <w:sz w:val="32"/>
          <w:szCs w:val="32"/>
          <w:lang w:val="zh-CN" w:eastAsia="zh-CN" w:bidi="ar-SA"/>
        </w:rPr>
      </w:pPr>
      <w:r>
        <w:rPr>
          <w:rFonts w:ascii="方正楷体_GBK" w:eastAsia="方正楷体_GBK" w:cs="方正楷体_GBK" w:hint="eastAsia"/>
          <w:b/>
          <w:bCs/>
          <w:sz w:val="32"/>
          <w:szCs w:val="32"/>
          <w:lang w:val="zh-CN" w:eastAsia="zh-CN" w:bidi="ar-SA"/>
        </w:rPr>
        <w:t>（三）国有资产占有使用情况。</w:t>
      </w:r>
    </w:p>
    <w:p>
      <w:pPr>
        <w:spacing w:line="560" w:lineRule="exact"/>
        <w:ind w:firstLineChars="200" w:firstLine="640"/>
        <w:rPr>
          <w:rFonts w:eastAsia="方正仿宋_GBK" w:hint="eastAsia"/>
          <w:color w:val="000000"/>
          <w:sz w:val="32"/>
          <w:szCs w:val="32"/>
        </w:rPr>
      </w:pPr>
      <w:r>
        <w:rPr>
          <w:rFonts w:eastAsia="方正仿宋_GBK" w:hint="eastAsia"/>
          <w:color w:val="000000"/>
          <w:sz w:val="32"/>
          <w:szCs w:val="32"/>
        </w:rPr>
        <w:t>截至2026年</w:t>
      </w:r>
      <w:r>
        <w:rPr>
          <w:rFonts w:eastAsia="方正仿宋_GBK"/>
          <w:color w:val="000000"/>
          <w:sz w:val="32"/>
          <w:szCs w:val="32"/>
        </w:rPr>
        <w:t>4</w:t>
      </w:r>
      <w:r>
        <w:rPr>
          <w:rFonts w:eastAsia="方正仿宋_GBK" w:hint="eastAsia"/>
          <w:color w:val="000000"/>
          <w:sz w:val="32"/>
          <w:szCs w:val="32"/>
        </w:rPr>
        <w:t>月</w:t>
      </w:r>
      <w:r>
        <w:rPr>
          <w:rFonts w:eastAsia="方正仿宋_GBK"/>
          <w:color w:val="000000"/>
          <w:sz w:val="32"/>
          <w:szCs w:val="32"/>
        </w:rPr>
        <w:t>15</w:t>
      </w:r>
      <w:r>
        <w:rPr>
          <w:rFonts w:eastAsia="方正仿宋_GBK" w:hint="eastAsia"/>
          <w:color w:val="000000"/>
          <w:sz w:val="32"/>
          <w:szCs w:val="32"/>
        </w:rPr>
        <w:t>日，</w:t>
      </w:r>
      <w:r>
        <w:rPr>
          <w:rFonts w:eastAsia="方正仿宋_GBK"/>
          <w:color w:val="000000"/>
          <w:sz w:val="32"/>
          <w:szCs w:val="32"/>
        </w:rPr>
        <w:t>集宁</w:t>
      </w:r>
      <w:r>
        <w:rPr>
          <w:rFonts w:eastAsia="方正仿宋_GBK" w:hint="eastAsia"/>
          <w:color w:val="000000"/>
          <w:sz w:val="32"/>
          <w:szCs w:val="32"/>
        </w:rPr>
        <w:t>海关共有车辆</w:t>
      </w:r>
      <w:r>
        <w:rPr>
          <w:rFonts w:eastAsia="方正仿宋_GBK"/>
          <w:color w:val="000000"/>
          <w:sz w:val="32"/>
          <w:szCs w:val="32"/>
          <w:lang w:val="en-US" w:eastAsia="zh-CN"/>
        </w:rPr>
        <w:t>3</w:t>
      </w:r>
      <w:r>
        <w:rPr>
          <w:rFonts w:eastAsia="方正仿宋_GBK" w:hint="eastAsia"/>
          <w:color w:val="000000"/>
          <w:sz w:val="32"/>
          <w:szCs w:val="32"/>
        </w:rPr>
        <w:t>辆，其中，</w:t>
      </w:r>
      <w:r>
        <w:rPr>
          <w:rFonts w:eastAsia="方正仿宋_GBK"/>
          <w:color w:val="000000"/>
          <w:sz w:val="32"/>
          <w:szCs w:val="32"/>
        </w:rPr>
        <w:t>应急保障</w:t>
      </w:r>
      <w:r>
        <w:rPr>
          <w:rFonts w:eastAsia="方正仿宋_GBK" w:hint="eastAsia"/>
          <w:color w:val="000000"/>
          <w:sz w:val="32"/>
          <w:szCs w:val="32"/>
        </w:rPr>
        <w:t>用车</w:t>
      </w:r>
      <w:r>
        <w:rPr>
          <w:rFonts w:eastAsia="方正仿宋_GBK"/>
          <w:color w:val="000000"/>
          <w:sz w:val="32"/>
          <w:szCs w:val="32"/>
        </w:rPr>
        <w:t>1</w:t>
      </w:r>
      <w:r>
        <w:rPr>
          <w:rFonts w:eastAsia="方正仿宋_GBK" w:hint="eastAsia"/>
          <w:color w:val="000000"/>
          <w:sz w:val="32"/>
          <w:szCs w:val="32"/>
        </w:rPr>
        <w:t>辆、执法执勤用车</w:t>
      </w:r>
      <w:r>
        <w:rPr>
          <w:rFonts w:eastAsia="方正仿宋_GBK"/>
          <w:color w:val="000000"/>
          <w:sz w:val="32"/>
          <w:szCs w:val="32"/>
        </w:rPr>
        <w:t>2</w:t>
      </w:r>
      <w:r>
        <w:rPr>
          <w:rFonts w:eastAsia="方正仿宋_GBK" w:hint="eastAsia"/>
          <w:color w:val="000000"/>
          <w:sz w:val="32"/>
          <w:szCs w:val="32"/>
        </w:rPr>
        <w:t>辆。</w:t>
      </w:r>
    </w:p>
    <w:p>
      <w:pPr>
        <w:spacing w:line="560" w:lineRule="exact"/>
        <w:ind w:firstLineChars="200" w:firstLine="640"/>
        <w:jc w:val="left"/>
        <w:rPr>
          <w:rFonts w:ascii="方正楷体_GBK" w:eastAsia="方正楷体_GBK" w:cs="方正楷体_GBK" w:hint="eastAsia"/>
          <w:b/>
          <w:bCs/>
          <w:sz w:val="32"/>
          <w:szCs w:val="32"/>
          <w:lang w:val="zh-CN" w:eastAsia="zh-CN" w:bidi="ar-SA"/>
        </w:rPr>
      </w:pPr>
      <w:r>
        <w:rPr>
          <w:rFonts w:ascii="方正楷体_GBK" w:eastAsia="方正楷体_GBK" w:cs="方正楷体_GBK" w:hint="eastAsia"/>
          <w:b/>
          <w:bCs/>
          <w:sz w:val="32"/>
          <w:szCs w:val="32"/>
          <w:lang w:val="zh-CN" w:eastAsia="zh-CN" w:bidi="ar-SA"/>
        </w:rPr>
        <w:t>（四）预算绩效情况说明。</w:t>
      </w:r>
    </w:p>
    <w:p>
      <w:pPr>
        <w:spacing w:line="560" w:lineRule="exact"/>
        <w:ind w:firstLineChars="200" w:firstLine="640"/>
        <w:rPr>
          <w:b/>
          <w:bCs/>
          <w:sz w:val="32"/>
          <w:szCs w:val="32"/>
          <w:highlight w:val="auto"/>
        </w:rPr>
      </w:pPr>
      <w:r>
        <w:rPr>
          <w:rFonts w:eastAsia="方正仿宋_GBK" w:hint="eastAsia"/>
          <w:sz w:val="32"/>
          <w:szCs w:val="32"/>
        </w:rPr>
        <w:t>2026年</w:t>
      </w:r>
      <w:r>
        <w:rPr>
          <w:rFonts w:eastAsia="方正仿宋_GBK"/>
          <w:sz w:val="32"/>
          <w:szCs w:val="32"/>
        </w:rPr>
        <w:t>集宁</w:t>
      </w:r>
      <w:r>
        <w:rPr>
          <w:rFonts w:eastAsia="方正仿宋_GBK" w:hint="eastAsia"/>
          <w:sz w:val="32"/>
          <w:szCs w:val="32"/>
        </w:rPr>
        <w:t>海关对一般公共预算拨款项目全面实施绩效目标管理，一般公共预算当年拨款</w:t>
      </w:r>
      <w:r>
        <w:rPr>
          <w:rFonts w:eastAsia="方正仿宋_GBK"/>
          <w:sz w:val="32"/>
          <w:szCs w:val="32"/>
        </w:rPr>
        <w:t>93.05</w:t>
      </w:r>
      <w:r>
        <w:rPr>
          <w:rFonts w:eastAsia="方正仿宋_GBK" w:hint="eastAsia"/>
          <w:sz w:val="32"/>
          <w:szCs w:val="32"/>
        </w:rPr>
        <w:t>万元，二级项目</w:t>
      </w:r>
      <w:r>
        <w:rPr>
          <w:rFonts w:eastAsia="方正仿宋_GBK"/>
          <w:sz w:val="32"/>
          <w:szCs w:val="32"/>
        </w:rPr>
        <w:t>6</w:t>
      </w:r>
      <w:r>
        <w:rPr>
          <w:rFonts w:eastAsia="方正仿宋_GBK" w:hint="eastAsia"/>
          <w:sz w:val="32"/>
          <w:szCs w:val="32"/>
        </w:rPr>
        <w:t>个。</w:t>
      </w:r>
    </w:p>
    <w:p>
      <w:pPr>
        <w:spacing w:line="560" w:lineRule="exact"/>
        <w:ind w:firstLineChars="200" w:firstLine="640"/>
        <w:rPr>
          <w:b/>
          <w:bCs/>
          <w:sz w:val="32"/>
          <w:szCs w:val="32"/>
          <w:shd w:val="solid" w:color="FFFF00" w:fill="FFFFFF"/>
          <w:highlight w:val="auto"/>
        </w:rPr>
      </w:pPr>
    </w:p>
    <w:p>
      <w:pPr>
        <w:rPr>
          <w:b/>
          <w:sz w:val="32"/>
          <w:szCs w:val="32"/>
          <w:highlight w:val="auto"/>
        </w:rPr>
      </w:pPr>
    </w:p>
    <w:p>
      <w:pPr>
        <w:rPr>
          <w:b/>
          <w:sz w:val="32"/>
          <w:szCs w:val="32"/>
          <w:highlight w:val="auto"/>
        </w:rPr>
      </w:pPr>
    </w:p>
    <w:p>
      <w:pPr>
        <w:rPr>
          <w:b/>
          <w:sz w:val="32"/>
          <w:szCs w:val="32"/>
          <w:highlight w:val="auto"/>
        </w:rPr>
      </w:pPr>
    </w:p>
    <w:p>
      <w:pPr>
        <w:rPr>
          <w:b/>
          <w:sz w:val="32"/>
          <w:szCs w:val="32"/>
          <w:highlight w:val="auto"/>
        </w:rPr>
      </w:pPr>
    </w:p>
    <w:p>
      <w:pPr>
        <w:rPr>
          <w:b/>
          <w:sz w:val="32"/>
          <w:szCs w:val="32"/>
          <w:highlight w:val="auto"/>
        </w:rPr>
      </w:pPr>
    </w:p>
    <w:p>
      <w:pP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p>
    <w:p>
      <w:pPr>
        <w:jc w:val="center"/>
        <w:rPr>
          <w:b/>
          <w:sz w:val="84"/>
          <w:szCs w:val="84"/>
          <w:highlight w:val="auto"/>
        </w:rPr>
      </w:pPr>
      <w:r>
        <w:rPr>
          <w:rFonts w:hint="eastAsia"/>
          <w:b/>
          <w:sz w:val="84"/>
          <w:szCs w:val="84"/>
          <w:highlight w:val="auto"/>
        </w:rPr>
        <w:t>第四部分</w:t>
      </w:r>
      <w:r>
        <w:rPr>
          <w:b/>
          <w:sz w:val="84"/>
          <w:szCs w:val="84"/>
          <w:highlight w:val="auto"/>
        </w:rPr>
        <w:t xml:space="preserve">  </w:t>
      </w:r>
    </w:p>
    <w:p>
      <w:pPr>
        <w:jc w:val="center"/>
        <w:rPr>
          <w:b/>
          <w:sz w:val="84"/>
          <w:szCs w:val="84"/>
          <w:highlight w:val="auto"/>
        </w:rPr>
      </w:pPr>
      <w:r>
        <w:rPr>
          <w:rFonts w:hint="eastAsia"/>
          <w:b/>
          <w:sz w:val="84"/>
          <w:szCs w:val="84"/>
          <w:highlight w:val="auto"/>
        </w:rPr>
        <w:t>名词解释</w:t>
      </w:r>
    </w:p>
    <w:p>
      <w:pPr>
        <w:rPr>
          <w:b/>
          <w:sz w:val="32"/>
          <w:szCs w:val="84"/>
          <w:highlight w:val="auto"/>
        </w:rPr>
      </w:pPr>
      <w:r>
        <w:rPr>
          <w:b/>
          <w:sz w:val="84"/>
          <w:szCs w:val="84"/>
          <w:highlight w:val="auto"/>
        </w:rPr>
        <w:br w:type="page"/>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一、一般公共预算拨款收入</w:t>
      </w:r>
      <w:r>
        <w:rPr>
          <w:rFonts w:eastAsia="方正仿宋_GBK" w:hint="eastAsia"/>
          <w:sz w:val="32"/>
          <w:szCs w:val="32"/>
          <w:highlight w:val="auto"/>
        </w:rPr>
        <w:t>：指中央财政当年拨付的资金。</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二、事业收入</w:t>
      </w:r>
      <w:r>
        <w:rPr>
          <w:rFonts w:eastAsia="方正仿宋_GBK" w:hint="eastAsia"/>
          <w:sz w:val="32"/>
          <w:szCs w:val="32"/>
          <w:highlight w:val="auto"/>
        </w:rPr>
        <w:t>：指海关系统所属事业单位开展专业业务活动及辅助活动取得的收入。</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三、事业单位经营收入</w:t>
      </w:r>
      <w:r>
        <w:rPr>
          <w:rFonts w:eastAsia="方正仿宋_GBK" w:hint="eastAsia"/>
          <w:sz w:val="32"/>
          <w:szCs w:val="32"/>
          <w:highlight w:val="auto"/>
        </w:rPr>
        <w:t>：指海关系统所属事业单位在专业业务活动及辅助活动之外，开展非独立核算经营活动取得的收入。</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四、其他收入</w:t>
      </w:r>
      <w:r>
        <w:rPr>
          <w:rFonts w:eastAsia="方正仿宋_GBK" w:hint="eastAsia"/>
          <w:sz w:val="32"/>
          <w:szCs w:val="32"/>
          <w:highlight w:val="auto"/>
        </w:rPr>
        <w:t>：指海关系统取得的除上述财政拨款收入、事业收入、事业单位经营收入等以外的收入。</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五、使用非财政拨款结余</w:t>
      </w:r>
      <w:r>
        <w:rPr>
          <w:rFonts w:eastAsia="方正仿宋_GBK" w:hint="eastAsia"/>
          <w:sz w:val="32"/>
          <w:szCs w:val="32"/>
          <w:highlight w:val="auto"/>
        </w:rPr>
        <w:t>：指海关系统所属事业单位预计收入小于支出时，用非财政拨款结余弥补本年度收支差额的数额。</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六、上年结转</w:t>
      </w:r>
      <w:r>
        <w:rPr>
          <w:rFonts w:eastAsia="方正仿宋_GBK" w:hint="eastAsia"/>
          <w:sz w:val="32"/>
          <w:szCs w:val="32"/>
          <w:highlight w:val="auto"/>
        </w:rPr>
        <w:t>：指以前年度尚未完成、结转到本年仍按原规定用途继续使用的资金等。</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七、一般公共服务支出（类）海关事务（款）</w:t>
      </w:r>
      <w:r>
        <w:rPr>
          <w:rFonts w:eastAsia="方正仿宋_GBK" w:hint="eastAsia"/>
          <w:sz w:val="32"/>
          <w:szCs w:val="32"/>
          <w:highlight w:val="auto"/>
        </w:rPr>
        <w:t>：反映海关用于系统行政和事业单位的基本支出及完成专项业务工作的项目支出。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（一）行政运行（项）</w:t>
      </w:r>
      <w:r>
        <w:rPr>
          <w:rFonts w:eastAsia="方正仿宋_GBK" w:hint="eastAsia"/>
          <w:sz w:val="32"/>
          <w:szCs w:val="32"/>
          <w:highlight w:val="auto"/>
        </w:rPr>
        <w:t>：反映海关系统行政单位（包括实行公务员管理的事业单位）的基本支出。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（二）一般行政管理事务（项）</w:t>
      </w:r>
      <w:r>
        <w:rPr>
          <w:rFonts w:eastAsia="方正仿宋_GBK" w:hint="eastAsia"/>
          <w:sz w:val="32"/>
          <w:szCs w:val="32"/>
          <w:highlight w:val="auto"/>
        </w:rPr>
        <w:t>：反映海关系统行政单位（包括实行公务员管理的事业单位）未单独设置项级科目的其他项目支出。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（三）机关服务（项）</w:t>
      </w:r>
      <w:r>
        <w:rPr>
          <w:rFonts w:eastAsia="方正仿宋_GBK" w:hint="eastAsia"/>
          <w:sz w:val="32"/>
          <w:szCs w:val="32"/>
          <w:highlight w:val="auto"/>
        </w:rPr>
        <w:t>：反映海关系统为行政单位（包括实行公务员管理的事业单位）提供后勤服务的各类后勤服务中心、医务室等附属事业单位的支出。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（四）缉私办案（项）</w:t>
      </w:r>
      <w:r>
        <w:rPr>
          <w:rFonts w:eastAsia="方正仿宋_GBK" w:hint="eastAsia"/>
          <w:sz w:val="32"/>
          <w:szCs w:val="32"/>
          <w:highlight w:val="auto"/>
        </w:rPr>
        <w:t>：反映海关用于缉私办案方面的支出。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（五）口岸管理（项）</w:t>
      </w:r>
      <w:r>
        <w:rPr>
          <w:rFonts w:eastAsia="方正仿宋_GBK" w:hint="eastAsia"/>
          <w:sz w:val="32"/>
          <w:szCs w:val="32"/>
          <w:highlight w:val="auto"/>
        </w:rPr>
        <w:t>：反映口岸业务管理及电子口岸建设、运行维护方面的支出。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（六）信息化建设（项）</w:t>
      </w:r>
      <w:r>
        <w:rPr>
          <w:rFonts w:eastAsia="方正仿宋_GBK" w:hint="eastAsia"/>
          <w:sz w:val="32"/>
          <w:szCs w:val="32"/>
          <w:highlight w:val="auto"/>
        </w:rPr>
        <w:t>：反映海关系统用于信息化建设及运行维护等方面的支出。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（七）海关关务（项）</w:t>
      </w:r>
      <w:r>
        <w:rPr>
          <w:rFonts w:eastAsia="方正仿宋_GBK" w:hint="eastAsia"/>
          <w:sz w:val="32"/>
          <w:szCs w:val="32"/>
          <w:highlight w:val="auto"/>
        </w:rPr>
        <w:t>：反映为海关行政执法提供业务保障、支持能力以及基础设施建设、设备设施运维等方面的支出。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（八）关税征管（项）</w:t>
      </w:r>
      <w:r>
        <w:rPr>
          <w:rFonts w:eastAsia="方正仿宋_GBK" w:hint="eastAsia"/>
          <w:sz w:val="32"/>
          <w:szCs w:val="32"/>
          <w:highlight w:val="auto"/>
        </w:rPr>
        <w:t>：反映海关系统用于关税及其他税费征管方面的支出。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（九）海关监管（项）</w:t>
      </w:r>
      <w:r>
        <w:rPr>
          <w:rFonts w:eastAsia="方正仿宋_GBK" w:hint="eastAsia"/>
          <w:sz w:val="32"/>
          <w:szCs w:val="32"/>
          <w:highlight w:val="auto"/>
        </w:rPr>
        <w:t>：反映海关系统用于监管执法、业务管理及相关设备、技术支持方面的支出。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（十）检验检疫（项）</w:t>
      </w:r>
      <w:r>
        <w:rPr>
          <w:rFonts w:eastAsia="方正仿宋_GBK" w:hint="eastAsia"/>
          <w:sz w:val="32"/>
          <w:szCs w:val="32"/>
          <w:highlight w:val="auto"/>
        </w:rPr>
        <w:t>：反映海关系统用于出入境检验检疫行政执法、业务管理及相关技术支持方面的支出。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（十一）事业运行（项）</w:t>
      </w:r>
      <w:r>
        <w:rPr>
          <w:rFonts w:eastAsia="方正仿宋_GBK" w:hint="eastAsia"/>
          <w:sz w:val="32"/>
          <w:szCs w:val="32"/>
          <w:highlight w:val="auto"/>
        </w:rPr>
        <w:t>：反映海关事业单位的基本支出，不包括行政单位（包括实行公务员管理的事业单位）后勤服务中心、医务室等附属事业单位。</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（十二）其他海关事务支出（项）</w:t>
      </w:r>
      <w:r>
        <w:rPr>
          <w:rFonts w:eastAsia="方正仿宋_GBK" w:hint="eastAsia"/>
          <w:sz w:val="32"/>
          <w:szCs w:val="32"/>
          <w:highlight w:val="auto"/>
        </w:rPr>
        <w:t>：反映除上述项目以外其他海关事务方面的支出。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（十三）派驻派出机构（项）</w:t>
      </w:r>
      <w:r>
        <w:rPr>
          <w:rFonts w:eastAsia="方正仿宋_GBK" w:hint="eastAsia"/>
          <w:sz w:val="32"/>
          <w:szCs w:val="32"/>
          <w:highlight w:val="auto"/>
        </w:rPr>
        <w:t>：指中央纪委国家监委驻海关总署开展工作的专项业务支出。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八、外交支出（类）对外援助（款）对外援助（项）</w:t>
      </w:r>
      <w:r>
        <w:rPr>
          <w:rFonts w:eastAsia="方正仿宋_GBK" w:hint="eastAsia"/>
          <w:sz w:val="32"/>
          <w:szCs w:val="32"/>
          <w:highlight w:val="auto"/>
        </w:rPr>
        <w:t>：指对外国政府（地区）提供的各种援助和技术合作支出。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九、外交支出（类）驻外机构（款）其他驻外机构支出（项）</w:t>
      </w:r>
      <w:r>
        <w:rPr>
          <w:rFonts w:eastAsia="方正仿宋_GBK" w:hint="eastAsia"/>
          <w:sz w:val="32"/>
          <w:szCs w:val="32"/>
          <w:highlight w:val="auto"/>
        </w:rPr>
        <w:t>：反映用于保障海关系统驻外机构正常运行的支出。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十、外交支出（类）国际组织（款）国际组织会费（项）</w:t>
      </w:r>
      <w:r>
        <w:rPr>
          <w:rFonts w:eastAsia="方正仿宋_GBK" w:hint="eastAsia"/>
          <w:sz w:val="32"/>
          <w:szCs w:val="32"/>
          <w:highlight w:val="auto"/>
        </w:rPr>
        <w:t>：反映海关经批准参加国际组织，按国际组织规定缴纳的会费。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十一、外交支出（类）国际组织（款）国际组织捐赠（项）</w:t>
      </w:r>
      <w:r>
        <w:rPr>
          <w:rFonts w:eastAsia="方正仿宋_GBK" w:hint="eastAsia"/>
          <w:sz w:val="32"/>
          <w:szCs w:val="32"/>
          <w:highlight w:val="auto"/>
        </w:rPr>
        <w:t>：反映以我国政府或海关总署名义，向国际组织的认捐、救灾、馈赠等支出。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十二、外交支出（类）对外合作与交流（款）对外合作活动（项）</w:t>
      </w:r>
      <w:r>
        <w:rPr>
          <w:rFonts w:eastAsia="方正仿宋_GBK" w:hint="eastAsia"/>
          <w:sz w:val="32"/>
          <w:szCs w:val="32"/>
          <w:highlight w:val="auto"/>
        </w:rPr>
        <w:t>：反映海关用于外交目的的对外合作方面支出。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十三、外交支出（类）其他外交支出（款）其他外交支出（项）</w:t>
      </w:r>
      <w:r>
        <w:rPr>
          <w:rFonts w:eastAsia="方正仿宋_GBK" w:hint="eastAsia"/>
          <w:sz w:val="32"/>
          <w:szCs w:val="32"/>
          <w:highlight w:val="auto"/>
        </w:rPr>
        <w:t>：反映除上述项目以外其他用于外交方面的支出。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十四、公共安全支出（类）缉私警察（款）</w:t>
      </w:r>
      <w:r>
        <w:rPr>
          <w:rFonts w:eastAsia="方正仿宋_GBK" w:hint="eastAsia"/>
          <w:sz w:val="32"/>
          <w:szCs w:val="32"/>
          <w:highlight w:val="auto"/>
        </w:rPr>
        <w:t>：反映海关缉私警察的基本支出及完成专项业务工作的项目支出。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十五、教育支出（类）普通教育（款）高等教育（项）</w:t>
      </w:r>
      <w:r>
        <w:rPr>
          <w:rFonts w:eastAsia="方正仿宋_GBK" w:hint="eastAsia"/>
          <w:sz w:val="32"/>
          <w:szCs w:val="32"/>
          <w:highlight w:val="auto"/>
        </w:rPr>
        <w:t>：反映海关所属院校教学等方面的支出。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十六、教育支出（类）进修及培训（款）培训支出（项）</w:t>
      </w:r>
      <w:r>
        <w:rPr>
          <w:rFonts w:eastAsia="方正仿宋_GBK" w:hint="eastAsia"/>
          <w:sz w:val="32"/>
          <w:szCs w:val="32"/>
          <w:highlight w:val="auto"/>
        </w:rPr>
        <w:t>：反映海关安排的用于培训的支出。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十七、社会保障和就业支出（类）行政事业单位养老支出（款）</w:t>
      </w:r>
      <w:r>
        <w:rPr>
          <w:rFonts w:eastAsia="方正仿宋_GBK" w:hint="eastAsia"/>
          <w:sz w:val="32"/>
          <w:szCs w:val="32"/>
          <w:highlight w:val="auto"/>
        </w:rPr>
        <w:t>：反映用于海关行政事业单位离退休方面的支出。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（一）行政单位离退休（项）</w:t>
      </w:r>
      <w:r>
        <w:rPr>
          <w:rFonts w:eastAsia="方正仿宋_GBK" w:hint="eastAsia"/>
          <w:sz w:val="32"/>
          <w:szCs w:val="32"/>
          <w:highlight w:val="auto"/>
        </w:rPr>
        <w:t>：反映海关系统行政单位（包括实行公务员管理的事业单位）开支的离退休支出。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（二）事业单位离退休（项）</w:t>
      </w:r>
      <w:r>
        <w:rPr>
          <w:rFonts w:eastAsia="方正仿宋_GBK" w:hint="eastAsia"/>
          <w:sz w:val="32"/>
          <w:szCs w:val="32"/>
          <w:highlight w:val="auto"/>
        </w:rPr>
        <w:t>：反映海关系统事业单位开支的离退休经费。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（三）离退休人员管理机构（项）</w:t>
      </w:r>
      <w:r>
        <w:rPr>
          <w:rFonts w:eastAsia="方正仿宋_GBK" w:hint="eastAsia"/>
          <w:sz w:val="32"/>
          <w:szCs w:val="32"/>
          <w:highlight w:val="auto"/>
        </w:rPr>
        <w:t>：反映海关系统为离退休人员提供管理服务的离退休管理机构的支出。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（四）机关事业单位基本养老保险缴费支出（项）</w:t>
      </w:r>
      <w:r>
        <w:rPr>
          <w:rFonts w:eastAsia="方正仿宋_GBK" w:hint="eastAsia"/>
          <w:sz w:val="32"/>
          <w:szCs w:val="32"/>
          <w:highlight w:val="auto"/>
        </w:rPr>
        <w:t>：反映已参加当地社保的在职人员的基本养老保险支出。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（五）机关事业单位职业年金缴费支出（项）</w:t>
      </w:r>
      <w:r>
        <w:rPr>
          <w:rFonts w:eastAsia="方正仿宋_GBK" w:hint="eastAsia"/>
          <w:sz w:val="32"/>
          <w:szCs w:val="32"/>
          <w:highlight w:val="auto"/>
        </w:rPr>
        <w:t>：反映已参加当地社保的在职人员的职业年金支出。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十八、住房保障支出（类）住房改革支出（款）</w:t>
      </w:r>
      <w:r>
        <w:rPr>
          <w:rFonts w:eastAsia="方正仿宋_GBK" w:hint="eastAsia"/>
          <w:sz w:val="32"/>
          <w:szCs w:val="32"/>
          <w:highlight w:val="auto"/>
        </w:rPr>
        <w:t>：反映海关系统按照国家政策规定为职工发放的住房公积金、提租补贴和购房补贴等支出。住房改革支出包括三项：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（一）住房公积金（项）</w:t>
      </w:r>
      <w:r>
        <w:rPr>
          <w:rFonts w:eastAsia="方正仿宋_GBK" w:hint="eastAsia"/>
          <w:sz w:val="32"/>
          <w:szCs w:val="32"/>
          <w:highlight w:val="auto"/>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（二）提租补贴（项）</w:t>
      </w:r>
      <w:r>
        <w:rPr>
          <w:rFonts w:eastAsia="方正仿宋_GBK" w:hint="eastAsia"/>
          <w:sz w:val="32"/>
          <w:szCs w:val="32"/>
          <w:highlight w:val="auto"/>
        </w:rPr>
        <w:t>：提租补贴是经国务院批准，于2000年开始针对在京中央单位公有住房租金标准提高发放的补贴，中央在京单位按照在职在编职工人数和离退休人数以及相应职级的补贴标准确定，人均月补贴90元。</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（三）购房补贴（项）</w:t>
      </w:r>
      <w:r>
        <w:rPr>
          <w:rFonts w:eastAsia="方正仿宋_GBK" w:hint="eastAsia"/>
          <w:sz w:val="32"/>
          <w:szCs w:val="32"/>
          <w:highlight w:val="auto"/>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中央行政事业单位从2000年开始发放购房补贴资金，地方行政事业单位从1999年陆续开始发放购房补贴资金，企业根据本单位情况自行确定。在京中央单位按照《中共中央办公厅国务院办公厅转发建设部等单位&lt;关于完善在京中央和国家机关住房制度的若干意见&gt;的通知》（厅字〔2005〕8号）规定的标准执行，京外中央单位按照所在地人民政府住房分配货币化改革的政策规定和标准执行。</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十九、卫生健康支出（类）行政事业单位医疗（款）</w:t>
      </w:r>
      <w:r>
        <w:rPr>
          <w:rFonts w:eastAsia="方正仿宋_GBK" w:hint="eastAsia"/>
          <w:sz w:val="32"/>
          <w:szCs w:val="32"/>
          <w:highlight w:val="auto"/>
        </w:rPr>
        <w:t>：反映已参加当地医保的海关单位用于向地方社保部门缴纳的基本医疗保险和公务员医疗补助支出。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（一）行政单位医疗（项）</w:t>
      </w:r>
      <w:r>
        <w:rPr>
          <w:rFonts w:eastAsia="方正仿宋_GBK" w:hint="eastAsia"/>
          <w:sz w:val="32"/>
          <w:szCs w:val="32"/>
          <w:highlight w:val="auto"/>
        </w:rPr>
        <w:t>：指中央财政集中安排的驻各地海关单位基本医疗保险缴费经费。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（二）公务员医疗补助（项）</w:t>
      </w:r>
      <w:r>
        <w:rPr>
          <w:rFonts w:eastAsia="方正仿宋_GBK" w:hint="eastAsia"/>
          <w:sz w:val="32"/>
          <w:szCs w:val="32"/>
          <w:highlight w:val="auto"/>
        </w:rPr>
        <w:t>：指中央财政集中安排的驻各地海关单位公务员医疗补助经费。</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二十、“三公”经费</w:t>
      </w:r>
      <w:r>
        <w:rPr>
          <w:rFonts w:eastAsia="方正仿宋_GBK" w:hint="eastAsia"/>
          <w:sz w:val="32"/>
          <w:szCs w:val="32"/>
          <w:highlight w:val="auto"/>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hint="eastAsia"/>
          <w:sz w:val="32"/>
          <w:szCs w:val="32"/>
          <w:highlight w:val="auto"/>
        </w:rPr>
      </w:pPr>
      <w:r>
        <w:rPr>
          <w:rFonts w:eastAsia="方正仿宋_GBK" w:hint="eastAsia"/>
          <w:b/>
          <w:bCs/>
          <w:sz w:val="32"/>
          <w:szCs w:val="32"/>
          <w:highlight w:val="auto"/>
        </w:rPr>
        <w:t>二十一、机关运行经费</w:t>
      </w:r>
      <w:r>
        <w:rPr>
          <w:rFonts w:eastAsia="方正仿宋_GBK" w:hint="eastAsia"/>
          <w:sz w:val="32"/>
          <w:szCs w:val="32"/>
          <w:highlight w:val="auto"/>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hint="eastAsia"/>
          <w:sz w:val="32"/>
          <w:szCs w:val="32"/>
          <w:highlight w:val="auto"/>
        </w:rPr>
      </w:pPr>
    </w:p>
    <w:p>
      <w:pPr>
        <w:spacing w:line="560" w:lineRule="exact"/>
        <w:ind w:firstLineChars="200" w:firstLine="640"/>
        <w:rPr>
          <w:sz w:val="32"/>
          <w:highlight w:val="auto"/>
        </w:rPr>
      </w:pPr>
    </w:p>
    <w:p>
      <w:pPr>
        <w:spacing w:line="560" w:lineRule="exact"/>
        <w:ind w:firstLineChars="200" w:firstLine="640"/>
        <w:rPr>
          <w:sz w:val="32"/>
          <w:highlight w:val="auto"/>
        </w:rPr>
      </w:pPr>
    </w:p>
    <w:p>
      <w:pPr>
        <w:rPr>
          <w:rFonts w:hint="eastAsia"/>
          <w:b/>
          <w:sz w:val="84"/>
          <w:szCs w:val="84"/>
          <w:highlight w:val="auto"/>
        </w:rPr>
      </w:pPr>
    </w:p>
    <w:p>
      <w:pPr>
        <w:jc w:val="center"/>
        <w:rPr>
          <w:rFonts w:hint="eastAsia"/>
          <w:b/>
          <w:sz w:val="84"/>
          <w:szCs w:val="84"/>
          <w:highlight w:val="auto"/>
        </w:rPr>
      </w:pPr>
    </w:p>
    <w:p>
      <w:pPr>
        <w:jc w:val="center"/>
        <w:rPr>
          <w:rFonts w:hint="eastAsia"/>
          <w:b/>
          <w:sz w:val="84"/>
          <w:szCs w:val="84"/>
          <w:highlight w:val="auto"/>
        </w:rPr>
      </w:pPr>
    </w:p>
    <w:p>
      <w:pPr>
        <w:jc w:val="center"/>
        <w:rPr>
          <w:rFonts w:hint="eastAsia"/>
          <w:b/>
          <w:sz w:val="84"/>
          <w:szCs w:val="84"/>
          <w:highlight w:val="auto"/>
        </w:rPr>
      </w:pPr>
    </w:p>
    <w:p>
      <w:pPr>
        <w:rPr>
          <w:rFonts w:hint="eastAsia"/>
          <w:b/>
          <w:sz w:val="84"/>
          <w:szCs w:val="84"/>
          <w:highlight w:val="auto"/>
        </w:rPr>
      </w:pPr>
      <w:r>
        <w:rPr>
          <w:b/>
          <w:sz w:val="84"/>
          <w:szCs w:val="84"/>
          <w:highlight w:val="auto"/>
        </w:rPr>
        <w:t xml:space="preserve"> </w:t>
      </w:r>
    </w:p>
    <w:p>
      <w:pPr>
        <w:jc w:val="center"/>
        <w:rPr>
          <w:rFonts w:hint="eastAsia"/>
          <w:b/>
          <w:sz w:val="84"/>
          <w:szCs w:val="84"/>
          <w:highlight w:val="auto"/>
        </w:rPr>
      </w:pPr>
      <w:r>
        <w:rPr>
          <w:rFonts w:hint="eastAsia"/>
          <w:b/>
          <w:sz w:val="84"/>
          <w:szCs w:val="84"/>
          <w:highlight w:val="auto"/>
        </w:rPr>
        <w:t>第五部分</w:t>
      </w:r>
    </w:p>
    <w:p>
      <w:pPr>
        <w:jc w:val="center"/>
        <w:rPr>
          <w:b/>
          <w:sz w:val="84"/>
          <w:szCs w:val="84"/>
          <w:highlight w:val="auto"/>
        </w:rPr>
      </w:pPr>
      <w:r>
        <w:rPr>
          <w:rFonts w:hint="eastAsia"/>
          <w:b/>
          <w:sz w:val="84"/>
          <w:szCs w:val="84"/>
          <w:highlight w:val="auto"/>
        </w:rPr>
        <w:t>附件</w:t>
      </w:r>
    </w:p>
    <w:p>
      <w:pPr>
        <w:rPr>
          <w:b/>
          <w:sz w:val="84"/>
          <w:szCs w:val="84"/>
          <w:highlight w:val="auto"/>
        </w:rPr>
      </w:pPr>
    </w:p>
    <w:p>
      <w:pPr>
        <w:rPr>
          <w:rFonts w:hint="eastAsia"/>
          <w:b/>
          <w:sz w:val="84"/>
          <w:szCs w:val="84"/>
          <w:highlight w:val="auto"/>
        </w:rPr>
      </w:pPr>
    </w:p>
    <w:p>
      <w:pPr>
        <w:rPr>
          <w:rFonts w:hint="eastAsia"/>
          <w:b/>
          <w:sz w:val="84"/>
          <w:szCs w:val="84"/>
          <w:highlight w:val="auto"/>
        </w:rPr>
      </w:pPr>
    </w:p>
    <w:p>
      <w:pPr>
        <w:rPr>
          <w:b/>
          <w:sz w:val="84"/>
          <w:szCs w:val="84"/>
          <w:highlight w:val="auto"/>
        </w:rPr>
      </w:pPr>
    </w:p>
    <w:p>
      <w:pPr>
        <w:rPr>
          <w:b/>
          <w:sz w:val="84"/>
          <w:szCs w:val="84"/>
          <w:highlight w:val="auto"/>
        </w:rPr>
      </w:pPr>
    </w:p>
    <w:p>
      <w:pPr>
        <w:rPr>
          <w:rFonts w:hint="eastAsia"/>
          <w:b/>
          <w:sz w:val="84"/>
          <w:szCs w:val="84"/>
          <w:highlight w:val="auto"/>
        </w:rPr>
      </w:pPr>
    </w:p>
    <w:tbl>
      <w:tblPr>
        <w:jc w:val="left"/>
        <w:tblInd w:w="-588" w:type="dxa"/>
        <w:tblW w:w="1102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002"/>
      </w:tblGrid>
      <w:tr>
        <w:trPr>
          <w:trHeight w:val="704"/>
        </w:trPr>
        <w:tc>
          <w:tcPr>
            <w:tcW w:w="11022" w:type="dxa"/>
            <w:gridSpan w:val="7"/>
            <w:tcBorders>
              <w:top w:val="nil"/>
              <w:left w:val="nil"/>
              <w:bottom w:val="nil"/>
              <w:right w:val="nil"/>
              <w:tl2br w:val="nil"/>
              <w:tr2bl w:val="nil"/>
            </w:tcBorders>
            <w:noWrap/>
            <w:vAlign w:val="center"/>
          </w:tcPr>
          <w:p>
            <w:pPr>
              <w:jc w:val="center"/>
              <w:rPr>
                <w:rFonts w:ascii="黑体" w:eastAsia="黑体" w:cs="Times New Roman"/>
                <w:sz w:val="32"/>
              </w:rPr>
            </w:pPr>
            <w:r>
              <w:rPr>
                <w:rFonts w:ascii="黑体" w:eastAsia="黑体" w:cs="Times New Roman"/>
                <w:sz w:val="32"/>
              </w:rPr>
              <w:t>进出口商品质量安全检验监管专项项目绩效目标表</w:t>
            </w:r>
          </w:p>
        </w:tc>
      </w:tr>
      <w:tr>
        <w:trPr>
          <w:trHeight w:val="494"/>
        </w:trPr>
        <w:tc>
          <w:tcPr>
            <w:tcW w:w="11022" w:type="dxa"/>
            <w:gridSpan w:val="7"/>
            <w:tcBorders>
              <w:top w:val="nil"/>
              <w:left w:val="nil"/>
              <w:bottom w:val="nil"/>
              <w:right w:val="nil"/>
              <w:tl2br w:val="nil"/>
              <w:tr2bl w:val="nil"/>
            </w:tcBorders>
            <w:noWrap/>
          </w:tcPr>
          <w:p>
            <w:pPr>
              <w:jc w:val="center"/>
              <w:rPr>
                <w:rFonts w:ascii="宋体" w:eastAsia="宋体" w:cs="Times New Roman"/>
                <w:sz w:val="24"/>
              </w:rPr>
            </w:pPr>
            <w:r>
              <w:rPr>
                <w:rFonts w:ascii="宋体" w:eastAsia="宋体" w:cs="Times New Roman"/>
                <w:sz w:val="24"/>
              </w:rPr>
              <w:t>（2026年度）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项目名称</w:t>
            </w:r>
          </w:p>
        </w:tc>
        <w:tc>
          <w:tcPr>
            <w:tcW w:w="904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进出口商品质量安全检验监管专项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实施单位</w:t>
            </w:r>
          </w:p>
        </w:tc>
        <w:tc>
          <w:tcPr>
            <w:tcW w:w="33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中华人民共和国集宁海关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项目资金</w:t>
            </w:r>
          </w:p>
          <w:p>
            <w:pPr>
              <w:jc w:val="center"/>
              <w:rPr>
                <w:rFonts w:ascii="宋体" w:eastAsia="宋体" w:cs="Times New Roman"/>
                <w:sz w:val="22"/>
              </w:rPr>
            </w:pPr>
            <w:r>
              <w:rPr>
                <w:rFonts w:ascii="宋体" w:eastAsia="宋体" w:cs="Times New Roman"/>
                <w:sz w:val="22"/>
              </w:rPr>
              <w:t>（万元）</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 xml:space="preserve"> 年度资金总额：</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5.60</w:t>
            </w:r>
          </w:p>
        </w:tc>
        <w:tc>
          <w:tcPr>
            <w:tcW w:w="1002"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Times New Roman"/>
                <w:sz w:val="22"/>
              </w:rPr>
            </w:pPr>
            <w:r>
              <w:rPr>
                <w:rFonts w:ascii="宋体" w:eastAsia="宋体" w:cs="Times New Roman"/>
                <w:sz w:val="22"/>
              </w:rPr>
              <w:t>执行率</w:t>
            </w:r>
          </w:p>
          <w:p>
            <w:pPr>
              <w:jc w:val="center"/>
              <w:rPr>
                <w:rFonts w:ascii="宋体" w:eastAsia="宋体" w:cs="Times New Roman"/>
                <w:sz w:val="22"/>
              </w:rPr>
            </w:pPr>
            <w:r>
              <w:rPr>
                <w:rFonts w:ascii="宋体" w:eastAsia="宋体" w:cs="Times New Roman"/>
                <w:sz w:val="22"/>
              </w:rPr>
              <w:t>分值（10）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其中：财政拨款</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5.60</w:t>
            </w:r>
          </w:p>
        </w:tc>
        <w:tc>
          <w:tcPr>
            <w:tcW w:w="1002"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上年结转</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tcW w:w="1002"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其他资金</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tcW w:w="1002"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年</w:t>
            </w:r>
          </w:p>
          <w:p>
            <w:pPr>
              <w:jc w:val="center"/>
              <w:rPr>
                <w:rFonts w:ascii="宋体" w:eastAsia="宋体" w:cs="Times New Roman"/>
                <w:sz w:val="22"/>
              </w:rPr>
            </w:pPr>
            <w:r>
              <w:rPr>
                <w:rFonts w:ascii="宋体" w:eastAsia="宋体" w:cs="Times New Roman"/>
                <w:sz w:val="22"/>
              </w:rPr>
              <w:t>度</w:t>
            </w:r>
          </w:p>
          <w:p>
            <w:pPr>
              <w:jc w:val="center"/>
              <w:rPr>
                <w:rFonts w:ascii="宋体" w:eastAsia="宋体" w:cs="Times New Roman"/>
                <w:sz w:val="22"/>
              </w:rPr>
            </w:pPr>
            <w:r>
              <w:rPr>
                <w:rFonts w:ascii="宋体" w:eastAsia="宋体" w:cs="Times New Roman"/>
                <w:sz w:val="22"/>
              </w:rPr>
              <w:t>总</w:t>
            </w:r>
          </w:p>
          <w:p>
            <w:pPr>
              <w:jc w:val="center"/>
              <w:rPr>
                <w:rFonts w:ascii="宋体" w:eastAsia="宋体" w:cs="Times New Roman"/>
                <w:sz w:val="22"/>
              </w:rPr>
            </w:pPr>
            <w:r>
              <w:rPr>
                <w:rFonts w:ascii="宋体" w:eastAsia="宋体" w:cs="Times New Roman"/>
                <w:sz w:val="22"/>
              </w:rPr>
              <w:t>体</w:t>
            </w:r>
          </w:p>
          <w:p>
            <w:pPr>
              <w:jc w:val="center"/>
              <w:rPr>
                <w:rFonts w:ascii="宋体" w:eastAsia="宋体" w:cs="Times New Roman"/>
                <w:sz w:val="22"/>
              </w:rPr>
            </w:pPr>
            <w:r>
              <w:rPr>
                <w:rFonts w:ascii="宋体" w:eastAsia="宋体" w:cs="Times New Roman"/>
                <w:sz w:val="22"/>
              </w:rPr>
              <w:t>目</w:t>
            </w:r>
          </w:p>
          <w:p>
            <w:pPr>
              <w:jc w:val="center"/>
              <w:rPr>
                <w:rFonts w:ascii="宋体" w:eastAsia="宋体" w:cs="Times New Roman"/>
                <w:sz w:val="22"/>
              </w:rPr>
            </w:pPr>
            <w:r>
              <w:rPr>
                <w:rFonts w:ascii="宋体" w:eastAsia="宋体" w:cs="Times New Roman"/>
                <w:sz w:val="22"/>
              </w:rPr>
              <w:t>标</w:t>
            </w:r>
          </w:p>
        </w:tc>
        <w:tc>
          <w:tcPr>
            <w:tcW w:w="1039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Times New Roman"/>
                <w:sz w:val="22"/>
              </w:rPr>
            </w:pPr>
            <w:r>
              <w:rPr>
                <w:rFonts w:ascii="宋体" w:eastAsia="宋体" w:cs="Times New Roman"/>
                <w:sz w:val="22"/>
              </w:rPr>
              <w:t>依据《中华人民共和国进出口商品检验法》及其实施条例等法律法规，保障海关履行进出口商品检验监管职能，完善进出口商品质量安全监管制度和做好进出口商品检验监管工作，着力提升进口商品质量安全保障水平和出口商品质量竞争水平，服务地方经济发展。</w:t>
              <w:tab/>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绩</w:t>
            </w:r>
          </w:p>
          <w:p>
            <w:pPr>
              <w:jc w:val="center"/>
              <w:rPr>
                <w:rFonts w:ascii="宋体" w:eastAsia="宋体" w:cs="Times New Roman"/>
                <w:sz w:val="22"/>
              </w:rPr>
            </w:pPr>
            <w:r>
              <w:rPr>
                <w:rFonts w:ascii="宋体" w:eastAsia="宋体" w:cs="Times New Roman"/>
                <w:sz w:val="22"/>
              </w:rPr>
              <w:t>效</w:t>
            </w:r>
          </w:p>
          <w:p>
            <w:pPr>
              <w:jc w:val="center"/>
              <w:rPr>
                <w:rFonts w:ascii="宋体" w:eastAsia="宋体" w:cs="Times New Roman"/>
                <w:sz w:val="22"/>
              </w:rPr>
            </w:pPr>
            <w:r>
              <w:rPr>
                <w:rFonts w:ascii="宋体" w:eastAsia="宋体" w:cs="Times New Roman"/>
                <w:sz w:val="22"/>
              </w:rPr>
              <w:t>指</w:t>
            </w:r>
          </w:p>
          <w:p>
            <w:pPr>
              <w:jc w:val="center"/>
              <w:rPr>
                <w:rFonts w:ascii="宋体" w:eastAsia="宋体" w:cs="Times New Roman"/>
                <w:sz w:val="22"/>
              </w:rPr>
            </w:pPr>
            <w:r>
              <w:rPr>
                <w:rFonts w:ascii="宋体" w:eastAsia="宋体" w:cs="Times New Roman"/>
                <w:sz w:val="22"/>
              </w:rPr>
              <w:t>标</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一级</w:t>
            </w:r>
          </w:p>
          <w:p>
            <w:pPr>
              <w:jc w:val="center"/>
              <w:rPr>
                <w:rFonts w:ascii="宋体" w:eastAsia="宋体" w:cs="Times New Roman"/>
                <w:sz w:val="22"/>
              </w:rPr>
            </w:pPr>
            <w:r>
              <w:rPr>
                <w:rFonts w:ascii="宋体" w:eastAsia="宋体" w:cs="Times New Roman"/>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二级指标</w:t>
            </w:r>
          </w:p>
        </w:tc>
        <w:tc>
          <w:tcPr>
            <w:tcW w:w="342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指标值</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分值</w:t>
            </w:r>
          </w:p>
          <w:p>
            <w:pPr>
              <w:jc w:val="center"/>
              <w:rPr>
                <w:rFonts w:ascii="宋体" w:eastAsia="宋体" w:cs="Times New Roman"/>
                <w:sz w:val="22"/>
              </w:rPr>
            </w:pPr>
            <w:r>
              <w:rPr>
                <w:rFonts w:ascii="宋体" w:eastAsia="宋体" w:cs="Times New Roman"/>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产出指标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数量指标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szCs w:val="22"/>
              </w:rPr>
            </w:pPr>
            <w:r>
              <w:rPr>
                <w:rFonts w:ascii="宋体" w:eastAsia="宋体" w:cs="宋体"/>
                <w:sz w:val="22"/>
                <w:szCs w:val="22"/>
              </w:rPr>
              <w:t>参加商检培训次数</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≥1次</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30</w:t>
            </w:r>
          </w:p>
        </w:tc>
      </w:tr>
      <w:tr>
        <w:trPr>
          <w:trHeight w:val="433"/>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质量指标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执法人员执法规范性</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≥90%</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社会效益指标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szCs w:val="22"/>
              </w:rPr>
            </w:pPr>
            <w:r>
              <w:rPr>
                <w:rFonts w:ascii="宋体" w:eastAsia="宋体" w:cs="宋体"/>
                <w:sz w:val="22"/>
                <w:szCs w:val="22"/>
              </w:rPr>
              <w:t>不发生因海关检验原因导致的进出口危化品重大质量安全事故</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≤2次</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30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满意度指标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服务对象满意度指标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服务企业满意度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bl>
    <w:p>
      <w:pPr>
        <w:rPr>
          <w:b/>
          <w:sz w:val="40"/>
          <w:szCs w:val="40"/>
          <w:highlight w:val="auto"/>
        </w:rPr>
      </w:pPr>
    </w:p>
    <w:p>
      <w:pPr>
        <w:rPr>
          <w:b/>
          <w:sz w:val="40"/>
          <w:szCs w:val="40"/>
          <w:highlight w:val="auto"/>
        </w:rPr>
      </w:pPr>
    </w:p>
    <w:p>
      <w:pPr>
        <w:rPr>
          <w:b/>
          <w:sz w:val="40"/>
          <w:szCs w:val="40"/>
          <w:highlight w:val="auto"/>
        </w:rPr>
      </w:pPr>
    </w:p>
    <w:p>
      <w:pPr>
        <w:rPr>
          <w:b/>
          <w:sz w:val="40"/>
          <w:szCs w:val="40"/>
          <w:highlight w:val="auto"/>
        </w:rPr>
      </w:pPr>
    </w:p>
    <w:p>
      <w:pPr>
        <w:rPr>
          <w:b/>
          <w:sz w:val="40"/>
          <w:szCs w:val="40"/>
          <w:highlight w:val="auto"/>
        </w:rPr>
      </w:pPr>
    </w:p>
    <w:tbl>
      <w:tblPr>
        <w:jc w:val="left"/>
        <w:tblInd w:w="-588" w:type="dxa"/>
        <w:tblW w:w="1102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002"/>
      </w:tblGrid>
      <w:tr>
        <w:trPr>
          <w:trHeight w:val="704"/>
        </w:trPr>
        <w:tc>
          <w:tcPr>
            <w:tcW w:w="11022" w:type="dxa"/>
            <w:gridSpan w:val="7"/>
            <w:tcBorders>
              <w:top w:val="nil"/>
              <w:left w:val="nil"/>
              <w:bottom w:val="nil"/>
              <w:right w:val="nil"/>
              <w:tl2br w:val="nil"/>
              <w:tr2bl w:val="nil"/>
            </w:tcBorders>
            <w:noWrap/>
            <w:vAlign w:val="center"/>
          </w:tcPr>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r>
              <w:rPr>
                <w:rFonts w:ascii="黑体" w:eastAsia="黑体" w:cs="Times New Roman"/>
                <w:sz w:val="32"/>
              </w:rPr>
              <w:t>国门生物安全专项项目绩效目标表</w:t>
            </w:r>
          </w:p>
        </w:tc>
      </w:tr>
      <w:tr>
        <w:trPr>
          <w:trHeight w:val="494"/>
        </w:trPr>
        <w:tc>
          <w:tcPr>
            <w:tcW w:w="11022" w:type="dxa"/>
            <w:gridSpan w:val="7"/>
            <w:tcBorders>
              <w:top w:val="nil"/>
              <w:left w:val="nil"/>
              <w:bottom w:val="nil"/>
              <w:right w:val="nil"/>
              <w:tl2br w:val="nil"/>
              <w:tr2bl w:val="nil"/>
            </w:tcBorders>
            <w:noWrap/>
          </w:tcPr>
          <w:p>
            <w:pPr>
              <w:jc w:val="center"/>
              <w:rPr>
                <w:rFonts w:ascii="宋体" w:eastAsia="宋体" w:cs="Times New Roman"/>
                <w:sz w:val="24"/>
              </w:rPr>
            </w:pPr>
            <w:r>
              <w:rPr>
                <w:rFonts w:ascii="宋体" w:eastAsia="宋体" w:cs="Times New Roman"/>
                <w:sz w:val="24"/>
              </w:rPr>
              <w:t>（2026年度）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项目名称</w:t>
            </w:r>
          </w:p>
        </w:tc>
        <w:tc>
          <w:tcPr>
            <w:tcW w:w="904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国门生物安全专项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实施单位</w:t>
            </w:r>
          </w:p>
        </w:tc>
        <w:tc>
          <w:tcPr>
            <w:tcW w:w="33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中华人民共和国集宁海关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项目资金</w:t>
            </w:r>
          </w:p>
          <w:p>
            <w:pPr>
              <w:jc w:val="center"/>
              <w:rPr>
                <w:rFonts w:ascii="宋体" w:eastAsia="宋体" w:cs="Times New Roman"/>
                <w:sz w:val="22"/>
              </w:rPr>
            </w:pPr>
            <w:r>
              <w:rPr>
                <w:rFonts w:ascii="宋体" w:eastAsia="宋体" w:cs="Times New Roman"/>
                <w:sz w:val="22"/>
              </w:rPr>
              <w:t>（万元）</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 xml:space="preserve"> 年度资金总额：</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1.00</w:t>
            </w:r>
          </w:p>
        </w:tc>
        <w:tc>
          <w:tcPr>
            <w:tcW w:w="1002"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Times New Roman"/>
                <w:sz w:val="22"/>
              </w:rPr>
            </w:pPr>
            <w:r>
              <w:rPr>
                <w:rFonts w:ascii="宋体" w:eastAsia="宋体" w:cs="Times New Roman"/>
                <w:sz w:val="22"/>
              </w:rPr>
              <w:t>执行率</w:t>
            </w:r>
          </w:p>
          <w:p>
            <w:pPr>
              <w:jc w:val="center"/>
              <w:rPr>
                <w:rFonts w:ascii="宋体" w:eastAsia="宋体" w:cs="Times New Roman"/>
                <w:sz w:val="22"/>
              </w:rPr>
            </w:pPr>
            <w:r>
              <w:rPr>
                <w:rFonts w:ascii="宋体" w:eastAsia="宋体" w:cs="Times New Roman"/>
                <w:sz w:val="22"/>
              </w:rPr>
              <w:t>分值（10）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其中：财政拨款</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1.00</w:t>
            </w:r>
          </w:p>
        </w:tc>
        <w:tc>
          <w:tcPr>
            <w:tcW w:w="1002"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上年结转</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ind w:left="-1076" w:firstLine="27"/>
              <w:jc w:val="right"/>
              <w:rPr>
                <w:rFonts w:ascii="宋体" w:eastAsia="宋体" w:cs="Times New Roman"/>
                <w:sz w:val="22"/>
              </w:rPr>
            </w:pPr>
            <w:r>
              <w:rPr>
                <w:rFonts w:ascii="宋体" w:eastAsia="宋体" w:cs="Times New Roman"/>
                <w:sz w:val="22"/>
              </w:rPr>
              <w:t>-</w:t>
            </w:r>
          </w:p>
        </w:tc>
        <w:tc>
          <w:tcPr>
            <w:tcW w:w="1002"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其他资金</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tcW w:w="1002"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年</w:t>
            </w:r>
          </w:p>
          <w:p>
            <w:pPr>
              <w:jc w:val="center"/>
              <w:rPr>
                <w:rFonts w:ascii="宋体" w:eastAsia="宋体" w:cs="Times New Roman"/>
                <w:sz w:val="22"/>
              </w:rPr>
            </w:pPr>
            <w:r>
              <w:rPr>
                <w:rFonts w:ascii="宋体" w:eastAsia="宋体" w:cs="Times New Roman"/>
                <w:sz w:val="22"/>
              </w:rPr>
              <w:t>度</w:t>
            </w:r>
          </w:p>
          <w:p>
            <w:pPr>
              <w:jc w:val="center"/>
              <w:rPr>
                <w:rFonts w:ascii="宋体" w:eastAsia="宋体" w:cs="Times New Roman"/>
                <w:sz w:val="22"/>
              </w:rPr>
            </w:pPr>
            <w:r>
              <w:rPr>
                <w:rFonts w:ascii="宋体" w:eastAsia="宋体" w:cs="Times New Roman"/>
                <w:sz w:val="22"/>
              </w:rPr>
              <w:t>总</w:t>
            </w:r>
          </w:p>
          <w:p>
            <w:pPr>
              <w:jc w:val="center"/>
              <w:rPr>
                <w:rFonts w:ascii="宋体" w:eastAsia="宋体" w:cs="Times New Roman"/>
                <w:sz w:val="22"/>
              </w:rPr>
            </w:pPr>
            <w:r>
              <w:rPr>
                <w:rFonts w:ascii="宋体" w:eastAsia="宋体" w:cs="Times New Roman"/>
                <w:sz w:val="22"/>
              </w:rPr>
              <w:t>体</w:t>
            </w:r>
          </w:p>
          <w:p>
            <w:pPr>
              <w:jc w:val="center"/>
              <w:rPr>
                <w:rFonts w:ascii="宋体" w:eastAsia="宋体" w:cs="Times New Roman"/>
                <w:sz w:val="22"/>
              </w:rPr>
            </w:pPr>
            <w:r>
              <w:rPr>
                <w:rFonts w:ascii="宋体" w:eastAsia="宋体" w:cs="Times New Roman"/>
                <w:sz w:val="22"/>
              </w:rPr>
              <w:t>目</w:t>
            </w:r>
          </w:p>
          <w:p>
            <w:pPr>
              <w:jc w:val="center"/>
              <w:rPr>
                <w:rFonts w:ascii="宋体" w:eastAsia="宋体" w:cs="Times New Roman"/>
                <w:sz w:val="22"/>
              </w:rPr>
            </w:pPr>
            <w:r>
              <w:rPr>
                <w:rFonts w:ascii="宋体" w:eastAsia="宋体" w:cs="Times New Roman"/>
                <w:sz w:val="22"/>
              </w:rPr>
              <w:t>标</w:t>
            </w:r>
          </w:p>
        </w:tc>
        <w:tc>
          <w:tcPr>
            <w:tcW w:w="1039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Times New Roman"/>
                <w:sz w:val="22"/>
              </w:rPr>
            </w:pPr>
            <w:r>
              <w:rPr>
                <w:rFonts w:ascii="宋体" w:eastAsia="宋体" w:cs="Times New Roman"/>
                <w:sz w:val="22"/>
              </w:rPr>
              <w:t>目标1．进一步夯实国门生物安全保障能力基础。</w:t>
            </w:r>
          </w:p>
          <w:p>
            <w:pPr>
              <w:rPr>
                <w:rFonts w:ascii="宋体" w:eastAsia="宋体" w:cs="Times New Roman"/>
                <w:sz w:val="22"/>
              </w:rPr>
            </w:pPr>
            <w:r>
              <w:rPr>
                <w:rFonts w:ascii="宋体" w:eastAsia="宋体" w:cs="Times New Roman"/>
                <w:sz w:val="22"/>
              </w:rPr>
              <w:t>目标2．完成年度进出境动植物检验检疫常规工作任务，稳步推进各项业务。</w:t>
              <w:tab/>
              <w:tab/>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绩</w:t>
            </w:r>
          </w:p>
          <w:p>
            <w:pPr>
              <w:jc w:val="center"/>
              <w:rPr>
                <w:rFonts w:ascii="宋体" w:eastAsia="宋体" w:cs="Times New Roman"/>
                <w:sz w:val="22"/>
              </w:rPr>
            </w:pPr>
            <w:r>
              <w:rPr>
                <w:rFonts w:ascii="宋体" w:eastAsia="宋体" w:cs="Times New Roman"/>
                <w:sz w:val="22"/>
              </w:rPr>
              <w:t>效</w:t>
            </w:r>
          </w:p>
          <w:p>
            <w:pPr>
              <w:jc w:val="center"/>
              <w:rPr>
                <w:rFonts w:ascii="宋体" w:eastAsia="宋体" w:cs="Times New Roman"/>
                <w:sz w:val="22"/>
              </w:rPr>
            </w:pPr>
            <w:r>
              <w:rPr>
                <w:rFonts w:ascii="宋体" w:eastAsia="宋体" w:cs="Times New Roman"/>
                <w:sz w:val="22"/>
              </w:rPr>
              <w:t>指</w:t>
            </w:r>
          </w:p>
          <w:p>
            <w:pPr>
              <w:jc w:val="center"/>
              <w:rPr>
                <w:rFonts w:ascii="宋体" w:eastAsia="宋体" w:cs="Times New Roman"/>
                <w:sz w:val="22"/>
              </w:rPr>
            </w:pPr>
            <w:r>
              <w:rPr>
                <w:rFonts w:ascii="宋体" w:eastAsia="宋体" w:cs="Times New Roman"/>
                <w:sz w:val="22"/>
              </w:rPr>
              <w:t>标</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一级</w:t>
            </w:r>
          </w:p>
          <w:p>
            <w:pPr>
              <w:jc w:val="center"/>
              <w:rPr>
                <w:rFonts w:ascii="宋体" w:eastAsia="宋体" w:cs="Times New Roman"/>
                <w:sz w:val="22"/>
              </w:rPr>
            </w:pPr>
            <w:r>
              <w:rPr>
                <w:rFonts w:ascii="宋体" w:eastAsia="宋体" w:cs="Times New Roman"/>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二级指标</w:t>
            </w:r>
          </w:p>
        </w:tc>
        <w:tc>
          <w:tcPr>
            <w:tcW w:w="342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指标值</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分值</w:t>
            </w:r>
          </w:p>
          <w:p>
            <w:pPr>
              <w:jc w:val="center"/>
              <w:rPr>
                <w:rFonts w:ascii="宋体" w:eastAsia="宋体" w:cs="Times New Roman"/>
                <w:sz w:val="22"/>
              </w:rPr>
            </w:pPr>
            <w:r>
              <w:rPr>
                <w:rFonts w:ascii="宋体" w:eastAsia="宋体" w:cs="Times New Roman"/>
                <w:sz w:val="22"/>
              </w:rPr>
              <w:t>（90）</w:t>
            </w:r>
          </w:p>
        </w:tc>
      </w:tr>
      <w:tr>
        <w:trPr>
          <w:trHeight w:val="433"/>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数量指标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宋体"/>
                <w:sz w:val="22"/>
                <w:szCs w:val="22"/>
              </w:rPr>
            </w:pPr>
            <w:r>
              <w:rPr>
                <w:rFonts w:ascii="宋体" w:eastAsia="宋体" w:cs="宋体"/>
                <w:sz w:val="22"/>
                <w:szCs w:val="22"/>
              </w:rPr>
              <w:t>制作国门生物安全宣传横幅数量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≥2条</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产出指标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数量指标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szCs w:val="22"/>
              </w:rPr>
            </w:pPr>
            <w:r>
              <w:rPr>
                <w:rFonts w:ascii="宋体" w:eastAsia="宋体" w:cs="宋体"/>
                <w:sz w:val="22"/>
                <w:szCs w:val="22"/>
              </w:rPr>
              <w:t>开展国门生物安全培训或宣传次数</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≥3次/季度</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pPr>
            <w:r>
              <w:rPr>
                <w:rFonts w:ascii="宋体" w:eastAsia="宋体" w:cs="Times New Roman"/>
                <w:sz w:val="22"/>
              </w:rPr>
              <w:t>质量指标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培训合格率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30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经济效益指标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防控进口种畜造成外来动物疫病爆发概率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社会效益指标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重大突发检验检疫问题处理案件处理率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满意度指标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服务对象满意度指标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服务企业满意度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bl>
    <w:p>
      <w:pPr>
        <w:rPr>
          <w:highlight w:val="auto"/>
        </w:rPr>
      </w:pPr>
    </w:p>
    <w:p>
      <w:pPr>
        <w:rPr>
          <w:highlight w:val="auto"/>
        </w:rPr>
      </w:pPr>
    </w:p>
    <w:p>
      <w:pPr>
        <w:rPr>
          <w:highlight w:val="auto"/>
        </w:rPr>
      </w:pPr>
    </w:p>
    <w:p>
      <w:pPr>
        <w:rPr>
          <w:highlight w:val="auto"/>
        </w:rPr>
      </w:pPr>
    </w:p>
    <w:p>
      <w:pPr>
        <w:rPr>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tbl>
      <w:tblPr>
        <w:jc w:val="left"/>
        <w:tblInd w:w="-588" w:type="dxa"/>
        <w:tblW w:w="1102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002"/>
      </w:tblGrid>
      <w:tr>
        <w:trPr>
          <w:trHeight w:val="704"/>
        </w:trPr>
        <w:tc>
          <w:tcPr>
            <w:tcW w:w="11022" w:type="dxa"/>
            <w:gridSpan w:val="7"/>
            <w:tcBorders>
              <w:top w:val="nil"/>
              <w:left w:val="nil"/>
              <w:bottom w:val="nil"/>
              <w:right w:val="nil"/>
              <w:tl2br w:val="nil"/>
              <w:tr2bl w:val="nil"/>
            </w:tcBorders>
            <w:noWrap/>
            <w:vAlign w:val="center"/>
          </w:tcPr>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p>
          <w:p>
            <w:pPr>
              <w:jc w:val="center"/>
              <w:rPr>
                <w:rFonts w:ascii="黑体" w:eastAsia="黑体" w:cs="Times New Roman"/>
                <w:sz w:val="32"/>
              </w:rPr>
            </w:pPr>
            <w:r>
              <w:rPr>
                <w:rFonts w:ascii="黑体" w:eastAsia="黑体" w:cs="Times New Roman"/>
                <w:sz w:val="32"/>
              </w:rPr>
              <w:t>艰苦地区边关综合保障专项项目绩效目标表</w:t>
            </w:r>
          </w:p>
        </w:tc>
      </w:tr>
      <w:tr>
        <w:trPr>
          <w:trHeight w:val="494"/>
        </w:trPr>
        <w:tc>
          <w:tcPr>
            <w:tcW w:w="11022" w:type="dxa"/>
            <w:gridSpan w:val="7"/>
            <w:tcBorders>
              <w:top w:val="nil"/>
              <w:left w:val="nil"/>
              <w:bottom w:val="nil"/>
              <w:right w:val="nil"/>
              <w:tl2br w:val="nil"/>
              <w:tr2bl w:val="nil"/>
            </w:tcBorders>
            <w:noWrap/>
          </w:tcPr>
          <w:p>
            <w:pPr>
              <w:jc w:val="center"/>
              <w:rPr>
                <w:rFonts w:ascii="宋体" w:eastAsia="宋体" w:cs="Times New Roman"/>
                <w:sz w:val="24"/>
              </w:rPr>
            </w:pPr>
            <w:r>
              <w:rPr>
                <w:rFonts w:ascii="宋体" w:eastAsia="宋体" w:cs="Times New Roman"/>
                <w:sz w:val="24"/>
              </w:rPr>
              <w:t>（2026年度）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项目名称</w:t>
            </w:r>
          </w:p>
        </w:tc>
        <w:tc>
          <w:tcPr>
            <w:tcW w:w="904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艰苦地区边关综合保障专项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实施单位</w:t>
            </w:r>
          </w:p>
        </w:tc>
        <w:tc>
          <w:tcPr>
            <w:tcW w:w="33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中华人民共和国集宁海关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项目资金</w:t>
            </w:r>
          </w:p>
          <w:p>
            <w:pPr>
              <w:jc w:val="center"/>
              <w:rPr>
                <w:rFonts w:ascii="宋体" w:eastAsia="宋体" w:cs="Times New Roman"/>
                <w:sz w:val="22"/>
              </w:rPr>
            </w:pPr>
            <w:r>
              <w:rPr>
                <w:rFonts w:ascii="宋体" w:eastAsia="宋体" w:cs="Times New Roman"/>
                <w:sz w:val="22"/>
              </w:rPr>
              <w:t>（万元）</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 xml:space="preserve"> 年度资金总额：</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48.95</w:t>
            </w:r>
          </w:p>
        </w:tc>
        <w:tc>
          <w:tcPr>
            <w:tcW w:w="1002"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jc w:val="center"/>
              <w:rPr>
                <w:rFonts w:ascii="宋体" w:eastAsia="宋体" w:cs="Times New Roman"/>
                <w:sz w:val="22"/>
              </w:rPr>
            </w:pPr>
            <w:r>
              <w:rPr>
                <w:rFonts w:ascii="宋体" w:eastAsia="宋体" w:cs="Times New Roman"/>
                <w:sz w:val="22"/>
              </w:rPr>
              <w:t>执行率</w:t>
            </w:r>
          </w:p>
          <w:p>
            <w:pPr>
              <w:jc w:val="center"/>
              <w:rPr>
                <w:rFonts w:ascii="宋体" w:eastAsia="宋体" w:cs="Times New Roman"/>
                <w:sz w:val="22"/>
              </w:rPr>
            </w:pPr>
            <w:r>
              <w:rPr>
                <w:rFonts w:ascii="宋体" w:eastAsia="宋体" w:cs="Times New Roman"/>
                <w:sz w:val="22"/>
              </w:rPr>
              <w:t>分值（10）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其中：财政拨款</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48.95</w:t>
            </w:r>
          </w:p>
        </w:tc>
        <w:tc>
          <w:tcPr>
            <w:tcW w:w="1002"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上年结转</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tcW w:w="1002"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jc w:val="center"/>
              <w:rPr>
                <w:rFonts w:ascii="宋体" w:eastAsia="宋体" w:cs="Times New Roman"/>
                <w:sz w:val="22"/>
              </w:rPr>
            </w:pPr>
            <w:r>
              <w:rPr>
                <w:rFonts w:ascii="宋体" w:eastAsia="宋体" w:cs="Times New Roman"/>
                <w:sz w:val="22"/>
              </w:rPr>
              <w:t xml:space="preserve">      其他资金</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rFonts w:ascii="宋体" w:eastAsia="宋体" w:cs="Times New Roman"/>
                <w:sz w:val="22"/>
              </w:rPr>
            </w:pPr>
            <w:r>
              <w:rPr>
                <w:rFonts w:ascii="宋体" w:eastAsia="宋体" w:cs="Times New Roman"/>
                <w:sz w:val="22"/>
              </w:rPr>
              <w:t>-</w:t>
            </w:r>
          </w:p>
        </w:tc>
        <w:tc>
          <w:tcPr>
            <w:tcW w:w="1002"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年</w:t>
            </w:r>
          </w:p>
          <w:p>
            <w:pPr>
              <w:jc w:val="center"/>
              <w:rPr>
                <w:rFonts w:ascii="宋体" w:eastAsia="宋体" w:cs="Times New Roman"/>
                <w:sz w:val="22"/>
              </w:rPr>
            </w:pPr>
            <w:r>
              <w:rPr>
                <w:rFonts w:ascii="宋体" w:eastAsia="宋体" w:cs="Times New Roman"/>
                <w:sz w:val="22"/>
              </w:rPr>
              <w:t>度</w:t>
            </w:r>
          </w:p>
          <w:p>
            <w:pPr>
              <w:jc w:val="center"/>
              <w:rPr>
                <w:rFonts w:ascii="宋体" w:eastAsia="宋体" w:cs="Times New Roman"/>
                <w:sz w:val="22"/>
              </w:rPr>
            </w:pPr>
            <w:r>
              <w:rPr>
                <w:rFonts w:ascii="宋体" w:eastAsia="宋体" w:cs="Times New Roman"/>
                <w:sz w:val="22"/>
              </w:rPr>
              <w:t>总</w:t>
            </w:r>
          </w:p>
          <w:p>
            <w:pPr>
              <w:jc w:val="center"/>
              <w:rPr>
                <w:rFonts w:ascii="宋体" w:eastAsia="宋体" w:cs="Times New Roman"/>
                <w:sz w:val="22"/>
              </w:rPr>
            </w:pPr>
            <w:r>
              <w:rPr>
                <w:rFonts w:ascii="宋体" w:eastAsia="宋体" w:cs="Times New Roman"/>
                <w:sz w:val="22"/>
              </w:rPr>
              <w:t>体</w:t>
            </w:r>
          </w:p>
          <w:p>
            <w:pPr>
              <w:jc w:val="center"/>
              <w:rPr>
                <w:rFonts w:ascii="宋体" w:eastAsia="宋体" w:cs="Times New Roman"/>
                <w:sz w:val="22"/>
              </w:rPr>
            </w:pPr>
            <w:r>
              <w:rPr>
                <w:rFonts w:ascii="宋体" w:eastAsia="宋体" w:cs="Times New Roman"/>
                <w:sz w:val="22"/>
              </w:rPr>
              <w:t>目</w:t>
            </w:r>
          </w:p>
          <w:p>
            <w:pPr>
              <w:jc w:val="center"/>
              <w:rPr>
                <w:rFonts w:ascii="宋体" w:eastAsia="宋体" w:cs="Times New Roman"/>
                <w:sz w:val="22"/>
              </w:rPr>
            </w:pPr>
            <w:r>
              <w:rPr>
                <w:rFonts w:ascii="宋体" w:eastAsia="宋体" w:cs="Times New Roman"/>
                <w:sz w:val="22"/>
              </w:rPr>
              <w:t>标</w:t>
            </w:r>
          </w:p>
        </w:tc>
        <w:tc>
          <w:tcPr>
            <w:tcW w:w="1039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rPr>
                <w:rFonts w:ascii="宋体" w:eastAsia="宋体" w:cs="宋体"/>
                <w:sz w:val="22"/>
                <w:szCs w:val="22"/>
              </w:rPr>
            </w:pPr>
            <w:r>
              <w:rPr>
                <w:rFonts w:ascii="宋体" w:eastAsia="宋体" w:cs="宋体"/>
                <w:sz w:val="22"/>
                <w:szCs w:val="22"/>
              </w:rPr>
              <w:t>目标1：改善艰苦地区边关物质文化生活条件，有效保障边关关警员生命健康安全；</w:t>
            </w:r>
          </w:p>
          <w:p>
            <w:pPr>
              <w:rPr>
                <w:rFonts w:ascii="宋体" w:eastAsia="宋体" w:cs="Times New Roman"/>
                <w:sz w:val="22"/>
              </w:rPr>
            </w:pPr>
            <w:r>
              <w:rPr>
                <w:rFonts w:ascii="宋体" w:eastAsia="宋体" w:cs="宋体"/>
                <w:sz w:val="22"/>
                <w:szCs w:val="22"/>
              </w:rPr>
              <w:t>目标2：为艰苦地区边关增补应对高海拔、高纬度、高温、高盐、高湿度、高辐射等各类特殊环境急装备设备购和运维保障，提升艰苦边关保障质量。</w:t>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绩</w:t>
            </w:r>
          </w:p>
          <w:p>
            <w:pPr>
              <w:jc w:val="center"/>
              <w:rPr>
                <w:rFonts w:ascii="宋体" w:eastAsia="宋体" w:cs="Times New Roman"/>
                <w:sz w:val="22"/>
              </w:rPr>
            </w:pPr>
            <w:r>
              <w:rPr>
                <w:rFonts w:ascii="宋体" w:eastAsia="宋体" w:cs="Times New Roman"/>
                <w:sz w:val="22"/>
              </w:rPr>
              <w:t>效</w:t>
            </w:r>
          </w:p>
          <w:p>
            <w:pPr>
              <w:jc w:val="center"/>
              <w:rPr>
                <w:rFonts w:ascii="宋体" w:eastAsia="宋体" w:cs="Times New Roman"/>
                <w:sz w:val="22"/>
              </w:rPr>
            </w:pPr>
            <w:r>
              <w:rPr>
                <w:rFonts w:ascii="宋体" w:eastAsia="宋体" w:cs="Times New Roman"/>
                <w:sz w:val="22"/>
              </w:rPr>
              <w:t>指</w:t>
            </w:r>
          </w:p>
          <w:p>
            <w:pPr>
              <w:jc w:val="center"/>
              <w:rPr>
                <w:rFonts w:ascii="宋体" w:eastAsia="宋体" w:cs="Times New Roman"/>
                <w:sz w:val="22"/>
              </w:rPr>
            </w:pPr>
            <w:r>
              <w:rPr>
                <w:rFonts w:ascii="宋体" w:eastAsia="宋体" w:cs="Times New Roman"/>
                <w:sz w:val="22"/>
              </w:rPr>
              <w:t>标</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一级</w:t>
            </w:r>
          </w:p>
          <w:p>
            <w:pPr>
              <w:jc w:val="center"/>
              <w:rPr>
                <w:rFonts w:ascii="宋体" w:eastAsia="宋体" w:cs="Times New Roman"/>
                <w:sz w:val="22"/>
              </w:rPr>
            </w:pPr>
            <w:r>
              <w:rPr>
                <w:rFonts w:ascii="宋体" w:eastAsia="宋体" w:cs="Times New Roman"/>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二级指标</w:t>
            </w:r>
          </w:p>
        </w:tc>
        <w:tc>
          <w:tcPr>
            <w:tcW w:w="3420" w:type="dxa"/>
            <w:gridSpan w:val="2"/>
            <w:tcBorders>
              <w:top w:val="single" w:sz="6" w:space="0" w:color="auto"/>
              <w:left w:val="nil"/>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指标值</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分值</w:t>
            </w:r>
          </w:p>
          <w:p>
            <w:pPr>
              <w:jc w:val="center"/>
              <w:rPr>
                <w:rFonts w:ascii="宋体" w:eastAsia="宋体" w:cs="Times New Roman"/>
                <w:sz w:val="22"/>
              </w:rPr>
            </w:pPr>
            <w:r>
              <w:rPr>
                <w:rFonts w:ascii="宋体" w:eastAsia="宋体" w:cs="Times New Roman"/>
                <w:sz w:val="22"/>
              </w:rPr>
              <w:t>（90）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成本指标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经济成本指标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个人防护用具、应急药品人均成本</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≤0.1万元/人/年</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w:t>
            </w:r>
          </w:p>
        </w:tc>
      </w:tr>
      <w:tr>
        <w:trPr>
          <w:trHeight w:val="418"/>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产出指标</w:t>
            </w: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数量指标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保障关警员数量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≥20人</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18"/>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运维保障暖心工程数量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≥1个</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03"/>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质量指标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体检覆盖率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03"/>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验收合格率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社会效益指标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保障艰苦边关数量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≥1个</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20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满意度指标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服务对象满意度指标</w:t>
            </w:r>
          </w:p>
        </w:tc>
        <w:tc>
          <w:tcPr>
            <w:tcW w:w="3420" w:type="dxa"/>
            <w:gridSpan w:val="2"/>
            <w:tcBorders>
              <w:top w:val="single" w:sz="6" w:space="0" w:color="auto"/>
              <w:left w:val="nil"/>
              <w:bottom w:val="single" w:sz="6" w:space="0" w:color="auto"/>
              <w:right w:val="nil"/>
              <w:tl2br w:val="nil"/>
              <w:tr2bl w:val="nil"/>
            </w:tcBorders>
            <w:noWrap/>
            <w:vAlign w:val="center"/>
          </w:tcPr>
          <w:p>
            <w:pPr>
              <w:rPr>
                <w:rFonts w:ascii="宋体" w:eastAsia="宋体" w:cs="Times New Roman"/>
                <w:sz w:val="22"/>
              </w:rPr>
            </w:pPr>
            <w:r>
              <w:rPr>
                <w:rFonts w:ascii="宋体" w:eastAsia="宋体" w:cs="Times New Roman"/>
                <w:sz w:val="22"/>
              </w:rPr>
              <w:t>关警员满意度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rFonts w:ascii="宋体" w:eastAsia="宋体" w:cs="Times New Roman"/>
                <w:sz w:val="22"/>
              </w:rPr>
            </w:pPr>
            <w:r>
              <w:rPr>
                <w:rFonts w:ascii="宋体" w:eastAsia="宋体" w:cs="Times New Roman"/>
                <w:sz w:val="22"/>
              </w:rPr>
              <w:t>10</w:t>
            </w:r>
          </w:p>
        </w:tc>
      </w:tr>
    </w:tbl>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rPr>
          <w:highlight w:val="auto"/>
        </w:rPr>
      </w:pPr>
    </w:p>
    <w:p>
      <w:pPr>
        <w:rPr>
          <w:rFonts w:ascii="宋体" w:hint="eastAsia"/>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p>
      <w:pPr>
        <w:rPr>
          <w:rFonts w:ascii="宋体"/>
          <w:sz w:val="18"/>
          <w:szCs w:val="18"/>
          <w:highlight w:val="auto"/>
        </w:rPr>
      </w:pPr>
    </w:p>
    <w:tbl>
      <w:tblPr>
        <w:jc w:val="left"/>
        <w:tblInd w:w="-588" w:type="dxa"/>
        <w:tblW w:w="1102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30"/>
        <w:gridCol w:w="1350"/>
        <w:gridCol w:w="2310"/>
        <w:gridCol w:w="1110"/>
        <w:gridCol w:w="2310"/>
        <w:gridCol w:w="2310"/>
        <w:gridCol w:w="1002"/>
      </w:tblGrid>
      <w:tr>
        <w:trPr>
          <w:trHeight w:val="704"/>
        </w:trPr>
        <w:tc>
          <w:tcPr>
            <w:tcW w:w="11022" w:type="dxa"/>
            <w:gridSpan w:val="7"/>
            <w:tcBorders>
              <w:top w:val="nil"/>
              <w:left w:val="nil"/>
              <w:bottom w:val="nil"/>
              <w:right w:val="nil"/>
              <w:tl2br w:val="nil"/>
              <w:tr2bl w:val="nil"/>
            </w:tcBorders>
            <w:noWrap/>
            <w:vAlign w:val="center"/>
          </w:tcPr>
          <w:p>
            <w:pPr>
              <w:pStyle w:val="3425"/>
              <w:jc w:val="center"/>
              <w:rPr>
                <w:rFonts w:ascii="黑体" w:eastAsia="黑体" w:cs="Times New Roman"/>
                <w:sz w:val="32"/>
              </w:rPr>
            </w:pPr>
          </w:p>
          <w:p>
            <w:pPr>
              <w:pStyle w:val="3425"/>
              <w:jc w:val="center"/>
              <w:rPr>
                <w:rFonts w:ascii="黑体" w:eastAsia="黑体" w:cs="Times New Roman"/>
                <w:sz w:val="32"/>
              </w:rPr>
            </w:pPr>
            <w:r>
              <w:rPr>
                <w:rFonts w:ascii="黑体" w:eastAsia="黑体" w:cs="Times New Roman"/>
                <w:sz w:val="32"/>
              </w:rPr>
              <w:t>海关资产及专用设备运行维护费项目绩效目标表</w:t>
            </w:r>
          </w:p>
        </w:tc>
      </w:tr>
      <w:tr>
        <w:trPr>
          <w:trHeight w:val="494"/>
        </w:trPr>
        <w:tc>
          <w:tcPr>
            <w:tcW w:w="11022" w:type="dxa"/>
            <w:gridSpan w:val="7"/>
            <w:tcBorders>
              <w:top w:val="nil"/>
              <w:left w:val="nil"/>
              <w:bottom w:val="nil"/>
              <w:right w:val="nil"/>
              <w:tl2br w:val="nil"/>
              <w:tr2bl w:val="nil"/>
            </w:tcBorders>
            <w:noWrap/>
          </w:tcPr>
          <w:p>
            <w:pPr>
              <w:pStyle w:val="3425"/>
              <w:jc w:val="center"/>
              <w:rPr>
                <w:rFonts w:ascii="宋体" w:eastAsia="宋体" w:cs="Times New Roman"/>
                <w:sz w:val="24"/>
              </w:rPr>
            </w:pPr>
            <w:r>
              <w:rPr>
                <w:rFonts w:ascii="宋体" w:eastAsia="宋体" w:cs="Times New Roman"/>
                <w:sz w:val="24"/>
              </w:rPr>
              <w:t>（2026年度）</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项目名称</w:t>
            </w:r>
          </w:p>
        </w:tc>
        <w:tc>
          <w:tcPr>
            <w:tcW w:w="9042" w:type="dxa"/>
            <w:gridSpan w:val="5"/>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sz w:val="22"/>
              </w:rPr>
              <w:t>海关资产及专用设备运行维护费</w:t>
            </w:r>
          </w:p>
        </w:tc>
      </w:tr>
      <w:tr>
        <w:trPr>
          <w:trHeight w:val="434"/>
        </w:trPr>
        <w:tc>
          <w:tcPr>
            <w:tcW w:w="198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主管部门及代码</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pStyle w:val="3425"/>
              <w:jc w:val="center"/>
              <w:rPr>
                <w:rFonts w:ascii="宋体" w:eastAsia="宋体" w:cs="Times New Roman"/>
                <w:sz w:val="22"/>
              </w:rPr>
            </w:pPr>
            <w:r>
              <w:rPr>
                <w:rFonts w:ascii="宋体" w:eastAsia="宋体" w:cs="Times New Roman"/>
                <w:sz w:val="22"/>
              </w:rPr>
              <w:t>[167]海关总署</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实施单位</w:t>
            </w:r>
          </w:p>
        </w:tc>
        <w:tc>
          <w:tcPr>
            <w:tcW w:w="3312"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中华人民共和国集宁海关</w:t>
            </w:r>
          </w:p>
        </w:tc>
      </w:tr>
      <w:tr>
        <w:trPr>
          <w:trHeight w:val="434"/>
        </w:trPr>
        <w:tc>
          <w:tcPr>
            <w:tcW w:w="1980" w:type="dxa"/>
            <w:gridSpan w:val="2"/>
            <w:vMerge w:val="restart"/>
            <w:tcBorders>
              <w:top w:val="single" w:sz="6" w:space="0" w:color="auto"/>
              <w:left w:val="single" w:sz="6" w:space="0" w:color="auto"/>
              <w:bottom w:val="nil"/>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项目资金</w:t>
            </w:r>
          </w:p>
          <w:p>
            <w:pPr>
              <w:pStyle w:val="3425"/>
              <w:jc w:val="center"/>
              <w:rPr>
                <w:rFonts w:ascii="宋体" w:eastAsia="宋体" w:cs="Times New Roman"/>
                <w:sz w:val="22"/>
              </w:rPr>
            </w:pPr>
            <w:r>
              <w:rPr>
                <w:rFonts w:ascii="宋体" w:eastAsia="宋体" w:cs="Times New Roman"/>
                <w:sz w:val="22"/>
              </w:rPr>
              <w:t>（万元）</w:t>
            </w: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pStyle w:val="3425"/>
              <w:rPr>
                <w:rFonts w:ascii="宋体" w:eastAsia="宋体" w:cs="Times New Roman"/>
                <w:sz w:val="22"/>
              </w:rPr>
            </w:pPr>
            <w:r>
              <w:rPr>
                <w:rFonts w:ascii="宋体" w:eastAsia="宋体" w:cs="Times New Roman"/>
                <w:sz w:val="22"/>
              </w:rPr>
              <w:t xml:space="preserve"> 年度资金总额：</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right"/>
              <w:rPr>
                <w:rFonts w:ascii="宋体" w:eastAsia="宋体" w:cs="Times New Roman"/>
                <w:sz w:val="22"/>
              </w:rPr>
            </w:pPr>
            <w:r>
              <w:rPr>
                <w:rFonts w:ascii="宋体" w:eastAsia="宋体" w:cs="Times New Roman"/>
                <w:sz w:val="22"/>
              </w:rPr>
              <w:t>12.52</w:t>
            </w:r>
          </w:p>
        </w:tc>
        <w:tc>
          <w:tcPr>
            <w:tcW w:w="1002" w:type="dxa"/>
            <w:vMerge w:val="restart"/>
            <w:tcBorders>
              <w:top w:val="single" w:sz="6" w:space="0" w:color="auto"/>
              <w:left w:val="single" w:sz="6" w:space="0" w:color="auto"/>
              <w:bottom w:val="nil"/>
              <w:right w:val="single" w:sz="6" w:space="0" w:color="auto"/>
              <w:tl2br w:val="nil"/>
              <w:tr2bl w:val="nil"/>
            </w:tcBorders>
            <w:shd w:val="clear" w:color="auto" w:fill="FFFFFF"/>
            <w:noWrap/>
            <w:vAlign w:val="center"/>
          </w:tcPr>
          <w:p>
            <w:pPr>
              <w:pStyle w:val="3425"/>
              <w:jc w:val="center"/>
              <w:rPr>
                <w:rFonts w:ascii="宋体" w:eastAsia="宋体" w:cs="Times New Roman"/>
                <w:sz w:val="22"/>
              </w:rPr>
            </w:pPr>
            <w:r>
              <w:rPr>
                <w:rFonts w:ascii="宋体" w:eastAsia="宋体" w:cs="Times New Roman"/>
                <w:sz w:val="22"/>
              </w:rPr>
              <w:t>执行率</w:t>
            </w:r>
          </w:p>
          <w:p>
            <w:pPr>
              <w:pStyle w:val="3425"/>
              <w:jc w:val="center"/>
              <w:rPr>
                <w:rFonts w:ascii="宋体" w:eastAsia="宋体" w:cs="Times New Roman"/>
                <w:sz w:val="22"/>
              </w:rPr>
            </w:pPr>
            <w:r>
              <w:rPr>
                <w:rFonts w:ascii="宋体" w:eastAsia="宋体" w:cs="Times New Roman"/>
                <w:sz w:val="22"/>
              </w:rPr>
              <w:t>分值（10）</w:t>
            </w: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pStyle w:val="3425"/>
              <w:jc w:val="center"/>
              <w:rPr>
                <w:rFonts w:ascii="宋体" w:eastAsia="宋体" w:cs="Times New Roman"/>
                <w:sz w:val="22"/>
              </w:rPr>
            </w:pPr>
            <w:r>
              <w:rPr>
                <w:rFonts w:ascii="宋体" w:eastAsia="宋体" w:cs="Times New Roman"/>
                <w:sz w:val="22"/>
              </w:rPr>
              <w:t>其中：财政拨款</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right"/>
              <w:rPr>
                <w:rFonts w:ascii="宋体" w:eastAsia="宋体" w:cs="Times New Roman"/>
                <w:sz w:val="22"/>
              </w:rPr>
            </w:pPr>
            <w:r>
              <w:rPr>
                <w:rFonts w:ascii="宋体" w:eastAsia="宋体" w:cs="Times New Roman"/>
                <w:sz w:val="22"/>
              </w:rPr>
              <w:t>12.52</w:t>
            </w:r>
          </w:p>
        </w:tc>
        <w:tc>
          <w:tcPr>
            <w:tcW w:w="1002"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nil"/>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pStyle w:val="3425"/>
              <w:jc w:val="center"/>
              <w:rPr>
                <w:rFonts w:ascii="宋体" w:eastAsia="宋体" w:cs="Times New Roman"/>
                <w:sz w:val="22"/>
              </w:rPr>
            </w:pPr>
            <w:r>
              <w:rPr>
                <w:rFonts w:ascii="宋体" w:eastAsia="宋体" w:cs="Times New Roman"/>
                <w:sz w:val="22"/>
              </w:rPr>
              <w:t xml:space="preserve">     上年结转</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3425"/>
              <w:ind w:left="-1076" w:firstLine="27"/>
              <w:jc w:val="right"/>
              <w:rPr>
                <w:rFonts w:ascii="宋体" w:eastAsia="宋体" w:cs="Times New Roman"/>
                <w:sz w:val="22"/>
              </w:rPr>
            </w:pPr>
            <w:r>
              <w:rPr>
                <w:rFonts w:ascii="宋体" w:eastAsia="宋体" w:cs="Times New Roman"/>
                <w:sz w:val="22"/>
              </w:rPr>
              <w:t>-</w:t>
            </w:r>
          </w:p>
        </w:tc>
        <w:tc>
          <w:tcPr>
            <w:tcW w:w="1002" w:type="dxa"/>
            <w:vMerge/>
            <w:tcBorders>
              <w:top w:val="nil"/>
              <w:left w:val="single" w:sz="6" w:space="0" w:color="auto"/>
              <w:bottom w:val="nil"/>
              <w:right w:val="single" w:sz="6" w:space="0" w:color="auto"/>
              <w:tl2br w:val="nil"/>
              <w:tr2bl w:val="nil"/>
            </w:tcBorders>
            <w:noWrap/>
            <w:vAlign w:val="center"/>
          </w:tcPr>
          <w:p/>
        </w:tc>
      </w:tr>
      <w:tr>
        <w:trPr>
          <w:trHeight w:val="434"/>
        </w:trPr>
        <w:tc>
          <w:tcPr>
            <w:tcW w:w="1980" w:type="dxa"/>
            <w:gridSpan w:val="2"/>
            <w:vMerge/>
            <w:tcBorders>
              <w:top w:val="nil"/>
              <w:left w:val="single" w:sz="6" w:space="0" w:color="auto"/>
              <w:bottom w:val="single" w:sz="6" w:space="0" w:color="auto"/>
              <w:right w:val="single" w:sz="6" w:space="0" w:color="auto"/>
              <w:tl2br w:val="nil"/>
              <w:tr2bl w:val="nil"/>
            </w:tcBorders>
            <w:noWrap/>
            <w:vAlign w:val="center"/>
          </w:tcPr>
          <w:p/>
        </w:tc>
        <w:tc>
          <w:tcPr>
            <w:tcW w:w="3420" w:type="dxa"/>
            <w:gridSpan w:val="2"/>
            <w:tcBorders>
              <w:top w:val="single" w:sz="6" w:space="0" w:color="auto"/>
              <w:left w:val="single" w:sz="6" w:space="0" w:color="auto"/>
              <w:bottom w:val="single" w:sz="6" w:space="0" w:color="auto"/>
              <w:right w:val="nil"/>
              <w:tl2br w:val="nil"/>
              <w:tr2bl w:val="nil"/>
            </w:tcBorders>
            <w:noWrap/>
            <w:vAlign w:val="center"/>
          </w:tcPr>
          <w:p>
            <w:pPr>
              <w:pStyle w:val="3425"/>
              <w:jc w:val="center"/>
              <w:rPr>
                <w:rFonts w:ascii="宋体" w:eastAsia="宋体" w:cs="Times New Roman"/>
                <w:sz w:val="22"/>
              </w:rPr>
            </w:pPr>
            <w:r>
              <w:rPr>
                <w:rFonts w:ascii="宋体" w:eastAsia="宋体" w:cs="Times New Roman"/>
                <w:sz w:val="22"/>
              </w:rPr>
              <w:t xml:space="preserve">     其他资金</w:t>
            </w:r>
          </w:p>
        </w:tc>
        <w:tc>
          <w:tcPr>
            <w:tcW w:w="4620" w:type="dxa"/>
            <w:gridSpan w:val="2"/>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right"/>
              <w:rPr>
                <w:rFonts w:ascii="宋体" w:eastAsia="宋体" w:cs="Times New Roman"/>
                <w:sz w:val="22"/>
              </w:rPr>
            </w:pPr>
            <w:r>
              <w:rPr>
                <w:rFonts w:ascii="宋体" w:eastAsia="宋体" w:cs="Times New Roman"/>
                <w:sz w:val="22"/>
              </w:rPr>
              <w:t>-</w:t>
            </w:r>
          </w:p>
        </w:tc>
        <w:tc>
          <w:tcPr>
            <w:tcW w:w="1002" w:type="dxa"/>
            <w:vMerge/>
            <w:tcBorders>
              <w:top w:val="nil"/>
              <w:left w:val="single" w:sz="6" w:space="0" w:color="auto"/>
              <w:bottom w:val="single" w:sz="6" w:space="0" w:color="auto"/>
              <w:right w:val="single" w:sz="6" w:space="0" w:color="auto"/>
              <w:tl2br w:val="nil"/>
              <w:tr2bl w:val="nil"/>
            </w:tcBorders>
            <w:noWrap/>
            <w:vAlign w:val="center"/>
          </w:tcPr>
          <w:p/>
        </w:tc>
      </w:tr>
      <w:tr>
        <w:trPr>
          <w:trHeight w:val="1784"/>
        </w:trPr>
        <w:tc>
          <w:tcPr>
            <w:tcW w:w="630" w:type="dxa"/>
            <w:tcBorders>
              <w:top w:val="single" w:sz="6" w:space="0" w:color="auto"/>
              <w:left w:val="single" w:sz="6" w:space="0" w:color="auto"/>
              <w:bottom w:val="nil"/>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年</w:t>
            </w:r>
          </w:p>
          <w:p>
            <w:pPr>
              <w:pStyle w:val="3425"/>
              <w:jc w:val="center"/>
              <w:rPr>
                <w:rFonts w:ascii="宋体" w:eastAsia="宋体" w:cs="Times New Roman"/>
                <w:sz w:val="22"/>
              </w:rPr>
            </w:pPr>
            <w:r>
              <w:rPr>
                <w:rFonts w:ascii="宋体" w:eastAsia="宋体" w:cs="Times New Roman"/>
                <w:sz w:val="22"/>
              </w:rPr>
              <w:t>度</w:t>
            </w:r>
          </w:p>
          <w:p>
            <w:pPr>
              <w:pStyle w:val="3425"/>
              <w:jc w:val="center"/>
              <w:rPr>
                <w:rFonts w:ascii="宋体" w:eastAsia="宋体" w:cs="Times New Roman"/>
                <w:sz w:val="22"/>
              </w:rPr>
            </w:pPr>
            <w:r>
              <w:rPr>
                <w:rFonts w:ascii="宋体" w:eastAsia="宋体" w:cs="Times New Roman"/>
                <w:sz w:val="22"/>
              </w:rPr>
              <w:t>总</w:t>
            </w:r>
          </w:p>
          <w:p>
            <w:pPr>
              <w:pStyle w:val="3425"/>
              <w:jc w:val="center"/>
              <w:rPr>
                <w:rFonts w:ascii="宋体" w:eastAsia="宋体" w:cs="Times New Roman"/>
                <w:sz w:val="22"/>
              </w:rPr>
            </w:pPr>
            <w:r>
              <w:rPr>
                <w:rFonts w:ascii="宋体" w:eastAsia="宋体" w:cs="Times New Roman"/>
                <w:sz w:val="22"/>
              </w:rPr>
              <w:t>体</w:t>
            </w:r>
          </w:p>
          <w:p>
            <w:pPr>
              <w:pStyle w:val="3425"/>
              <w:jc w:val="center"/>
              <w:rPr>
                <w:rFonts w:ascii="宋体" w:eastAsia="宋体" w:cs="Times New Roman"/>
                <w:sz w:val="22"/>
              </w:rPr>
            </w:pPr>
            <w:r>
              <w:rPr>
                <w:rFonts w:ascii="宋体" w:eastAsia="宋体" w:cs="Times New Roman"/>
                <w:sz w:val="22"/>
              </w:rPr>
              <w:t>目</w:t>
            </w:r>
          </w:p>
          <w:p>
            <w:pPr>
              <w:pStyle w:val="3425"/>
              <w:jc w:val="center"/>
              <w:rPr>
                <w:rFonts w:ascii="宋体" w:eastAsia="宋体" w:cs="Times New Roman"/>
                <w:sz w:val="22"/>
              </w:rPr>
            </w:pPr>
            <w:r>
              <w:rPr>
                <w:rFonts w:ascii="宋体" w:eastAsia="宋体" w:cs="Times New Roman"/>
                <w:sz w:val="22"/>
              </w:rPr>
              <w:t>标</w:t>
            </w:r>
          </w:p>
        </w:tc>
        <w:tc>
          <w:tcPr>
            <w:tcW w:w="10392" w:type="dxa"/>
            <w:gridSpan w:val="6"/>
            <w:tcBorders>
              <w:top w:val="single" w:sz="6" w:space="0" w:color="auto"/>
              <w:left w:val="single" w:sz="6" w:space="0" w:color="auto"/>
              <w:bottom w:val="single" w:sz="6" w:space="0" w:color="auto"/>
              <w:right w:val="single" w:sz="6" w:space="0" w:color="auto"/>
              <w:tl2br w:val="nil"/>
              <w:tr2bl w:val="nil"/>
            </w:tcBorders>
            <w:noWrap/>
            <w:vAlign w:val="center"/>
          </w:tcPr>
          <w:p>
            <w:pPr>
              <w:pStyle w:val="3425"/>
              <w:rPr>
                <w:rFonts w:ascii="宋体" w:eastAsia="宋体" w:cs="Times New Roman"/>
                <w:sz w:val="22"/>
              </w:rPr>
            </w:pPr>
            <w:r>
              <w:rPr>
                <w:rFonts w:ascii="宋体" w:eastAsia="宋体" w:cs="Times New Roman"/>
                <w:sz w:val="22"/>
              </w:rPr>
              <w:t>根据海关总署财务司二级项目申报要求以及《中华人民共和国海关法》《中华人民共和国进出口商品</w:t>
            </w:r>
            <w:bookmarkStart w:id="1" w:name="_GoBack"/>
            <w:bookmarkEnd w:id="1"/>
            <w:r>
              <w:rPr>
                <w:rFonts w:ascii="宋体" w:eastAsia="宋体" w:cs="Times New Roman"/>
                <w:sz w:val="22"/>
              </w:rPr>
              <w:t>检验法》等，确定申报海关资产及专用设备运行维护费项目，保障海关资产设备的正常运行和维护，保障专用设备的校验。通过海关资产及专用设备运行维护进一步提升执法能力，保障检测业务的准确率，确保进出口企业的合法权益得到保护，更好地服务地方发展。</w:t>
              <w:tab/>
              <w:tab/>
            </w:r>
          </w:p>
        </w:tc>
      </w:tr>
      <w:tr>
        <w:trPr>
          <w:trHeight w:val="599"/>
        </w:trPr>
        <w:tc>
          <w:tcPr>
            <w:tcW w:w="630" w:type="dxa"/>
            <w:vMerge w:val="restart"/>
            <w:tcBorders>
              <w:top w:val="single" w:sz="6" w:space="0" w:color="auto"/>
              <w:left w:val="single" w:sz="6" w:space="0" w:color="auto"/>
              <w:bottom w:val="nil"/>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绩</w:t>
            </w:r>
          </w:p>
          <w:p>
            <w:pPr>
              <w:pStyle w:val="3425"/>
              <w:jc w:val="center"/>
              <w:rPr>
                <w:rFonts w:ascii="宋体" w:eastAsia="宋体" w:cs="Times New Roman"/>
                <w:sz w:val="22"/>
              </w:rPr>
            </w:pPr>
            <w:r>
              <w:rPr>
                <w:rFonts w:ascii="宋体" w:eastAsia="宋体" w:cs="Times New Roman"/>
                <w:sz w:val="22"/>
              </w:rPr>
              <w:t>效</w:t>
            </w:r>
          </w:p>
          <w:p>
            <w:pPr>
              <w:pStyle w:val="3425"/>
              <w:jc w:val="center"/>
              <w:rPr>
                <w:rFonts w:ascii="宋体" w:eastAsia="宋体" w:cs="Times New Roman"/>
                <w:sz w:val="22"/>
              </w:rPr>
            </w:pPr>
            <w:r>
              <w:rPr>
                <w:rFonts w:ascii="宋体" w:eastAsia="宋体" w:cs="Times New Roman"/>
                <w:sz w:val="22"/>
              </w:rPr>
              <w:t>指</w:t>
            </w:r>
          </w:p>
          <w:p>
            <w:pPr>
              <w:pStyle w:val="3425"/>
              <w:jc w:val="center"/>
              <w:rPr>
                <w:rFonts w:ascii="宋体" w:eastAsia="宋体" w:cs="Times New Roman"/>
                <w:sz w:val="22"/>
              </w:rPr>
            </w:pPr>
            <w:r>
              <w:rPr>
                <w:rFonts w:ascii="宋体" w:eastAsia="宋体" w:cs="Times New Roman"/>
                <w:sz w:val="22"/>
              </w:rPr>
              <w:t>标</w:t>
            </w: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一级</w:t>
            </w:r>
          </w:p>
          <w:p>
            <w:pPr>
              <w:pStyle w:val="3425"/>
              <w:jc w:val="center"/>
              <w:rPr>
                <w:rFonts w:ascii="宋体" w:eastAsia="宋体" w:cs="Times New Roman"/>
                <w:sz w:val="22"/>
              </w:rPr>
            </w:pPr>
            <w:r>
              <w:rPr>
                <w:rFonts w:ascii="宋体" w:eastAsia="宋体" w:cs="Times New Roman"/>
                <w:sz w:val="22"/>
              </w:rPr>
              <w:t>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二级指标</w:t>
            </w:r>
          </w:p>
        </w:tc>
        <w:tc>
          <w:tcPr>
            <w:tcW w:w="3420" w:type="dxa"/>
            <w:gridSpan w:val="2"/>
            <w:tcBorders>
              <w:top w:val="single" w:sz="6" w:space="0" w:color="auto"/>
              <w:left w:val="nil"/>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三级指标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指标值</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分值</w:t>
            </w:r>
          </w:p>
          <w:p>
            <w:pPr>
              <w:pStyle w:val="3425"/>
              <w:jc w:val="center"/>
              <w:rPr>
                <w:rFonts w:ascii="宋体" w:eastAsia="宋体" w:cs="Times New Roman"/>
                <w:sz w:val="22"/>
              </w:rPr>
            </w:pPr>
            <w:r>
              <w:rPr>
                <w:rFonts w:ascii="宋体" w:eastAsia="宋体" w:cs="Times New Roman"/>
                <w:sz w:val="22"/>
              </w:rPr>
              <w:t>（90）</w:t>
            </w:r>
          </w:p>
        </w:tc>
      </w:tr>
      <w:tr>
        <w:trPr>
          <w:trHeight w:val="433"/>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数量指标</w:t>
            </w:r>
          </w:p>
        </w:tc>
        <w:tc>
          <w:tcPr>
            <w:tcW w:w="3420" w:type="dxa"/>
            <w:gridSpan w:val="2"/>
            <w:tcBorders>
              <w:top w:val="single" w:sz="6" w:space="0" w:color="auto"/>
              <w:left w:val="nil"/>
              <w:bottom w:val="single" w:sz="6" w:space="0" w:color="auto"/>
              <w:right w:val="nil"/>
              <w:tl2br w:val="nil"/>
              <w:tr2bl w:val="nil"/>
            </w:tcBorders>
            <w:noWrap/>
            <w:vAlign w:val="center"/>
          </w:tcPr>
          <w:p>
            <w:pPr>
              <w:pStyle w:val="3425"/>
              <w:rPr>
                <w:rFonts w:ascii="宋体" w:eastAsia="宋体" w:cs="宋体"/>
                <w:sz w:val="22"/>
                <w:szCs w:val="22"/>
              </w:rPr>
            </w:pPr>
            <w:r>
              <w:rPr>
                <w:rFonts w:ascii="宋体" w:eastAsia="宋体" w:cs="宋体"/>
                <w:sz w:val="22"/>
                <w:szCs w:val="22"/>
              </w:rPr>
              <w:t>运维通用设备数量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≥1台/套</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10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val="restart"/>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产出指标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数量指标</w:t>
            </w:r>
          </w:p>
        </w:tc>
        <w:tc>
          <w:tcPr>
            <w:tcW w:w="3420" w:type="dxa"/>
            <w:gridSpan w:val="2"/>
            <w:tcBorders>
              <w:top w:val="single" w:sz="6" w:space="0" w:color="auto"/>
              <w:left w:val="nil"/>
              <w:bottom w:val="single" w:sz="6" w:space="0" w:color="auto"/>
              <w:right w:val="nil"/>
              <w:tl2br w:val="nil"/>
              <w:tr2bl w:val="nil"/>
            </w:tcBorders>
            <w:noWrap/>
            <w:vAlign w:val="center"/>
          </w:tcPr>
          <w:p>
            <w:pPr>
              <w:pStyle w:val="3425"/>
              <w:rPr>
                <w:rFonts w:ascii="宋体" w:eastAsia="宋体" w:cs="Times New Roman"/>
                <w:sz w:val="22"/>
                <w:szCs w:val="22"/>
              </w:rPr>
            </w:pPr>
            <w:r>
              <w:rPr>
                <w:rFonts w:ascii="宋体" w:eastAsia="宋体" w:cs="Times New Roman"/>
                <w:sz w:val="22"/>
                <w:szCs w:val="22"/>
              </w:rPr>
              <w:t>运维专用设备数量</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≥1台/套</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10</w:t>
            </w:r>
          </w:p>
        </w:tc>
      </w:tr>
      <w:tr>
        <w:trPr>
          <w:trHeight w:val="433"/>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质量指标</w:t>
            </w:r>
          </w:p>
        </w:tc>
        <w:tc>
          <w:tcPr>
            <w:tcW w:w="3420" w:type="dxa"/>
            <w:gridSpan w:val="2"/>
            <w:tcBorders>
              <w:top w:val="single" w:sz="6" w:space="0" w:color="auto"/>
              <w:left w:val="nil"/>
              <w:bottom w:val="single" w:sz="6" w:space="0" w:color="auto"/>
              <w:right w:val="nil"/>
              <w:tl2br w:val="nil"/>
              <w:tr2bl w:val="nil"/>
            </w:tcBorders>
            <w:noWrap/>
            <w:vAlign w:val="center"/>
          </w:tcPr>
          <w:p>
            <w:pPr>
              <w:pStyle w:val="3425"/>
              <w:rPr>
                <w:rFonts w:ascii="宋体" w:eastAsia="宋体" w:cs="Times New Roman"/>
                <w:sz w:val="22"/>
              </w:rPr>
            </w:pPr>
            <w:r>
              <w:rPr>
                <w:rFonts w:ascii="宋体" w:eastAsia="宋体" w:cs="Times New Roman"/>
                <w:sz w:val="22"/>
              </w:rPr>
              <w:t>基础设施正常使用率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≥90%</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15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vMerge/>
            <w:tcBorders>
              <w:top w:val="single" w:sz="6" w:space="0" w:color="auto"/>
              <w:left w:val="single" w:sz="6" w:space="0" w:color="auto"/>
              <w:bottom w:val="single" w:sz="6" w:space="0" w:color="auto"/>
              <w:right w:val="single" w:sz="6" w:space="0" w:color="auto"/>
              <w:tl2br w:val="nil"/>
              <w:tr2bl w:val="nil"/>
            </w:tcBorders>
            <w:noWrap/>
            <w:vAlign w:val="center"/>
          </w:tcP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pPr>
            <w:r>
              <w:rPr>
                <w:rFonts w:ascii="宋体" w:eastAsia="宋体" w:cs="Times New Roman"/>
                <w:sz w:val="22"/>
              </w:rPr>
              <w:t>质量指标</w:t>
            </w:r>
          </w:p>
        </w:tc>
        <w:tc>
          <w:tcPr>
            <w:tcW w:w="3420" w:type="dxa"/>
            <w:gridSpan w:val="2"/>
            <w:tcBorders>
              <w:top w:val="single" w:sz="6" w:space="0" w:color="auto"/>
              <w:left w:val="nil"/>
              <w:bottom w:val="single" w:sz="6" w:space="0" w:color="auto"/>
              <w:right w:val="nil"/>
              <w:tl2br w:val="nil"/>
              <w:tr2bl w:val="nil"/>
            </w:tcBorders>
            <w:noWrap/>
            <w:vAlign w:val="center"/>
          </w:tcPr>
          <w:p>
            <w:pPr>
              <w:pStyle w:val="3425"/>
              <w:rPr>
                <w:rFonts w:ascii="宋体" w:eastAsia="宋体" w:cs="Times New Roman"/>
                <w:sz w:val="22"/>
              </w:rPr>
            </w:pPr>
            <w:r>
              <w:rPr>
                <w:rFonts w:ascii="宋体" w:eastAsia="宋体" w:cs="Times New Roman"/>
                <w:sz w:val="22"/>
              </w:rPr>
              <w:t>专用设施正常使用率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≥90%</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15</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效益指标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社会效益指标</w:t>
            </w:r>
          </w:p>
        </w:tc>
        <w:tc>
          <w:tcPr>
            <w:tcW w:w="3420" w:type="dxa"/>
            <w:gridSpan w:val="2"/>
            <w:tcBorders>
              <w:top w:val="single" w:sz="6" w:space="0" w:color="auto"/>
              <w:left w:val="nil"/>
              <w:bottom w:val="single" w:sz="6" w:space="0" w:color="auto"/>
              <w:right w:val="nil"/>
              <w:tl2br w:val="nil"/>
              <w:tr2bl w:val="nil"/>
            </w:tcBorders>
            <w:noWrap/>
            <w:vAlign w:val="center"/>
          </w:tcPr>
          <w:p>
            <w:pPr>
              <w:pStyle w:val="3425"/>
              <w:rPr>
                <w:rFonts w:ascii="宋体" w:eastAsia="宋体" w:cs="Times New Roman"/>
                <w:sz w:val="22"/>
              </w:rPr>
            </w:pPr>
            <w:r>
              <w:rPr>
                <w:rFonts w:ascii="宋体" w:eastAsia="宋体" w:cs="Times New Roman"/>
                <w:sz w:val="22"/>
              </w:rPr>
              <w:t>设备有效利用率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≥90%</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30</w:t>
            </w:r>
          </w:p>
        </w:tc>
      </w:tr>
      <w:tr>
        <w:trPr>
          <w:trHeight w:val="434"/>
        </w:trPr>
        <w:tc>
          <w:tcPr>
            <w:tcW w:w="630" w:type="dxa"/>
            <w:vMerge/>
            <w:tcBorders>
              <w:top w:val="nil"/>
              <w:left w:val="single" w:sz="6" w:space="0" w:color="auto"/>
              <w:bottom w:val="single" w:sz="6" w:space="0" w:color="auto"/>
              <w:right w:val="single" w:sz="6" w:space="0" w:color="auto"/>
              <w:tl2br w:val="nil"/>
              <w:tr2bl w:val="nil"/>
            </w:tcBorders>
            <w:noWrap/>
            <w:vAlign w:val="center"/>
          </w:tcPr>
          <w:p/>
        </w:tc>
        <w:tc>
          <w:tcPr>
            <w:tcW w:w="135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满意度指标</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服务对象满意度指标</w:t>
            </w:r>
          </w:p>
        </w:tc>
        <w:tc>
          <w:tcPr>
            <w:tcW w:w="3420" w:type="dxa"/>
            <w:gridSpan w:val="2"/>
            <w:tcBorders>
              <w:top w:val="single" w:sz="6" w:space="0" w:color="auto"/>
              <w:left w:val="nil"/>
              <w:bottom w:val="single" w:sz="6" w:space="0" w:color="auto"/>
              <w:right w:val="nil"/>
              <w:tl2br w:val="nil"/>
              <w:tr2bl w:val="nil"/>
            </w:tcBorders>
            <w:noWrap/>
            <w:vAlign w:val="center"/>
          </w:tcPr>
          <w:p>
            <w:pPr>
              <w:pStyle w:val="3425"/>
              <w:rPr>
                <w:rFonts w:ascii="宋体" w:eastAsia="宋体" w:cs="Times New Roman"/>
                <w:sz w:val="22"/>
              </w:rPr>
            </w:pPr>
            <w:r>
              <w:rPr>
                <w:rFonts w:ascii="宋体" w:eastAsia="宋体" w:cs="Times New Roman"/>
                <w:sz w:val="22"/>
              </w:rPr>
              <w:t>服务企业满意度</w:t>
            </w:r>
          </w:p>
        </w:tc>
        <w:tc>
          <w:tcPr>
            <w:tcW w:w="2310"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≥95%</w:t>
            </w:r>
          </w:p>
        </w:tc>
        <w:tc>
          <w:tcPr>
            <w:tcW w:w="1002" w:type="dxa"/>
            <w:tcBorders>
              <w:top w:val="single" w:sz="6" w:space="0" w:color="auto"/>
              <w:left w:val="single" w:sz="6" w:space="0" w:color="auto"/>
              <w:bottom w:val="single" w:sz="6" w:space="0" w:color="auto"/>
              <w:right w:val="single" w:sz="6" w:space="0" w:color="auto"/>
              <w:tl2br w:val="nil"/>
              <w:tr2bl w:val="nil"/>
            </w:tcBorders>
            <w:noWrap/>
            <w:vAlign w:val="center"/>
          </w:tcPr>
          <w:p>
            <w:pPr>
              <w:pStyle w:val="3425"/>
              <w:jc w:val="center"/>
              <w:rPr>
                <w:rFonts w:ascii="宋体" w:eastAsia="宋体" w:cs="Times New Roman"/>
                <w:sz w:val="22"/>
              </w:rPr>
            </w:pPr>
            <w:r>
              <w:rPr>
                <w:rFonts w:ascii="宋体" w:eastAsia="宋体" w:cs="Times New Roman"/>
                <w:sz w:val="22"/>
              </w:rPr>
              <w:t>10</w:t>
            </w:r>
          </w:p>
        </w:tc>
      </w:tr>
    </w:tbl>
    <w:p>
      <w:pPr>
        <w:pStyle w:val="3425"/>
        <w:rPr>
          <w:highlight w:val="auto"/>
        </w:rPr>
      </w:pPr>
    </w:p>
    <w:p>
      <w:pPr>
        <w:pStyle w:val="3425"/>
        <w:rPr>
          <w:highlight w:val="auto"/>
        </w:rPr>
      </w:pPr>
    </w:p>
    <w:p>
      <w:pPr>
        <w:pStyle w:val="3425"/>
        <w:rPr>
          <w:highlight w:val="auto"/>
        </w:rPr>
      </w:pPr>
    </w:p>
    <w:p>
      <w:pPr>
        <w:pStyle w:val="3425"/>
        <w:rPr>
          <w:highlight w:val="auto"/>
        </w:rPr>
      </w:pPr>
    </w:p>
    <w:p>
      <w:pPr>
        <w:pStyle w:val="3425"/>
        <w:rPr>
          <w:highlight w:val="auto"/>
        </w:rPr>
      </w:pPr>
    </w:p>
    <w:p>
      <w:pPr>
        <w:pStyle w:val="3425"/>
        <w:rPr>
          <w:rFonts w:ascii="宋体"/>
          <w:sz w:val="18"/>
          <w:szCs w:val="18"/>
          <w:highlight w:val="auto"/>
        </w:rPr>
      </w:pPr>
    </w:p>
    <w:p>
      <w:pPr>
        <w:pStyle w:val="3425"/>
        <w:rPr>
          <w:rFonts w:ascii="宋体"/>
          <w:sz w:val="18"/>
          <w:szCs w:val="18"/>
          <w:highlight w:val="auto"/>
        </w:rPr>
      </w:pPr>
    </w:p>
    <w:p>
      <w:pPr>
        <w:pStyle w:val="3425"/>
        <w:rPr>
          <w:rFonts w:ascii="宋体"/>
          <w:sz w:val="18"/>
          <w:szCs w:val="18"/>
          <w:highlight w:val="auto"/>
        </w:rPr>
      </w:pPr>
    </w:p>
    <w:p>
      <w:pPr>
        <w:pStyle w:val="3425"/>
        <w:rPr>
          <w:rFonts w:ascii="宋体"/>
          <w:sz w:val="18"/>
          <w:szCs w:val="18"/>
          <w:highlight w:val="auto"/>
        </w:rPr>
      </w:pPr>
    </w:p>
    <w:p>
      <w:pPr>
        <w:pStyle w:val="3425"/>
        <w:rPr>
          <w:rFonts w:ascii="宋体"/>
          <w:sz w:val="18"/>
          <w:szCs w:val="18"/>
          <w:highlight w:val="auto"/>
        </w:rPr>
      </w:pPr>
    </w:p>
    <w:p>
      <w:pPr>
        <w:rPr>
          <w:rFonts w:ascii="宋体" w:hint="eastAsia"/>
          <w:sz w:val="18"/>
          <w:szCs w:val="18"/>
          <w:highlight w:val="auto"/>
        </w:rPr>
      </w:pPr>
    </w:p>
    <w:sectPr>
      <w:pgSz w:w="11905" w:h="16840"/>
      <w:pgMar w:top="1440" w:right="1134" w:bottom="1440" w:left="1134" w:header="851" w:footer="992" w:gutter="0"/>
      <w:pgNumType/>
      <w:docGrid w:linePitch="285"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86"/>
    <w:family w:val="auto"/>
    <w:pitch w:val="variable"/>
    <w:sig w:usb0="00000003" w:usb1="288F0000" w:usb2="00000006" w:usb3="00000000" w:csb0="00040001" w:csb1="00000000"/>
  </w:font>
  <w:font w:name="方正仿宋_GBK">
    <w:panose1 w:val="03000509000000000000"/>
    <w:charset w:val="86"/>
    <w:family w:val="script"/>
    <w:pitch w:val="variable"/>
    <w:sig w:usb0="00000001" w:usb1="080E0000" w:usb2="00000000" w:usb3="00000000" w:csb0="00040000" w:csb1="00000000"/>
  </w:font>
  <w:font w:name="方正黑体_GBK">
    <w:panose1 w:val="03000509000000000000"/>
    <w:charset w:val="86"/>
    <w:family w:val="script"/>
    <w:pitch w:val="variable"/>
    <w:sig w:usb0="00000001" w:usb1="080E0000" w:usb2="00000000" w:usb3="00000000" w:csb0="00040000" w:csb1="00000000"/>
  </w:font>
  <w:font w:name="Times New Roman">
    <w:panose1 w:val="02020603050405020304"/>
    <w:charset w:val="00"/>
    <w:family w:val="auto"/>
    <w:pitch w:val="variable"/>
    <w:sig w:usb0="E0002AFF" w:usb1="C0007841" w:usb2="00000009" w:usb3="00000000" w:csb0="400001FF" w:csb1="FFFF0000"/>
  </w:font>
  <w:font w:name="黑体">
    <w:altName w:val="方正黑体_GBK"/>
    <w:panose1 w:val="02010609060101010101"/>
    <w:charset w:val="86"/>
    <w:family w:val="auto"/>
    <w:pitch w:val="variable"/>
    <w:sig w:usb0="800002BF" w:usb1="38CF7CFA" w:usb2="00000016" w:usb3="00000000" w:csb0="00040001" w:csb1="00000000"/>
  </w:font>
  <w:font w:name="Microsoft JhengHei">
    <w:altName w:val="宋体"/>
    <w:panose1 w:val="020B0604030504040204"/>
    <w:charset w:val="88"/>
    <w:family w:val="swiss"/>
    <w:pitch w:val="variable"/>
    <w:sig w:usb0="00000087" w:usb1="28AF4000" w:usb2="00000016" w:usb3="00000000" w:csb0="00100009" w:csb1="00000000"/>
  </w:font>
  <w:font w:name="方正楷体_GBK">
    <w:panose1 w:val="03000509000000000000"/>
    <w:charset w:val="86"/>
    <w:family w:val="script"/>
    <w:pitch w:val="variable"/>
    <w:sig w:usb0="00000001" w:usb1="080E0000" w:usb2="00000000" w:usb3="00000000" w:csb0="00040000" w:csb1="00000000"/>
  </w:font>
  <w:font w:name="Arial">
    <w:altName w:val="DejaVu Sans"/>
    <w:panose1 w:val="020B0604020202020204"/>
    <w:charset w:val="00"/>
    <w:family w:val="swiss"/>
    <w:pitch w:val="variable"/>
    <w:sig w:usb0="E0002AFF" w:usb1="C0007843" w:usb2="00000009" w:usb3="00000000" w:csb0="400001FF" w:csb1="FFFF0000"/>
  </w:font>
  <w:font w:name="仿宋_GB2312">
    <w:altName w:val="仿宋"/>
    <w:panose1 w:val="00000000000000000000"/>
    <w:charset w:val="86"/>
    <w:family w:val="modern"/>
    <w:pitch w:val="variable"/>
    <w:sig w:usb0="00000001" w:usb1="080E0000" w:usb2="00000010" w:usb3="00000000" w:csb0="00040000" w:csb1="00000000"/>
  </w:font>
  <w:font w:name="Calibri">
    <w:panose1 w:val="020F0502020204030204"/>
    <w:charset w:val="00"/>
    <w:family w:val="auto"/>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lear" w:pos="4153"/>
        <w:tab w:val="clear" w:pos="8307"/>
        <w:tab w:val="center" w:pos="4153"/>
        <w:tab w:val="right" w:pos="8307"/>
      </w:tabs>
    </w:pPr>
    <w:r>
      <w:rPr>
        <w:sz w:val="18"/>
      </w:rPr>
      <mc:AlternateContent>
        <mc:Choice Requires="wps">
          <w:drawing>
            <wp:anchor distT="0" distB="0" distL="91438" distR="91438" simplePos="0" relativeHeight="21" behindDoc="0" locked="0" layoutInCell="1" hidden="0" allowOverlap="1">
              <wp:simplePos x="0" y="0"/>
              <wp:positionH relativeFrom="margin">
                <wp:align>center</wp:align>
              </wp:positionH>
              <wp:positionV relativeFrom="paragraph">
                <wp:posOffset>0</wp:posOffset>
              </wp:positionV>
              <wp:extent cx="57150" cy="131445"/>
              <wp:effectExtent l="0" t="0" r="0" b="0"/>
              <wp:wrapNone/>
              <wp:docPr id="1" name="文本框 1"/>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2">
                      <w:txbxContent>
                        <w:p>
                          <w:pPr>
                            <w:pStyle w:val="18"/>
                            <w:tabs>
                              <w:tab w:val="clear" w:pos="4153"/>
                              <w:tab w:val="clear" w:pos="8307"/>
                              <w:tab w:val="center" w:pos="4153"/>
                              <w:tab w:val="right" w:pos="8307"/>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type="#_x0000_t202" id="文本框 1 3" o:spid="_x0000_s3" filled="f" stroked="f" style="position:absolute;margin-left:0.0pt;margin-top:0.0pt;width:4.5pt;height:10.350001pt;z-index:21;mso-position-horizontal:center;mso-position-horizontal-relative:margin;mso-position-vertical:absolute;mso-wrap-distance-left:7.19989pt;mso-wrap-distance-right:7.19989pt;mso-wrap-style:none;">
              <v:stroke color="#000000"/>
              <v:textbox id="853" inset="0mm,0mm,0mm,0mm" o:insetmode="custom" style="layout-flow:horizontal;v-text-anchor:top;mso-fit-shape-to-text:t;">
                <w:txbxContent>
                  <w:p>
                    <w:pPr>
                      <w:pStyle w:val="18"/>
                      <w:tabs>
                        <w:tab w:val="clear" w:pos="4153"/>
                        <w:tab w:val="clear" w:pos="8307"/>
                        <w:tab w:val="center" w:pos="4153"/>
                        <w:tab w:val="right" w:pos="8307"/>
                      </w:tabs>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lear" w:pos="4153"/>
        <w:tab w:val="clear" w:pos="8307"/>
        <w:tab w:val="center" w:pos="4153"/>
        <w:tab w:val="right" w:pos="8307"/>
      </w:tabs>
    </w:pPr>
    <w:r>
      <w:rPr>
        <w:sz w:val="18"/>
      </w:rPr>
      <mc:AlternateContent>
        <mc:Choice Requires="wps">
          <w:drawing>
            <wp:anchor distT="0" distB="0" distL="91438" distR="91438" simplePos="0" relativeHeight="22" behindDoc="0" locked="0" layoutInCell="1" hidden="0" allowOverlap="1">
              <wp:simplePos x="0" y="0"/>
              <wp:positionH relativeFrom="margin">
                <wp:align>center</wp:align>
              </wp:positionH>
              <wp:positionV relativeFrom="paragraph">
                <wp:posOffset>-2501226</wp:posOffset>
              </wp:positionV>
              <wp:extent cx="69849" cy="160794"/>
              <wp:effectExtent l="0" t="0" r="0" b="0"/>
              <wp:wrapNone/>
              <wp:docPr id="7" name="文本框 7"/>
              <wp:cNvGraphicFramePr>
                <a:graphicFrameLocks noChangeAspect="0"/>
              </wp:cNvGraphicFramePr>
              <a:graphic>
                <a:graphicData uri="http://schemas.microsoft.com/office/word/2010/wordprocessingShape">
                  <wps:wsp>
                    <wps:cNvSpPr/>
                    <wps:spPr>
                      <a:xfrm rot="0">
                        <a:off x="0" y="0"/>
                        <a:ext cx="69849" cy="160794"/>
                      </a:xfrm>
                      <a:prstGeom prst="rect"/>
                      <a:noFill/>
                      <a:ln w="9525" cmpd="sng" cap="flat">
                        <a:noFill/>
                        <a:prstDash val="solid"/>
                        <a:miter/>
                      </a:ln>
                    </wps:spPr>
                    <wps:txbx id="8">
                      <w:txbxContent>
                        <w:p>
                          <w:pPr>
                            <w:pStyle w:val="18"/>
                            <w:tabs>
                              <w:tab w:val="clear" w:pos="4153"/>
                              <w:tab w:val="clear" w:pos="8307"/>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w:t>
                          </w:r>
                          <w:r>
                            <w:rPr>
                              <w:sz w:val="22"/>
                              <w:szCs w:val="36"/>
                            </w:rPr>
                            <w:fldChar w:fldCharType="end"/>
                          </w:r>
                        </w:p>
                      </w:txbxContent>
                    </wps:txbx>
                    <wps:bodyPr vert="horz" wrap="none" lIns="0" tIns="0" rIns="0" bIns="0" anchor="t" anchorCtr="0" upright="1">
                      <a:spAutoFit/>
                    </wps:bodyPr>
                  </wps:wsp>
                </a:graphicData>
              </a:graphic>
            </wp:anchor>
          </w:drawing>
        </mc:Choice>
        <mc:Fallback>
          <w:pict>
            <v:shape type="#_x0000_t202" id="文本框 7 9" o:spid="_x0000_s9" filled="f" stroked="f" style="position:absolute;margin-left:123.350624pt;margin-top:-196.94698pt;width:5.4999924pt;height:12.661001pt;z-index:22;mso-position-horizontal:center;mso-position-horizontal-relative:margin;mso-position-vertical:absolute;mso-wrap-distance-left:7.19989pt;mso-wrap-distance-right:7.19989pt;mso-wrap-style:none;">
              <v:stroke color="#000000"/>
              <v:textbox id="854" inset="0mm,0mm,0mm,0mm" o:insetmode="custom" style="layout-flow:horizontal;v-text-anchor:top;mso-fit-shape-to-text:t;">
                <w:txbxContent>
                  <w:p>
                    <w:pPr>
                      <w:pStyle w:val="18"/>
                      <w:tabs>
                        <w:tab w:val="clear" w:pos="4153"/>
                        <w:tab w:val="clear" w:pos="8307"/>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w:t>
                    </w:r>
                    <w:r>
                      <w:rPr>
                        <w:sz w:val="22"/>
                        <w:szCs w:val="36"/>
                      </w:rP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bestFit" w:percent="90"/>
  <w:doNotDisplayPageBoundaries/>
  <w:displayBackgroundShape/>
  <w:bordersDoNotSurroundHeader w:val="0"/>
  <w:bordersDoNotSurroundFooter w:val="0"/>
  <w:trackRevisions/>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bdr w:val="none" w:sz="0" w:space="0" w:color="auto"/>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szCs w:val="20"/>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next w:val="2609"/>
    <w:pPr>
      <w:widowControl w:val="0"/>
      <w:jc w:val="both"/>
    </w:pPr>
    <w:rPr>
      <w:rFonts w:ascii="Times New Roman" w:eastAsia="宋体" w:cs="Times New Roman" w:hAnsi="Times New Roman"/>
      <w:kern w:val="2"/>
      <w:sz w:val="21"/>
      <w:szCs w:val="24"/>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next w:val="2624"/>
    <w:pPr>
      <w:widowControl w:val="0"/>
      <w:jc w:val="both"/>
    </w:pPr>
    <w:rPr>
      <w:rFonts w:ascii="Times New Roman" w:eastAsia="宋体" w:cs="Times New Roman" w:hAnsi="Times New Roman"/>
      <w:kern w:val="2"/>
      <w:sz w:val="21"/>
      <w:szCs w:val="24"/>
      <w:lang w:val="en-US" w:eastAsia="zh-CN" w:bidi="ar-SA"/>
    </w:rPr>
  </w:style>
  <w:style w:type="paragraph" w:customStyle="1" w:styleId="2634">
    <w:name w:val="样式 2603 10 磅"/>
    <w:next w:val="2625"/>
    <w:pPr>
      <w:widowControl w:val="0"/>
      <w:jc w:val="both"/>
    </w:pPr>
    <w:rPr>
      <w:rFonts w:ascii="Times New Roman" w:eastAsia="宋体" w:cs="Times New Roman" w:hAnsi="Times New Roman"/>
      <w:kern w:val="2"/>
      <w:sz w:val="21"/>
      <w:szCs w:val="24"/>
      <w:lang w:val="en-US" w:eastAsia="zh-CN" w:bidi="ar-SA"/>
    </w:rPr>
  </w:style>
  <w:style w:type="paragraph" w:customStyle="1" w:styleId="2635">
    <w:name w:val="样式 2604 10 磅"/>
    <w:next w:val="2626"/>
    <w:pPr>
      <w:widowControl w:val="0"/>
      <w:jc w:val="both"/>
    </w:pPr>
    <w:rPr>
      <w:rFonts w:ascii="Times New Roman" w:eastAsia="宋体" w:cs="Times New Roman" w:hAnsi="Times New Roman"/>
      <w:kern w:val="2"/>
      <w:sz w:val="21"/>
      <w:szCs w:val="24"/>
      <w:lang w:val="en-US" w:eastAsia="zh-CN" w:bidi="ar-SA"/>
    </w:rPr>
  </w:style>
  <w:style w:type="paragraph" w:customStyle="1" w:styleId="2636">
    <w:name w:val="样式 2605 10 磅"/>
    <w:next w:val="2627"/>
    <w:pPr>
      <w:widowControl w:val="0"/>
      <w:jc w:val="both"/>
    </w:pPr>
    <w:rPr>
      <w:rFonts w:ascii="Times New Roman" w:eastAsia="宋体" w:cs="Times New Roman" w:hAnsi="Times New Roman"/>
      <w:kern w:val="2"/>
      <w:sz w:val="21"/>
      <w:szCs w:val="24"/>
      <w:lang w:val="en-US" w:eastAsia="zh-CN" w:bidi="ar-SA"/>
    </w:rPr>
  </w:style>
  <w:style w:type="paragraph" w:customStyle="1" w:styleId="2637">
    <w:name w:val="样式 2606 10 磅"/>
    <w:next w:val="2628"/>
    <w:pPr>
      <w:widowControl w:val="0"/>
      <w:jc w:val="both"/>
    </w:pPr>
    <w:rPr>
      <w:rFonts w:ascii="Times New Roman" w:eastAsia="宋体" w:cs="Times New Roman" w:hAnsi="Times New Roman"/>
      <w:kern w:val="2"/>
      <w:sz w:val="21"/>
      <w:szCs w:val="24"/>
      <w:lang w:val="en-US" w:eastAsia="zh-CN" w:bidi="ar-SA"/>
    </w:rPr>
  </w:style>
  <w:style w:type="paragraph" w:customStyle="1" w:styleId="2638">
    <w:name w:val="样式 2607 10 磅"/>
    <w:next w:val="2629"/>
    <w:pPr>
      <w:widowControl w:val="0"/>
      <w:jc w:val="both"/>
    </w:pPr>
    <w:rPr>
      <w:rFonts w:ascii="Times New Roman" w:eastAsia="宋体" w:cs="Times New Roman" w:hAnsi="Times New Roman"/>
      <w:kern w:val="2"/>
      <w:sz w:val="21"/>
      <w:szCs w:val="24"/>
      <w:lang w:val="en-US" w:eastAsia="zh-CN" w:bidi="ar-SA"/>
    </w:rPr>
  </w:style>
  <w:style w:type="paragraph" w:customStyle="1" w:styleId="2639">
    <w:name w:val="样式 2608 10 磅"/>
    <w:next w:val="2630"/>
    <w:pPr>
      <w:widowControl w:val="0"/>
      <w:jc w:val="both"/>
    </w:pPr>
    <w:rPr>
      <w:rFonts w:ascii="Times New Roman" w:eastAsia="宋体" w:cs="Times New Roman" w:hAnsi="Times New Roman"/>
      <w:kern w:val="2"/>
      <w:sz w:val="21"/>
      <w:szCs w:val="24"/>
      <w:lang w:val="en-US" w:eastAsia="zh-CN" w:bidi="ar-SA"/>
    </w:rPr>
  </w:style>
  <w:style w:type="paragraph" w:customStyle="1" w:styleId="2640">
    <w:name w:val="样式 2609 10 磅"/>
    <w:next w:val="2631"/>
    <w:pPr>
      <w:widowControl w:val="0"/>
      <w:jc w:val="both"/>
    </w:pPr>
    <w:rPr>
      <w:rFonts w:ascii="Times New Roman" w:eastAsia="宋体" w:cs="Times New Roman" w:hAnsi="Times New Roman"/>
      <w:kern w:val="2"/>
      <w:sz w:val="21"/>
      <w:szCs w:val="24"/>
      <w:lang w:val="en-US" w:eastAsia="zh-CN" w:bidi="ar-SA"/>
    </w:rPr>
  </w:style>
  <w:style w:type="paragraph" w:customStyle="1" w:styleId="2641">
    <w:name w:val="样式 2610 10 磅"/>
    <w:next w:val="2632"/>
    <w:pPr>
      <w:widowControl w:val="0"/>
      <w:jc w:val="both"/>
    </w:pPr>
    <w:rPr>
      <w:rFonts w:ascii="Times New Roman" w:eastAsia="宋体" w:cs="Times New Roman" w:hAnsi="Times New Roman"/>
      <w:kern w:val="2"/>
      <w:sz w:val="21"/>
      <w:szCs w:val="24"/>
      <w:lang w:val="en-US" w:eastAsia="zh-CN" w:bidi="ar-SA"/>
    </w:rPr>
  </w:style>
  <w:style w:type="paragraph" w:customStyle="1" w:styleId="2642">
    <w:name w:val="样式 2611 10 磅"/>
    <w:next w:val="2633"/>
    <w:pPr>
      <w:widowControl w:val="0"/>
      <w:jc w:val="both"/>
    </w:pPr>
    <w:rPr>
      <w:rFonts w:ascii="Times New Roman" w:eastAsia="宋体" w:cs="Times New Roman" w:hAnsi="Times New Roman"/>
      <w:kern w:val="2"/>
      <w:sz w:val="21"/>
      <w:szCs w:val="24"/>
      <w:lang w:val="en-US" w:eastAsia="zh-CN" w:bidi="ar-SA"/>
    </w:rPr>
  </w:style>
  <w:style w:type="paragraph" w:customStyle="1" w:styleId="2643">
    <w:name w:val="样式 2612 10 磅"/>
    <w:next w:val="2634"/>
    <w:pPr>
      <w:widowControl w:val="0"/>
      <w:jc w:val="both"/>
    </w:pPr>
    <w:rPr>
      <w:rFonts w:ascii="Times New Roman" w:eastAsia="宋体" w:cs="Times New Roman" w:hAnsi="Times New Roman"/>
      <w:kern w:val="2"/>
      <w:sz w:val="21"/>
      <w:szCs w:val="24"/>
      <w:lang w:val="en-US" w:eastAsia="zh-CN" w:bidi="ar-SA"/>
    </w:rPr>
  </w:style>
  <w:style w:type="paragraph" w:customStyle="1" w:styleId="2644">
    <w:name w:val="样式 2613 10 磅"/>
    <w:next w:val="2635"/>
    <w:pPr>
      <w:widowControl w:val="0"/>
      <w:jc w:val="both"/>
    </w:pPr>
    <w:rPr>
      <w:rFonts w:ascii="Times New Roman" w:eastAsia="宋体" w:cs="Times New Roman" w:hAnsi="Times New Roman"/>
      <w:kern w:val="2"/>
      <w:sz w:val="21"/>
      <w:szCs w:val="24"/>
      <w:lang w:val="en-US" w:eastAsia="zh-CN" w:bidi="ar-SA"/>
    </w:rPr>
  </w:style>
  <w:style w:type="paragraph" w:customStyle="1" w:styleId="2645">
    <w:name w:val="样式 2614 10 磅"/>
    <w:next w:val="2636"/>
    <w:pPr>
      <w:widowControl w:val="0"/>
      <w:jc w:val="both"/>
    </w:pPr>
    <w:rPr>
      <w:rFonts w:ascii="Times New Roman" w:eastAsia="宋体" w:cs="Times New Roman" w:hAnsi="Times New Roman"/>
      <w:kern w:val="2"/>
      <w:sz w:val="21"/>
      <w:szCs w:val="24"/>
      <w:lang w:val="en-US" w:eastAsia="zh-CN" w:bidi="ar-SA"/>
    </w:rPr>
  </w:style>
  <w:style w:type="paragraph" w:customStyle="1" w:styleId="2646">
    <w:name w:val="样式 2615 10 磅"/>
    <w:next w:val="2637"/>
    <w:pPr>
      <w:widowControl w:val="0"/>
      <w:jc w:val="both"/>
    </w:pPr>
    <w:rPr>
      <w:rFonts w:ascii="Times New Roman" w:eastAsia="宋体" w:cs="Times New Roman" w:hAnsi="Times New Roman"/>
      <w:kern w:val="2"/>
      <w:sz w:val="21"/>
      <w:szCs w:val="24"/>
      <w:lang w:val="en-US" w:eastAsia="zh-CN" w:bidi="ar-SA"/>
    </w:rPr>
  </w:style>
  <w:style w:type="paragraph" w:customStyle="1" w:styleId="2647">
    <w:name w:val="样式 2616 10 磅"/>
    <w:next w:val="2638"/>
    <w:pPr>
      <w:widowControl w:val="0"/>
      <w:jc w:val="both"/>
    </w:pPr>
    <w:rPr>
      <w:rFonts w:ascii="Times New Roman" w:eastAsia="宋体" w:cs="Times New Roman" w:hAnsi="Times New Roman"/>
      <w:kern w:val="2"/>
      <w:sz w:val="21"/>
      <w:szCs w:val="24"/>
      <w:lang w:val="en-US" w:eastAsia="zh-CN" w:bidi="ar-SA"/>
    </w:rPr>
  </w:style>
  <w:style w:type="paragraph" w:customStyle="1" w:styleId="2648">
    <w:name w:val="样式 2617 10 磅"/>
    <w:next w:val="2639"/>
    <w:pPr>
      <w:widowControl w:val="0"/>
      <w:jc w:val="both"/>
    </w:pPr>
    <w:rPr>
      <w:rFonts w:ascii="Times New Roman" w:eastAsia="宋体" w:cs="Times New Roman" w:hAnsi="Times New Roman"/>
      <w:kern w:val="2"/>
      <w:sz w:val="21"/>
      <w:szCs w:val="24"/>
      <w:lang w:val="en-US" w:eastAsia="zh-CN" w:bidi="ar-SA"/>
    </w:rPr>
  </w:style>
  <w:style w:type="paragraph" w:customStyle="1" w:styleId="2649">
    <w:name w:val="样式 2618 10 磅"/>
    <w:next w:val="2640"/>
    <w:pPr>
      <w:widowControl w:val="0"/>
      <w:jc w:val="both"/>
    </w:pPr>
    <w:rPr>
      <w:rFonts w:ascii="Times New Roman" w:eastAsia="宋体" w:cs="Times New Roman" w:hAnsi="Times New Roman"/>
      <w:kern w:val="2"/>
      <w:sz w:val="21"/>
      <w:szCs w:val="24"/>
      <w:lang w:val="en-US" w:eastAsia="zh-CN" w:bidi="ar-SA"/>
    </w:rPr>
  </w:style>
  <w:style w:type="paragraph" w:customStyle="1" w:styleId="2650">
    <w:name w:val="样式 2619 10 磅"/>
    <w:next w:val="2641"/>
    <w:pPr>
      <w:widowControl w:val="0"/>
      <w:jc w:val="both"/>
    </w:pPr>
    <w:rPr>
      <w:rFonts w:ascii="Times New Roman" w:eastAsia="宋体" w:cs="Times New Roman" w:hAnsi="Times New Roman"/>
      <w:kern w:val="2"/>
      <w:sz w:val="21"/>
      <w:szCs w:val="24"/>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样式 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103">
    <w:name w:val="样式 3071 10 磅"/>
    <w:pPr>
      <w:widowControl w:val="0"/>
      <w:jc w:val="both"/>
    </w:pPr>
    <w:rPr>
      <w:rFonts w:ascii="Times New Roman" w:eastAsia="宋体" w:cs="Times New Roman" w:hAnsi="Times New Roman"/>
      <w:kern w:val="2"/>
      <w:sz w:val="21"/>
      <w:szCs w:val="24"/>
      <w:lang w:val="en-US" w:eastAsia="zh-CN" w:bidi="ar-SA"/>
    </w:rPr>
  </w:style>
  <w:style w:type="paragraph" w:customStyle="1" w:styleId="3104">
    <w:name w:val="样式 小四"/>
    <w:pPr>
      <w:widowControl w:val="0"/>
      <w:spacing w:line="240" w:lineRule="auto"/>
      <w:jc w:val="left"/>
    </w:pPr>
    <w:rPr>
      <w:rFonts w:ascii="宋体" w:eastAsia="宋体" w:cs="Times New Roman"/>
      <w:kern w:val="2"/>
      <w:sz w:val="24"/>
      <w:szCs w:val="21"/>
      <w:lang w:val="en-US" w:eastAsia="zh-CN" w:bidi="ar-SA"/>
    </w:rPr>
  </w:style>
  <w:style w:type="paragraph" w:customStyle="1" w:styleId="3105">
    <w:name w:val="样式 1 小四"/>
    <w:pPr>
      <w:widowControl w:val="0"/>
      <w:spacing w:line="240" w:lineRule="auto"/>
      <w:jc w:val="left"/>
    </w:pPr>
    <w:rPr>
      <w:rFonts w:ascii="宋体" w:eastAsia="宋体" w:cs="Times New Roman"/>
      <w:kern w:val="2"/>
      <w:sz w:val="24"/>
      <w:szCs w:val="21"/>
      <w:lang w:val="en-US" w:eastAsia="zh-CN" w:bidi="ar-SA"/>
    </w:rPr>
  </w:style>
  <w:style w:type="paragraph" w:customStyle="1" w:styleId="3106">
    <w:name w:val="样式 30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7">
    <w:name w:val="样式 30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8">
    <w:name w:val="样式 30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9">
    <w:name w:val="样式 30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0">
    <w:name w:val="样式 30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1">
    <w:name w:val="样式 30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2">
    <w:name w:val="样式 30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3">
    <w:name w:val="样式 30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4">
    <w:name w:val="样式 30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5">
    <w:name w:val="样式 30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6">
    <w:name w:val="样式 30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17">
    <w:name w:val="样式 3083 10 磅"/>
    <w:pPr>
      <w:widowControl w:val="0"/>
      <w:jc w:val="both"/>
    </w:pPr>
    <w:rPr>
      <w:rFonts w:ascii="Times New Roman" w:eastAsia="宋体" w:cs="Times New Roman" w:hAnsi="Times New Roman"/>
      <w:kern w:val="2"/>
      <w:sz w:val="21"/>
      <w:szCs w:val="24"/>
      <w:lang w:val="en-US" w:eastAsia="zh-CN" w:bidi="ar-SA"/>
    </w:rPr>
  </w:style>
  <w:style w:type="paragraph" w:customStyle="1" w:styleId="3118">
    <w:name w:val="样式 3084 10 磅"/>
    <w:pPr>
      <w:widowControl w:val="0"/>
      <w:jc w:val="both"/>
    </w:pPr>
    <w:rPr>
      <w:rFonts w:ascii="Times New Roman" w:eastAsia="宋体" w:cs="Times New Roman" w:hAnsi="Times New Roman"/>
      <w:kern w:val="2"/>
      <w:sz w:val="21"/>
      <w:szCs w:val="24"/>
      <w:lang w:val="en-US" w:eastAsia="zh-CN" w:bidi="ar-SA"/>
    </w:rPr>
  </w:style>
  <w:style w:type="paragraph" w:customStyle="1" w:styleId="3119">
    <w:name w:val="样式 3085 10 磅"/>
    <w:pPr>
      <w:widowControl w:val="0"/>
      <w:jc w:val="both"/>
    </w:pPr>
    <w:rPr>
      <w:rFonts w:ascii="Calibri" w:eastAsia="宋体" w:cs="Arial" w:hAnsi="Calibri"/>
      <w:kern w:val="2"/>
      <w:sz w:val="21"/>
      <w:szCs w:val="22"/>
      <w:lang w:val="en-US" w:eastAsia="zh-CN" w:bidi="ar-SA"/>
    </w:rPr>
  </w:style>
  <w:style w:type="paragraph" w:customStyle="1" w:styleId="3120">
    <w:name w:val="样式 3086 10 磅"/>
    <w:pPr>
      <w:widowControl w:val="0"/>
      <w:jc w:val="both"/>
    </w:pPr>
    <w:rPr>
      <w:rFonts w:ascii="Times New Roman" w:eastAsia="宋体" w:cs="Times New Roman" w:hAnsi="Times New Roman"/>
      <w:kern w:val="2"/>
      <w:sz w:val="21"/>
      <w:szCs w:val="21"/>
      <w:lang w:val="en-US" w:eastAsia="zh-CN" w:bidi="ar-SA"/>
    </w:rPr>
  </w:style>
  <w:style w:type="paragraph" w:customStyle="1" w:styleId="3121">
    <w:name w:val="样式 3087 10 磅"/>
    <w:pPr>
      <w:widowControl w:val="0"/>
      <w:jc w:val="both"/>
    </w:pPr>
    <w:rPr>
      <w:rFonts w:ascii="Times New Roman" w:eastAsia="宋体" w:cs="Times New Roman" w:hAnsi="Times New Roman"/>
      <w:kern w:val="2"/>
      <w:sz w:val="21"/>
      <w:szCs w:val="21"/>
      <w:lang w:val="en-US" w:eastAsia="zh-CN" w:bidi="ar-SA"/>
    </w:rPr>
  </w:style>
  <w:style w:type="paragraph" w:customStyle="1" w:styleId="3122">
    <w:name w:val="样式 30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3">
    <w:name w:val="样式 30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4">
    <w:name w:val="样式 30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5">
    <w:name w:val="样式 30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6">
    <w:name w:val="样式 30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7">
    <w:name w:val="样式 30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8">
    <w:name w:val="样式 30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29">
    <w:name w:val="样式 30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0">
    <w:name w:val="样式 30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1">
    <w:name w:val="样式 30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2">
    <w:name w:val="样式 30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3">
    <w:name w:val="样式 3099 10 磅"/>
    <w:pPr>
      <w:widowControl w:val="0"/>
      <w:jc w:val="both"/>
    </w:pPr>
    <w:rPr>
      <w:rFonts w:ascii="Calibri" w:eastAsia="宋体" w:cs="Arial" w:hAnsi="Calibri"/>
      <w:kern w:val="2"/>
      <w:sz w:val="21"/>
      <w:szCs w:val="22"/>
      <w:lang w:val="en-US" w:eastAsia="zh-CN" w:bidi="ar-SA"/>
    </w:rPr>
  </w:style>
  <w:style w:type="paragraph" w:customStyle="1" w:styleId="3134">
    <w:name w:val="样式 3100 10 磅"/>
    <w:pPr>
      <w:widowControl w:val="0"/>
      <w:jc w:val="both"/>
    </w:pPr>
    <w:rPr>
      <w:rFonts w:ascii="Calibri" w:eastAsia="宋体" w:cs="Arial" w:hAnsi="Calibri"/>
      <w:kern w:val="2"/>
      <w:sz w:val="21"/>
      <w:szCs w:val="22"/>
      <w:lang w:val="en-US" w:eastAsia="zh-CN" w:bidi="ar-SA"/>
    </w:rPr>
  </w:style>
  <w:style w:type="paragraph" w:customStyle="1" w:styleId="3135">
    <w:name w:val="样式 31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6">
    <w:name w:val="样式 31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7">
    <w:name w:val="样式 31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8">
    <w:name w:val="样式 31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39">
    <w:name w:val="样式 31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0">
    <w:name w:val="样式 31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1">
    <w:name w:val="样式 31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2">
    <w:name w:val="样式 31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3">
    <w:name w:val="样式 31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4">
    <w:name w:val="样式 31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5">
    <w:name w:val="样式 31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6">
    <w:name w:val="样式 31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7">
    <w:name w:val="样式 31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8">
    <w:name w:val="样式 31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49">
    <w:name w:val="样式 31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0">
    <w:name w:val="样式 31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1">
    <w:name w:val="样式 31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2">
    <w:name w:val="样式 31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3">
    <w:name w:val="样式 31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4">
    <w:name w:val="样式 31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5">
    <w:name w:val="样式 31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6">
    <w:name w:val="样式 31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57">
    <w:name w:val="样式 3123 10 磅"/>
    <w:pPr>
      <w:widowControl w:val="0"/>
      <w:jc w:val="both"/>
    </w:pPr>
    <w:rPr>
      <w:rFonts w:ascii="Calibri" w:eastAsia="宋体" w:cs="Arial" w:hAnsi="Calibri"/>
      <w:kern w:val="2"/>
      <w:sz w:val="21"/>
      <w:szCs w:val="22"/>
      <w:lang w:val="en-US" w:eastAsia="zh-CN" w:bidi="ar-SA"/>
    </w:rPr>
  </w:style>
  <w:style w:type="paragraph" w:customStyle="1" w:styleId="3158">
    <w:name w:val="样式 3124 10 磅"/>
    <w:pPr>
      <w:widowControl w:val="0"/>
      <w:jc w:val="both"/>
    </w:pPr>
    <w:rPr>
      <w:rFonts w:ascii="Calibri" w:eastAsia="宋体" w:cs="Arial" w:hAnsi="Calibri"/>
      <w:kern w:val="2"/>
      <w:sz w:val="21"/>
      <w:szCs w:val="22"/>
      <w:lang w:val="en-US" w:eastAsia="zh-CN" w:bidi="ar-SA"/>
    </w:rPr>
  </w:style>
  <w:style w:type="paragraph" w:customStyle="1" w:styleId="3159">
    <w:name w:val="样式 3125 10 磅"/>
    <w:pPr>
      <w:widowControl w:val="0"/>
      <w:jc w:val="both"/>
    </w:pPr>
    <w:rPr>
      <w:rFonts w:ascii="Calibri" w:eastAsia="宋体" w:cs="Arial" w:hAnsi="Calibri"/>
      <w:kern w:val="2"/>
      <w:sz w:val="21"/>
      <w:szCs w:val="22"/>
      <w:lang w:val="en-US" w:eastAsia="zh-CN" w:bidi="ar-SA"/>
    </w:rPr>
  </w:style>
  <w:style w:type="paragraph" w:customStyle="1" w:styleId="3160">
    <w:name w:val="样式 3126 10 磅"/>
    <w:pPr>
      <w:widowControl w:val="0"/>
      <w:jc w:val="both"/>
    </w:pPr>
    <w:rPr>
      <w:rFonts w:ascii="Calibri" w:eastAsia="宋体" w:cs="Arial" w:hAnsi="Calibri"/>
      <w:kern w:val="2"/>
      <w:sz w:val="21"/>
      <w:szCs w:val="22"/>
      <w:lang w:val="en-US" w:eastAsia="zh-CN" w:bidi="ar-SA"/>
    </w:rPr>
  </w:style>
  <w:style w:type="paragraph" w:customStyle="1" w:styleId="3161">
    <w:name w:val="样式 3127 10 磅"/>
    <w:pPr>
      <w:widowControl w:val="0"/>
      <w:jc w:val="both"/>
    </w:pPr>
    <w:rPr>
      <w:rFonts w:ascii="Calibri" w:eastAsia="宋体" w:cs="Arial" w:hAnsi="Calibri"/>
      <w:kern w:val="2"/>
      <w:sz w:val="21"/>
      <w:szCs w:val="22"/>
      <w:lang w:val="en-US" w:eastAsia="zh-CN" w:bidi="ar-SA"/>
    </w:rPr>
  </w:style>
  <w:style w:type="paragraph" w:customStyle="1" w:styleId="3162">
    <w:name w:val="样式 3128 10 磅"/>
    <w:pPr>
      <w:widowControl w:val="0"/>
      <w:jc w:val="both"/>
    </w:pPr>
    <w:rPr>
      <w:rFonts w:ascii="Calibri" w:eastAsia="宋体" w:cs="Arial" w:hAnsi="Calibri"/>
      <w:kern w:val="2"/>
      <w:sz w:val="21"/>
      <w:szCs w:val="22"/>
      <w:lang w:val="en-US" w:eastAsia="zh-CN" w:bidi="ar-SA"/>
    </w:rPr>
  </w:style>
  <w:style w:type="paragraph" w:customStyle="1" w:styleId="3163">
    <w:name w:val="样式 3129 10 磅"/>
    <w:pPr>
      <w:widowControl w:val="0"/>
      <w:jc w:val="both"/>
    </w:pPr>
    <w:rPr>
      <w:rFonts w:ascii="Calibri" w:eastAsia="宋体" w:cs="Arial" w:hAnsi="Calibri"/>
      <w:kern w:val="2"/>
      <w:sz w:val="21"/>
      <w:szCs w:val="22"/>
      <w:lang w:val="en-US" w:eastAsia="zh-CN" w:bidi="ar-SA"/>
    </w:rPr>
  </w:style>
  <w:style w:type="paragraph" w:customStyle="1" w:styleId="3164">
    <w:name w:val="样式 3130 10 磅"/>
    <w:pPr>
      <w:widowControl w:val="0"/>
      <w:jc w:val="both"/>
    </w:pPr>
    <w:rPr>
      <w:rFonts w:ascii="Calibri" w:eastAsia="宋体" w:cs="Arial" w:hAnsi="Calibri"/>
      <w:kern w:val="2"/>
      <w:sz w:val="21"/>
      <w:szCs w:val="22"/>
      <w:lang w:val="en-US" w:eastAsia="zh-CN" w:bidi="ar-SA"/>
    </w:rPr>
  </w:style>
  <w:style w:type="paragraph" w:customStyle="1" w:styleId="3165">
    <w:name w:val="样式 3131 10 磅"/>
    <w:pPr>
      <w:widowControl w:val="0"/>
      <w:jc w:val="both"/>
    </w:pPr>
    <w:rPr>
      <w:rFonts w:ascii="Calibri" w:eastAsia="宋体" w:cs="Arial" w:hAnsi="Calibri"/>
      <w:kern w:val="2"/>
      <w:sz w:val="21"/>
      <w:szCs w:val="22"/>
      <w:lang w:val="en-US" w:eastAsia="zh-CN" w:bidi="ar-SA"/>
    </w:rPr>
  </w:style>
  <w:style w:type="paragraph" w:customStyle="1" w:styleId="3166">
    <w:name w:val="样式 3132 10 磅"/>
    <w:pPr>
      <w:widowControl w:val="0"/>
      <w:jc w:val="both"/>
    </w:pPr>
    <w:rPr>
      <w:rFonts w:ascii="Calibri" w:eastAsia="宋体" w:cs="Arial" w:hAnsi="Calibri"/>
      <w:kern w:val="2"/>
      <w:sz w:val="21"/>
      <w:szCs w:val="22"/>
      <w:lang w:val="en-US" w:eastAsia="zh-CN" w:bidi="ar-SA"/>
    </w:rPr>
  </w:style>
  <w:style w:type="paragraph" w:customStyle="1" w:styleId="3167">
    <w:name w:val="样式 3133 10 磅"/>
    <w:pPr>
      <w:widowControl w:val="0"/>
      <w:jc w:val="both"/>
    </w:pPr>
    <w:rPr>
      <w:rFonts w:ascii="Calibri" w:eastAsia="宋体" w:cs="Arial" w:hAnsi="Calibri"/>
      <w:kern w:val="2"/>
      <w:sz w:val="21"/>
      <w:szCs w:val="22"/>
      <w:lang w:val="en-US" w:eastAsia="zh-CN" w:bidi="ar-SA"/>
    </w:rPr>
  </w:style>
  <w:style w:type="paragraph" w:customStyle="1" w:styleId="3168">
    <w:name w:val="样式 3134 10 磅"/>
    <w:pPr>
      <w:widowControl w:val="0"/>
      <w:jc w:val="both"/>
    </w:pPr>
    <w:rPr>
      <w:rFonts w:ascii="Calibri" w:eastAsia="宋体" w:cs="Arial" w:hAnsi="Calibri"/>
      <w:kern w:val="2"/>
      <w:sz w:val="21"/>
      <w:szCs w:val="22"/>
      <w:lang w:val="en-US" w:eastAsia="zh-CN" w:bidi="ar-SA"/>
    </w:rPr>
  </w:style>
  <w:style w:type="paragraph" w:customStyle="1" w:styleId="3169">
    <w:name w:val="样式 3135 10 磅"/>
    <w:pPr>
      <w:widowControl w:val="0"/>
      <w:jc w:val="both"/>
    </w:pPr>
    <w:rPr>
      <w:rFonts w:ascii="Calibri" w:eastAsia="宋体" w:cs="Arial" w:hAnsi="Calibri"/>
      <w:kern w:val="2"/>
      <w:sz w:val="21"/>
      <w:szCs w:val="22"/>
      <w:lang w:val="en-US" w:eastAsia="zh-CN" w:bidi="ar-SA"/>
    </w:rPr>
  </w:style>
  <w:style w:type="paragraph" w:customStyle="1" w:styleId="3170">
    <w:name w:val="样式 3136 10 磅"/>
    <w:pPr>
      <w:widowControl w:val="0"/>
      <w:jc w:val="both"/>
    </w:pPr>
    <w:rPr>
      <w:rFonts w:ascii="Calibri" w:eastAsia="宋体" w:cs="Arial" w:hAnsi="Calibri"/>
      <w:kern w:val="2"/>
      <w:sz w:val="21"/>
      <w:szCs w:val="22"/>
      <w:lang w:val="en-US" w:eastAsia="zh-CN" w:bidi="ar-SA"/>
    </w:rPr>
  </w:style>
  <w:style w:type="paragraph" w:customStyle="1" w:styleId="3171">
    <w:name w:val="样式 3137 10 磅"/>
    <w:pPr>
      <w:widowControl w:val="0"/>
      <w:jc w:val="both"/>
    </w:pPr>
    <w:rPr>
      <w:rFonts w:ascii="Calibri" w:eastAsia="宋体" w:cs="Arial" w:hAnsi="Calibri"/>
      <w:kern w:val="2"/>
      <w:sz w:val="21"/>
      <w:szCs w:val="22"/>
      <w:lang w:val="en-US" w:eastAsia="zh-CN" w:bidi="ar-SA"/>
    </w:rPr>
  </w:style>
  <w:style w:type="paragraph" w:customStyle="1" w:styleId="3172">
    <w:name w:val="样式 3138 10 磅"/>
    <w:pPr>
      <w:widowControl w:val="0"/>
      <w:jc w:val="both"/>
    </w:pPr>
    <w:rPr>
      <w:rFonts w:ascii="Calibri" w:eastAsia="宋体" w:cs="Arial" w:hAnsi="Calibri"/>
      <w:kern w:val="2"/>
      <w:sz w:val="21"/>
      <w:szCs w:val="22"/>
      <w:lang w:val="en-US" w:eastAsia="zh-CN" w:bidi="ar-SA"/>
    </w:rPr>
  </w:style>
  <w:style w:type="paragraph" w:customStyle="1" w:styleId="3173">
    <w:name w:val="样式 3139 10 磅"/>
    <w:pPr>
      <w:widowControl w:val="0"/>
      <w:jc w:val="both"/>
    </w:pPr>
    <w:rPr>
      <w:rFonts w:ascii="Calibri" w:eastAsia="宋体" w:cs="Arial" w:hAnsi="Calibri"/>
      <w:kern w:val="2"/>
      <w:sz w:val="21"/>
      <w:szCs w:val="22"/>
      <w:lang w:val="en-US" w:eastAsia="zh-CN" w:bidi="ar-SA"/>
    </w:rPr>
  </w:style>
  <w:style w:type="paragraph" w:customStyle="1" w:styleId="3174">
    <w:name w:val="样式 3140 10 磅"/>
    <w:pPr>
      <w:widowControl w:val="0"/>
      <w:jc w:val="both"/>
    </w:pPr>
    <w:rPr>
      <w:rFonts w:ascii="Calibri" w:eastAsia="宋体" w:cs="Arial" w:hAnsi="Calibri"/>
      <w:kern w:val="2"/>
      <w:sz w:val="21"/>
      <w:szCs w:val="22"/>
      <w:lang w:val="en-US" w:eastAsia="zh-CN" w:bidi="ar-SA"/>
    </w:rPr>
  </w:style>
  <w:style w:type="paragraph" w:customStyle="1" w:styleId="3175">
    <w:name w:val="样式 3141 10 磅"/>
    <w:pPr>
      <w:widowControl w:val="0"/>
      <w:jc w:val="both"/>
    </w:pPr>
    <w:rPr>
      <w:rFonts w:ascii="Calibri" w:eastAsia="宋体" w:cs="Arial" w:hAnsi="Calibri"/>
      <w:kern w:val="2"/>
      <w:sz w:val="21"/>
      <w:szCs w:val="22"/>
      <w:lang w:val="en-US" w:eastAsia="zh-CN" w:bidi="ar-SA"/>
    </w:rPr>
  </w:style>
  <w:style w:type="paragraph" w:customStyle="1" w:styleId="3176">
    <w:name w:val="样式 3142 10 磅"/>
    <w:pPr>
      <w:widowControl w:val="0"/>
      <w:jc w:val="both"/>
    </w:pPr>
    <w:rPr>
      <w:rFonts w:ascii="Calibri" w:eastAsia="宋体" w:cs="Arial" w:hAnsi="Calibri"/>
      <w:kern w:val="2"/>
      <w:sz w:val="21"/>
      <w:szCs w:val="22"/>
      <w:lang w:val="en-US" w:eastAsia="zh-CN" w:bidi="ar-SA"/>
    </w:rPr>
  </w:style>
  <w:style w:type="paragraph" w:customStyle="1" w:styleId="3177">
    <w:name w:val="样式 3143 10 磅"/>
    <w:pPr>
      <w:widowControl w:val="0"/>
      <w:jc w:val="both"/>
    </w:pPr>
    <w:rPr>
      <w:rFonts w:ascii="Calibri" w:eastAsia="宋体" w:cs="Arial" w:hAnsi="Calibri"/>
      <w:kern w:val="2"/>
      <w:sz w:val="21"/>
      <w:szCs w:val="22"/>
      <w:lang w:val="en-US" w:eastAsia="zh-CN" w:bidi="ar-SA"/>
    </w:rPr>
  </w:style>
  <w:style w:type="paragraph" w:customStyle="1" w:styleId="3178">
    <w:name w:val="样式 3144 10 磅"/>
    <w:pPr>
      <w:widowControl w:val="0"/>
      <w:jc w:val="both"/>
    </w:pPr>
    <w:rPr>
      <w:rFonts w:ascii="Calibri" w:eastAsia="宋体" w:cs="Arial" w:hAnsi="Calibri"/>
      <w:kern w:val="2"/>
      <w:sz w:val="21"/>
      <w:szCs w:val="22"/>
      <w:lang w:val="en-US" w:eastAsia="zh-CN" w:bidi="ar-SA"/>
    </w:rPr>
  </w:style>
  <w:style w:type="paragraph" w:customStyle="1" w:styleId="3179">
    <w:name w:val="样式 3145 10 磅"/>
    <w:pPr>
      <w:widowControl w:val="0"/>
      <w:jc w:val="both"/>
    </w:pPr>
    <w:rPr>
      <w:rFonts w:ascii="Calibri" w:eastAsia="宋体" w:cs="Arial" w:hAnsi="Calibri"/>
      <w:kern w:val="2"/>
      <w:sz w:val="21"/>
      <w:szCs w:val="22"/>
      <w:lang w:val="en-US" w:eastAsia="zh-CN" w:bidi="ar-SA"/>
    </w:rPr>
  </w:style>
  <w:style w:type="paragraph" w:customStyle="1" w:styleId="3180">
    <w:name w:val="样式 3146 10 磅"/>
    <w:pPr>
      <w:widowControl w:val="0"/>
      <w:jc w:val="both"/>
    </w:pPr>
    <w:rPr>
      <w:rFonts w:ascii="Calibri" w:eastAsia="宋体" w:cs="Arial" w:hAnsi="Calibri"/>
      <w:kern w:val="2"/>
      <w:sz w:val="21"/>
      <w:szCs w:val="22"/>
      <w:lang w:val="en-US" w:eastAsia="zh-CN" w:bidi="ar-SA"/>
    </w:rPr>
  </w:style>
  <w:style w:type="paragraph" w:customStyle="1" w:styleId="3181">
    <w:name w:val="样式 3147 10 磅"/>
    <w:pPr>
      <w:widowControl w:val="0"/>
      <w:jc w:val="both"/>
    </w:pPr>
    <w:rPr>
      <w:rFonts w:ascii="Calibri" w:eastAsia="宋体" w:cs="Arial" w:hAnsi="Calibri"/>
      <w:kern w:val="2"/>
      <w:sz w:val="21"/>
      <w:szCs w:val="22"/>
      <w:lang w:val="en-US" w:eastAsia="zh-CN" w:bidi="ar-SA"/>
    </w:rPr>
  </w:style>
  <w:style w:type="paragraph" w:customStyle="1" w:styleId="3182">
    <w:name w:val="样式 3148 10 磅"/>
    <w:pPr>
      <w:widowControl w:val="0"/>
      <w:jc w:val="both"/>
    </w:pPr>
    <w:rPr>
      <w:rFonts w:ascii="Calibri" w:eastAsia="宋体" w:cs="Arial" w:hAnsi="Calibri"/>
      <w:kern w:val="2"/>
      <w:sz w:val="21"/>
      <w:szCs w:val="22"/>
      <w:lang w:val="en-US" w:eastAsia="zh-CN" w:bidi="ar-SA"/>
    </w:rPr>
  </w:style>
  <w:style w:type="paragraph" w:customStyle="1" w:styleId="3183">
    <w:name w:val="样式 3149 10 磅"/>
    <w:pPr>
      <w:widowControl w:val="0"/>
      <w:jc w:val="both"/>
    </w:pPr>
    <w:rPr>
      <w:rFonts w:ascii="Calibri" w:eastAsia="宋体" w:cs="Arial" w:hAnsi="Calibri"/>
      <w:kern w:val="2"/>
      <w:sz w:val="21"/>
      <w:szCs w:val="22"/>
      <w:lang w:val="en-US" w:eastAsia="zh-CN" w:bidi="ar-SA"/>
    </w:rPr>
  </w:style>
  <w:style w:type="paragraph" w:customStyle="1" w:styleId="3184">
    <w:name w:val="样式 3150 10 磅"/>
    <w:pPr>
      <w:widowControl w:val="0"/>
      <w:jc w:val="both"/>
    </w:pPr>
    <w:rPr>
      <w:rFonts w:ascii="Calibri" w:eastAsia="宋体" w:cs="Arial" w:hAnsi="Calibri"/>
      <w:kern w:val="2"/>
      <w:sz w:val="21"/>
      <w:szCs w:val="22"/>
      <w:lang w:val="en-US" w:eastAsia="zh-CN" w:bidi="ar-SA"/>
    </w:rPr>
  </w:style>
  <w:style w:type="paragraph" w:customStyle="1" w:styleId="3185">
    <w:name w:val="样式 3151 10 磅"/>
    <w:pPr>
      <w:widowControl w:val="0"/>
      <w:jc w:val="both"/>
    </w:pPr>
    <w:rPr>
      <w:rFonts w:ascii="Calibri" w:eastAsia="宋体" w:cs="Arial" w:hAnsi="Calibri"/>
      <w:kern w:val="2"/>
      <w:sz w:val="21"/>
      <w:szCs w:val="22"/>
      <w:lang w:val="en-US" w:eastAsia="zh-CN" w:bidi="ar-SA"/>
    </w:rPr>
  </w:style>
  <w:style w:type="paragraph" w:customStyle="1" w:styleId="3186">
    <w:name w:val="样式 3152 10 磅"/>
    <w:pPr>
      <w:widowControl w:val="0"/>
      <w:jc w:val="both"/>
    </w:pPr>
    <w:rPr>
      <w:rFonts w:ascii="Calibri" w:eastAsia="宋体" w:cs="Arial" w:hAnsi="Calibri"/>
      <w:kern w:val="2"/>
      <w:sz w:val="21"/>
      <w:szCs w:val="22"/>
      <w:lang w:val="en-US" w:eastAsia="zh-CN" w:bidi="ar-SA"/>
    </w:rPr>
  </w:style>
  <w:style w:type="paragraph" w:customStyle="1" w:styleId="3187">
    <w:name w:val="样式 3153 10 磅"/>
    <w:pPr>
      <w:widowControl w:val="0"/>
      <w:jc w:val="both"/>
    </w:pPr>
    <w:rPr>
      <w:rFonts w:ascii="Calibri" w:eastAsia="宋体" w:cs="Arial" w:hAnsi="Calibri"/>
      <w:kern w:val="2"/>
      <w:sz w:val="21"/>
      <w:szCs w:val="22"/>
      <w:lang w:val="en-US" w:eastAsia="zh-CN" w:bidi="ar-SA"/>
    </w:rPr>
  </w:style>
  <w:style w:type="paragraph" w:customStyle="1" w:styleId="3188">
    <w:name w:val="样式 3154 10 磅"/>
    <w:pPr>
      <w:widowControl w:val="0"/>
      <w:jc w:val="both"/>
    </w:pPr>
    <w:rPr>
      <w:rFonts w:ascii="Calibri" w:eastAsia="宋体" w:cs="Arial" w:hAnsi="Calibri"/>
      <w:kern w:val="2"/>
      <w:sz w:val="21"/>
      <w:szCs w:val="22"/>
      <w:lang w:val="en-US" w:eastAsia="zh-CN" w:bidi="ar-SA"/>
    </w:rPr>
  </w:style>
  <w:style w:type="paragraph" w:customStyle="1" w:styleId="3189">
    <w:name w:val="样式 3155 10 磅"/>
    <w:pPr>
      <w:widowControl w:val="0"/>
      <w:jc w:val="both"/>
    </w:pPr>
    <w:rPr>
      <w:rFonts w:ascii="Calibri" w:eastAsia="宋体" w:cs="Arial" w:hAnsi="Calibri"/>
      <w:kern w:val="2"/>
      <w:sz w:val="21"/>
      <w:szCs w:val="22"/>
      <w:lang w:val="en-US" w:eastAsia="zh-CN" w:bidi="ar-SA"/>
    </w:rPr>
  </w:style>
  <w:style w:type="paragraph" w:customStyle="1" w:styleId="3190">
    <w:name w:val="样式 3156 10 磅"/>
    <w:pPr>
      <w:widowControl w:val="0"/>
      <w:jc w:val="both"/>
    </w:pPr>
    <w:rPr>
      <w:rFonts w:ascii="Calibri" w:eastAsia="宋体" w:cs="Arial" w:hAnsi="Calibri"/>
      <w:kern w:val="2"/>
      <w:sz w:val="21"/>
      <w:szCs w:val="22"/>
      <w:lang w:val="en-US" w:eastAsia="zh-CN" w:bidi="ar-SA"/>
    </w:rPr>
  </w:style>
  <w:style w:type="paragraph" w:customStyle="1" w:styleId="3191">
    <w:name w:val="样式 3157 10 磅"/>
    <w:pPr>
      <w:widowControl w:val="0"/>
      <w:jc w:val="both"/>
    </w:pPr>
    <w:rPr>
      <w:rFonts w:ascii="Calibri" w:eastAsia="宋体" w:cs="Arial" w:hAnsi="Calibri"/>
      <w:kern w:val="2"/>
      <w:sz w:val="21"/>
      <w:szCs w:val="22"/>
      <w:lang w:val="en-US" w:eastAsia="zh-CN" w:bidi="ar-SA"/>
    </w:rPr>
  </w:style>
  <w:style w:type="paragraph" w:customStyle="1" w:styleId="3192">
    <w:name w:val="样式 3158 10 磅"/>
    <w:pPr>
      <w:widowControl w:val="0"/>
      <w:jc w:val="both"/>
    </w:pPr>
    <w:rPr>
      <w:rFonts w:ascii="Calibri" w:eastAsia="宋体" w:cs="Arial" w:hAnsi="Calibri"/>
      <w:kern w:val="2"/>
      <w:sz w:val="21"/>
      <w:szCs w:val="22"/>
      <w:lang w:val="en-US" w:eastAsia="zh-CN" w:bidi="ar-SA"/>
    </w:rPr>
  </w:style>
  <w:style w:type="paragraph" w:customStyle="1" w:styleId="3193">
    <w:name w:val="样式 3159 10 磅"/>
    <w:pPr>
      <w:widowControl w:val="0"/>
      <w:jc w:val="both"/>
    </w:pPr>
    <w:rPr>
      <w:rFonts w:ascii="Calibri" w:eastAsia="宋体" w:cs="Arial" w:hAnsi="Calibri"/>
      <w:kern w:val="2"/>
      <w:sz w:val="21"/>
      <w:szCs w:val="22"/>
      <w:lang w:val="en-US" w:eastAsia="zh-CN" w:bidi="ar-SA"/>
    </w:rPr>
  </w:style>
  <w:style w:type="paragraph" w:customStyle="1" w:styleId="3194">
    <w:name w:val="样式 3160 10 磅"/>
    <w:pPr>
      <w:widowControl w:val="0"/>
      <w:jc w:val="both"/>
    </w:pPr>
    <w:rPr>
      <w:rFonts w:ascii="Calibri" w:eastAsia="宋体" w:cs="Arial" w:hAnsi="Calibri"/>
      <w:kern w:val="2"/>
      <w:sz w:val="21"/>
      <w:szCs w:val="22"/>
      <w:lang w:val="en-US" w:eastAsia="zh-CN" w:bidi="ar-SA"/>
    </w:rPr>
  </w:style>
  <w:style w:type="paragraph" w:customStyle="1" w:styleId="3195">
    <w:name w:val="样式 3161 10 磅"/>
    <w:pPr>
      <w:widowControl w:val="0"/>
      <w:jc w:val="both"/>
    </w:pPr>
    <w:rPr>
      <w:rFonts w:ascii="Calibri" w:eastAsia="宋体" w:cs="Arial" w:hAnsi="Calibri"/>
      <w:kern w:val="2"/>
      <w:sz w:val="21"/>
      <w:szCs w:val="22"/>
      <w:lang w:val="en-US" w:eastAsia="zh-CN" w:bidi="ar-SA"/>
    </w:rPr>
  </w:style>
  <w:style w:type="paragraph" w:customStyle="1" w:styleId="3196">
    <w:name w:val="样式 3162 10 磅"/>
    <w:pPr>
      <w:widowControl w:val="0"/>
      <w:jc w:val="both"/>
    </w:pPr>
    <w:rPr>
      <w:rFonts w:ascii="Calibri" w:eastAsia="宋体" w:cs="Arial" w:hAnsi="Calibri"/>
      <w:kern w:val="2"/>
      <w:sz w:val="21"/>
      <w:szCs w:val="22"/>
      <w:lang w:val="en-US" w:eastAsia="zh-CN" w:bidi="ar-SA"/>
    </w:rPr>
  </w:style>
  <w:style w:type="paragraph" w:customStyle="1" w:styleId="3197">
    <w:name w:val="样式 3163 10 磅"/>
    <w:pPr>
      <w:widowControl w:val="0"/>
      <w:jc w:val="both"/>
    </w:pPr>
    <w:rPr>
      <w:rFonts w:ascii="Calibri" w:eastAsia="宋体" w:cs="Arial" w:hAnsi="Calibri"/>
      <w:kern w:val="2"/>
      <w:sz w:val="21"/>
      <w:szCs w:val="22"/>
      <w:lang w:val="en-US" w:eastAsia="zh-CN" w:bidi="ar-SA"/>
    </w:rPr>
  </w:style>
  <w:style w:type="paragraph" w:customStyle="1" w:styleId="3198">
    <w:name w:val="样式 3164 10 磅"/>
    <w:pPr>
      <w:widowControl w:val="0"/>
      <w:jc w:val="both"/>
    </w:pPr>
    <w:rPr>
      <w:rFonts w:ascii="Calibri" w:eastAsia="宋体" w:cs="Arial" w:hAnsi="Calibri"/>
      <w:kern w:val="2"/>
      <w:sz w:val="21"/>
      <w:szCs w:val="22"/>
      <w:lang w:val="en-US" w:eastAsia="zh-CN" w:bidi="ar-SA"/>
    </w:rPr>
  </w:style>
  <w:style w:type="paragraph" w:customStyle="1" w:styleId="3199">
    <w:name w:val="样式 3165 10 磅"/>
    <w:pPr>
      <w:widowControl w:val="0"/>
      <w:jc w:val="both"/>
    </w:pPr>
    <w:rPr>
      <w:rFonts w:ascii="Calibri" w:eastAsia="宋体" w:cs="Arial" w:hAnsi="Calibri"/>
      <w:kern w:val="2"/>
      <w:sz w:val="21"/>
      <w:szCs w:val="22"/>
      <w:lang w:val="en-US" w:eastAsia="zh-CN" w:bidi="ar-SA"/>
    </w:rPr>
  </w:style>
  <w:style w:type="paragraph" w:customStyle="1" w:styleId="3200">
    <w:name w:val="样式 3166 10 磅"/>
    <w:pPr>
      <w:widowControl w:val="0"/>
      <w:jc w:val="both"/>
    </w:pPr>
    <w:rPr>
      <w:rFonts w:ascii="Calibri" w:eastAsia="宋体" w:cs="Arial" w:hAnsi="Calibri"/>
      <w:kern w:val="2"/>
      <w:sz w:val="21"/>
      <w:szCs w:val="22"/>
      <w:lang w:val="en-US" w:eastAsia="zh-CN" w:bidi="ar-SA"/>
    </w:rPr>
  </w:style>
  <w:style w:type="paragraph" w:customStyle="1" w:styleId="3201">
    <w:name w:val="样式 3167 10 磅"/>
    <w:pPr>
      <w:widowControl w:val="0"/>
      <w:jc w:val="both"/>
    </w:pPr>
    <w:rPr>
      <w:rFonts w:ascii="Calibri" w:eastAsia="宋体" w:cs="Arial" w:hAnsi="Calibri"/>
      <w:kern w:val="2"/>
      <w:sz w:val="21"/>
      <w:szCs w:val="22"/>
      <w:lang w:val="en-US" w:eastAsia="zh-CN" w:bidi="ar-SA"/>
    </w:rPr>
  </w:style>
  <w:style w:type="paragraph" w:customStyle="1" w:styleId="3202">
    <w:name w:val="样式 3168 10 磅"/>
    <w:pPr>
      <w:widowControl w:val="0"/>
      <w:jc w:val="both"/>
    </w:pPr>
    <w:rPr>
      <w:rFonts w:ascii="Calibri" w:eastAsia="宋体" w:cs="Arial" w:hAnsi="Calibri"/>
      <w:kern w:val="2"/>
      <w:sz w:val="21"/>
      <w:szCs w:val="22"/>
      <w:lang w:val="en-US" w:eastAsia="zh-CN" w:bidi="ar-SA"/>
    </w:rPr>
  </w:style>
  <w:style w:type="paragraph" w:customStyle="1" w:styleId="3203">
    <w:name w:val="样式 3169 10 磅"/>
    <w:pPr>
      <w:widowControl w:val="0"/>
      <w:jc w:val="both"/>
    </w:pPr>
    <w:rPr>
      <w:rFonts w:ascii="Calibri" w:eastAsia="宋体" w:cs="Arial" w:hAnsi="Calibri"/>
      <w:kern w:val="2"/>
      <w:sz w:val="21"/>
      <w:szCs w:val="22"/>
      <w:lang w:val="en-US" w:eastAsia="zh-CN" w:bidi="ar-SA"/>
    </w:rPr>
  </w:style>
  <w:style w:type="paragraph" w:customStyle="1" w:styleId="3204">
    <w:name w:val="样式 3170 10 磅"/>
    <w:pPr>
      <w:widowControl w:val="0"/>
      <w:jc w:val="both"/>
    </w:pPr>
    <w:rPr>
      <w:rFonts w:ascii="Calibri" w:eastAsia="宋体" w:cs="Arial" w:hAnsi="Calibri"/>
      <w:kern w:val="2"/>
      <w:sz w:val="21"/>
      <w:szCs w:val="22"/>
      <w:lang w:val="en-US" w:eastAsia="zh-CN" w:bidi="ar-SA"/>
    </w:rPr>
  </w:style>
  <w:style w:type="paragraph" w:customStyle="1" w:styleId="3205">
    <w:name w:val="样式 3171 10 磅"/>
    <w:pPr>
      <w:widowControl w:val="0"/>
      <w:jc w:val="both"/>
    </w:pPr>
    <w:rPr>
      <w:rFonts w:ascii="Calibri" w:eastAsia="宋体" w:cs="Arial" w:hAnsi="Calibri"/>
      <w:kern w:val="2"/>
      <w:sz w:val="21"/>
      <w:szCs w:val="22"/>
      <w:lang w:val="en-US" w:eastAsia="zh-CN" w:bidi="ar-SA"/>
    </w:rPr>
  </w:style>
  <w:style w:type="paragraph" w:customStyle="1" w:styleId="3206">
    <w:name w:val="样式 3172 10 磅"/>
    <w:pPr>
      <w:widowControl w:val="0"/>
      <w:jc w:val="both"/>
    </w:pPr>
    <w:rPr>
      <w:rFonts w:ascii="Calibri" w:eastAsia="宋体" w:cs="Arial" w:hAnsi="Calibri"/>
      <w:kern w:val="2"/>
      <w:sz w:val="21"/>
      <w:szCs w:val="22"/>
      <w:lang w:val="en-US" w:eastAsia="zh-CN" w:bidi="ar-SA"/>
    </w:rPr>
  </w:style>
  <w:style w:type="paragraph" w:customStyle="1" w:styleId="3207">
    <w:name w:val="样式 3173 10 磅"/>
    <w:pPr>
      <w:widowControl w:val="0"/>
      <w:jc w:val="both"/>
    </w:pPr>
    <w:rPr>
      <w:rFonts w:ascii="Calibri" w:eastAsia="宋体" w:cs="Arial" w:hAnsi="Calibri"/>
      <w:kern w:val="2"/>
      <w:sz w:val="21"/>
      <w:szCs w:val="22"/>
      <w:lang w:val="en-US" w:eastAsia="zh-CN" w:bidi="ar-SA"/>
    </w:rPr>
  </w:style>
  <w:style w:type="paragraph" w:customStyle="1" w:styleId="3208">
    <w:name w:val="样式 3174 10 磅"/>
    <w:pPr>
      <w:widowControl w:val="0"/>
      <w:jc w:val="both"/>
    </w:pPr>
    <w:rPr>
      <w:rFonts w:ascii="Calibri" w:eastAsia="宋体" w:cs="Arial" w:hAnsi="Calibri"/>
      <w:kern w:val="2"/>
      <w:sz w:val="21"/>
      <w:szCs w:val="22"/>
      <w:lang w:val="en-US" w:eastAsia="zh-CN" w:bidi="ar-SA"/>
    </w:rPr>
  </w:style>
  <w:style w:type="paragraph" w:customStyle="1" w:styleId="3209">
    <w:name w:val="样式 3175 10 磅"/>
    <w:pPr>
      <w:widowControl w:val="0"/>
      <w:jc w:val="both"/>
    </w:pPr>
    <w:rPr>
      <w:rFonts w:ascii="Calibri" w:eastAsia="宋体" w:cs="Arial" w:hAnsi="Calibri"/>
      <w:kern w:val="2"/>
      <w:sz w:val="21"/>
      <w:szCs w:val="22"/>
      <w:lang w:val="en-US" w:eastAsia="zh-CN" w:bidi="ar-SA"/>
    </w:rPr>
  </w:style>
  <w:style w:type="paragraph" w:customStyle="1" w:styleId="3210">
    <w:name w:val="样式 3176 10 磅"/>
    <w:pPr>
      <w:widowControl w:val="0"/>
      <w:jc w:val="both"/>
    </w:pPr>
    <w:rPr>
      <w:rFonts w:ascii="Calibri" w:eastAsia="宋体" w:cs="Arial" w:hAnsi="Calibri"/>
      <w:kern w:val="2"/>
      <w:sz w:val="21"/>
      <w:szCs w:val="22"/>
      <w:lang w:val="en-US" w:eastAsia="zh-CN" w:bidi="ar-SA"/>
    </w:rPr>
  </w:style>
  <w:style w:type="paragraph" w:customStyle="1" w:styleId="3211">
    <w:name w:val="样式 3177 10 磅"/>
    <w:pPr>
      <w:widowControl w:val="0"/>
      <w:jc w:val="both"/>
    </w:pPr>
    <w:rPr>
      <w:rFonts w:ascii="Calibri" w:eastAsia="宋体" w:cs="Arial" w:hAnsi="Calibri"/>
      <w:kern w:val="2"/>
      <w:sz w:val="21"/>
      <w:szCs w:val="22"/>
      <w:lang w:val="en-US" w:eastAsia="zh-CN" w:bidi="ar-SA"/>
    </w:rPr>
  </w:style>
  <w:style w:type="paragraph" w:customStyle="1" w:styleId="3212">
    <w:name w:val="样式 3178 10 磅"/>
    <w:pPr>
      <w:widowControl w:val="0"/>
      <w:jc w:val="both"/>
    </w:pPr>
    <w:rPr>
      <w:rFonts w:ascii="Calibri" w:eastAsia="宋体" w:cs="Arial" w:hAnsi="Calibri"/>
      <w:kern w:val="2"/>
      <w:sz w:val="21"/>
      <w:szCs w:val="22"/>
      <w:lang w:val="en-US" w:eastAsia="zh-CN" w:bidi="ar-SA"/>
    </w:rPr>
  </w:style>
  <w:style w:type="paragraph" w:customStyle="1" w:styleId="3213">
    <w:name w:val="样式 3179 10 磅"/>
    <w:pPr>
      <w:widowControl w:val="0"/>
      <w:jc w:val="both"/>
    </w:pPr>
    <w:rPr>
      <w:rFonts w:ascii="Calibri" w:eastAsia="宋体" w:cs="Arial" w:hAnsi="Calibri"/>
      <w:kern w:val="2"/>
      <w:sz w:val="21"/>
      <w:szCs w:val="22"/>
      <w:lang w:val="en-US" w:eastAsia="zh-CN" w:bidi="ar-SA"/>
    </w:rPr>
  </w:style>
  <w:style w:type="paragraph" w:customStyle="1" w:styleId="3214">
    <w:name w:val="样式 3180 10 磅"/>
    <w:pPr>
      <w:widowControl w:val="0"/>
      <w:jc w:val="both"/>
    </w:pPr>
    <w:rPr>
      <w:rFonts w:ascii="Calibri" w:eastAsia="宋体" w:cs="Arial" w:hAnsi="Calibri"/>
      <w:kern w:val="2"/>
      <w:sz w:val="21"/>
      <w:szCs w:val="22"/>
      <w:lang w:val="en-US" w:eastAsia="zh-CN" w:bidi="ar-SA"/>
    </w:rPr>
  </w:style>
  <w:style w:type="paragraph" w:customStyle="1" w:styleId="3215">
    <w:name w:val="样式 3181 10 磅"/>
    <w:pPr>
      <w:widowControl w:val="0"/>
      <w:jc w:val="both"/>
    </w:pPr>
    <w:rPr>
      <w:rFonts w:ascii="Calibri" w:eastAsia="宋体" w:cs="Arial" w:hAnsi="Calibri"/>
      <w:kern w:val="2"/>
      <w:sz w:val="21"/>
      <w:szCs w:val="22"/>
      <w:lang w:val="en-US" w:eastAsia="zh-CN" w:bidi="ar-SA"/>
    </w:rPr>
  </w:style>
  <w:style w:type="paragraph" w:customStyle="1" w:styleId="3216">
    <w:name w:val="样式 3182 10 磅"/>
    <w:pPr>
      <w:widowControl w:val="0"/>
      <w:jc w:val="both"/>
    </w:pPr>
    <w:rPr>
      <w:rFonts w:ascii="Calibri" w:eastAsia="宋体" w:cs="Arial" w:hAnsi="Calibri"/>
      <w:kern w:val="2"/>
      <w:sz w:val="21"/>
      <w:szCs w:val="22"/>
      <w:lang w:val="en-US" w:eastAsia="zh-CN" w:bidi="ar-SA"/>
    </w:rPr>
  </w:style>
  <w:style w:type="paragraph" w:customStyle="1" w:styleId="3217">
    <w:name w:val="样式 3183 10 磅"/>
    <w:pPr>
      <w:widowControl w:val="0"/>
      <w:jc w:val="both"/>
    </w:pPr>
    <w:rPr>
      <w:rFonts w:ascii="Calibri" w:eastAsia="宋体" w:cs="Arial" w:hAnsi="Calibri"/>
      <w:kern w:val="2"/>
      <w:sz w:val="21"/>
      <w:szCs w:val="22"/>
      <w:lang w:val="en-US" w:eastAsia="zh-CN" w:bidi="ar-SA"/>
    </w:rPr>
  </w:style>
  <w:style w:type="paragraph" w:customStyle="1" w:styleId="3218">
    <w:name w:val="样式 3184 10 磅"/>
    <w:pPr>
      <w:widowControl w:val="0"/>
      <w:jc w:val="both"/>
    </w:pPr>
    <w:rPr>
      <w:rFonts w:ascii="Calibri" w:eastAsia="宋体" w:cs="Arial" w:hAnsi="Calibri"/>
      <w:kern w:val="2"/>
      <w:sz w:val="21"/>
      <w:szCs w:val="22"/>
      <w:lang w:val="en-US" w:eastAsia="zh-CN" w:bidi="ar-SA"/>
    </w:rPr>
  </w:style>
  <w:style w:type="paragraph" w:customStyle="1" w:styleId="3219">
    <w:name w:val="样式 3185 10 磅"/>
    <w:pPr>
      <w:widowControl w:val="0"/>
      <w:jc w:val="both"/>
    </w:pPr>
    <w:rPr>
      <w:rFonts w:ascii="Calibri" w:eastAsia="宋体" w:cs="Arial" w:hAnsi="Calibri"/>
      <w:kern w:val="2"/>
      <w:sz w:val="21"/>
      <w:szCs w:val="22"/>
      <w:lang w:val="en-US" w:eastAsia="zh-CN" w:bidi="ar-SA"/>
    </w:rPr>
  </w:style>
  <w:style w:type="paragraph" w:customStyle="1" w:styleId="3220">
    <w:name w:val="样式 3186 10 磅"/>
    <w:pPr>
      <w:widowControl w:val="0"/>
      <w:jc w:val="both"/>
    </w:pPr>
    <w:rPr>
      <w:rFonts w:ascii="Calibri" w:eastAsia="宋体" w:cs="Arial" w:hAnsi="Calibri"/>
      <w:kern w:val="2"/>
      <w:sz w:val="21"/>
      <w:szCs w:val="22"/>
      <w:lang w:val="en-US" w:eastAsia="zh-CN" w:bidi="ar-SA"/>
    </w:rPr>
  </w:style>
  <w:style w:type="paragraph" w:customStyle="1" w:styleId="3221">
    <w:name w:val="样式 3187 10 磅"/>
    <w:pPr>
      <w:widowControl w:val="0"/>
      <w:jc w:val="both"/>
    </w:pPr>
    <w:rPr>
      <w:rFonts w:ascii="Calibri" w:eastAsia="宋体" w:cs="Arial" w:hAnsi="Calibri"/>
      <w:kern w:val="2"/>
      <w:sz w:val="21"/>
      <w:szCs w:val="22"/>
      <w:lang w:val="en-US" w:eastAsia="zh-CN" w:bidi="ar-SA"/>
    </w:rPr>
  </w:style>
  <w:style w:type="paragraph" w:customStyle="1" w:styleId="3222">
    <w:name w:val="样式 3188 10 磅"/>
    <w:pPr>
      <w:widowControl w:val="0"/>
      <w:jc w:val="both"/>
    </w:pPr>
    <w:rPr>
      <w:rFonts w:ascii="Calibri" w:eastAsia="宋体" w:cs="Arial" w:hAnsi="Calibri"/>
      <w:kern w:val="2"/>
      <w:sz w:val="21"/>
      <w:szCs w:val="22"/>
      <w:lang w:val="en-US" w:eastAsia="zh-CN" w:bidi="ar-SA"/>
    </w:rPr>
  </w:style>
  <w:style w:type="paragraph" w:customStyle="1" w:styleId="3223">
    <w:name w:val="样式 3189 10 磅"/>
    <w:pPr>
      <w:widowControl w:val="0"/>
      <w:jc w:val="both"/>
    </w:pPr>
    <w:rPr>
      <w:rFonts w:ascii="Calibri" w:eastAsia="宋体" w:cs="Arial" w:hAnsi="Calibri"/>
      <w:kern w:val="2"/>
      <w:sz w:val="21"/>
      <w:szCs w:val="22"/>
      <w:lang w:val="en-US" w:eastAsia="zh-CN" w:bidi="ar-SA"/>
    </w:rPr>
  </w:style>
  <w:style w:type="paragraph" w:customStyle="1" w:styleId="3224">
    <w:name w:val="样式 3190 10 磅"/>
    <w:pPr>
      <w:widowControl w:val="0"/>
      <w:jc w:val="both"/>
    </w:pPr>
    <w:rPr>
      <w:rFonts w:ascii="Calibri" w:eastAsia="宋体" w:cs="Arial" w:hAnsi="Calibri"/>
      <w:kern w:val="2"/>
      <w:sz w:val="21"/>
      <w:szCs w:val="22"/>
      <w:lang w:val="en-US" w:eastAsia="zh-CN" w:bidi="ar-SA"/>
    </w:rPr>
  </w:style>
  <w:style w:type="paragraph" w:customStyle="1" w:styleId="3225">
    <w:name w:val="样式 3191 10 磅"/>
    <w:pPr>
      <w:widowControl w:val="0"/>
      <w:jc w:val="both"/>
    </w:pPr>
    <w:rPr>
      <w:rFonts w:ascii="Calibri" w:eastAsia="宋体" w:cs="Arial" w:hAnsi="Calibri"/>
      <w:kern w:val="2"/>
      <w:sz w:val="21"/>
      <w:szCs w:val="22"/>
      <w:lang w:val="en-US" w:eastAsia="zh-CN" w:bidi="ar-SA"/>
    </w:rPr>
  </w:style>
  <w:style w:type="paragraph" w:customStyle="1" w:styleId="3226">
    <w:name w:val="样式 3192 10 磅"/>
    <w:pPr>
      <w:widowControl w:val="0"/>
      <w:jc w:val="both"/>
    </w:pPr>
    <w:rPr>
      <w:rFonts w:ascii="Calibri" w:eastAsia="宋体" w:cs="Arial" w:hAnsi="Calibri"/>
      <w:kern w:val="2"/>
      <w:sz w:val="21"/>
      <w:szCs w:val="22"/>
      <w:lang w:val="en-US" w:eastAsia="zh-CN" w:bidi="ar-SA"/>
    </w:rPr>
  </w:style>
  <w:style w:type="paragraph" w:customStyle="1" w:styleId="3227">
    <w:name w:val="样式 3193 10 磅"/>
    <w:pPr>
      <w:widowControl w:val="0"/>
      <w:jc w:val="both"/>
    </w:pPr>
    <w:rPr>
      <w:rFonts w:ascii="Calibri" w:eastAsia="宋体" w:cs="Arial" w:hAnsi="Calibri"/>
      <w:kern w:val="2"/>
      <w:sz w:val="21"/>
      <w:szCs w:val="22"/>
      <w:lang w:val="en-US" w:eastAsia="zh-CN" w:bidi="ar-SA"/>
    </w:rPr>
  </w:style>
  <w:style w:type="paragraph" w:customStyle="1" w:styleId="3228">
    <w:name w:val="样式 3194 10 磅"/>
    <w:pPr>
      <w:widowControl w:val="0"/>
      <w:jc w:val="both"/>
    </w:pPr>
    <w:rPr>
      <w:rFonts w:ascii="Calibri" w:eastAsia="宋体" w:cs="Arial" w:hAnsi="Calibri"/>
      <w:kern w:val="2"/>
      <w:sz w:val="21"/>
      <w:szCs w:val="22"/>
      <w:lang w:val="en-US" w:eastAsia="zh-CN" w:bidi="ar-SA"/>
    </w:rPr>
  </w:style>
  <w:style w:type="paragraph" w:customStyle="1" w:styleId="3229">
    <w:name w:val="样式 3195 10 磅"/>
    <w:pPr>
      <w:widowControl w:val="0"/>
      <w:jc w:val="both"/>
    </w:pPr>
    <w:rPr>
      <w:rFonts w:ascii="Calibri" w:eastAsia="宋体" w:cs="Arial" w:hAnsi="Calibri"/>
      <w:kern w:val="2"/>
      <w:sz w:val="21"/>
      <w:szCs w:val="22"/>
      <w:lang w:val="en-US" w:eastAsia="zh-CN" w:bidi="ar-SA"/>
    </w:rPr>
  </w:style>
  <w:style w:type="paragraph" w:customStyle="1" w:styleId="3230">
    <w:name w:val="样式 3196 10 磅"/>
    <w:pPr>
      <w:widowControl w:val="0"/>
      <w:jc w:val="both"/>
    </w:pPr>
    <w:rPr>
      <w:rFonts w:ascii="Calibri" w:eastAsia="宋体" w:cs="Arial" w:hAnsi="Calibri"/>
      <w:kern w:val="2"/>
      <w:sz w:val="21"/>
      <w:szCs w:val="22"/>
      <w:lang w:val="en-US" w:eastAsia="zh-CN" w:bidi="ar-SA"/>
    </w:rPr>
  </w:style>
  <w:style w:type="paragraph" w:customStyle="1" w:styleId="3231">
    <w:name w:val="样式 3197 10 磅"/>
    <w:pPr>
      <w:widowControl w:val="0"/>
      <w:jc w:val="both"/>
    </w:pPr>
    <w:rPr>
      <w:rFonts w:ascii="Calibri" w:eastAsia="宋体" w:cs="Arial" w:hAnsi="Calibri"/>
      <w:kern w:val="2"/>
      <w:sz w:val="21"/>
      <w:szCs w:val="22"/>
      <w:lang w:val="en-US" w:eastAsia="zh-CN" w:bidi="ar-SA"/>
    </w:rPr>
  </w:style>
  <w:style w:type="paragraph" w:customStyle="1" w:styleId="3232">
    <w:name w:val="样式 3198 10 磅"/>
    <w:pPr>
      <w:widowControl w:val="0"/>
      <w:jc w:val="both"/>
    </w:pPr>
    <w:rPr>
      <w:rFonts w:ascii="Calibri" w:eastAsia="宋体" w:cs="Arial" w:hAnsi="Calibri"/>
      <w:kern w:val="2"/>
      <w:sz w:val="21"/>
      <w:szCs w:val="22"/>
      <w:lang w:val="en-US" w:eastAsia="zh-CN" w:bidi="ar-SA"/>
    </w:rPr>
  </w:style>
  <w:style w:type="paragraph" w:customStyle="1" w:styleId="3233">
    <w:name w:val="样式 3199 10 磅"/>
    <w:pPr>
      <w:widowControl w:val="0"/>
      <w:jc w:val="both"/>
    </w:pPr>
    <w:rPr>
      <w:rFonts w:ascii="Calibri" w:eastAsia="宋体" w:cs="Arial" w:hAnsi="Calibri"/>
      <w:kern w:val="2"/>
      <w:sz w:val="21"/>
      <w:szCs w:val="22"/>
      <w:lang w:val="en-US" w:eastAsia="zh-CN" w:bidi="ar-SA"/>
    </w:rPr>
  </w:style>
  <w:style w:type="paragraph" w:customStyle="1" w:styleId="3234">
    <w:name w:val="样式 3200 10 磅"/>
    <w:pPr>
      <w:widowControl w:val="0"/>
      <w:jc w:val="both"/>
    </w:pPr>
    <w:rPr>
      <w:rFonts w:ascii="Calibri" w:eastAsia="宋体" w:cs="Arial" w:hAnsi="Calibri"/>
      <w:kern w:val="2"/>
      <w:sz w:val="21"/>
      <w:szCs w:val="22"/>
      <w:lang w:val="en-US" w:eastAsia="zh-CN" w:bidi="ar-SA"/>
    </w:rPr>
  </w:style>
  <w:style w:type="paragraph" w:customStyle="1" w:styleId="3235">
    <w:name w:val="样式 3201 10 磅"/>
    <w:pPr>
      <w:widowControl w:val="0"/>
      <w:jc w:val="both"/>
    </w:pPr>
    <w:rPr>
      <w:rFonts w:ascii="Calibri" w:eastAsia="宋体" w:cs="Arial" w:hAnsi="Calibri"/>
      <w:kern w:val="2"/>
      <w:sz w:val="21"/>
      <w:szCs w:val="22"/>
      <w:lang w:val="en-US" w:eastAsia="zh-CN" w:bidi="ar-SA"/>
    </w:rPr>
  </w:style>
  <w:style w:type="paragraph" w:customStyle="1" w:styleId="3236">
    <w:name w:val="样式 3202 10 磅"/>
    <w:pPr>
      <w:widowControl w:val="0"/>
      <w:jc w:val="both"/>
    </w:pPr>
    <w:rPr>
      <w:rFonts w:ascii="Calibri" w:eastAsia="宋体" w:cs="Arial" w:hAnsi="Calibri"/>
      <w:kern w:val="2"/>
      <w:sz w:val="21"/>
      <w:szCs w:val="22"/>
      <w:lang w:val="en-US" w:eastAsia="zh-CN" w:bidi="ar-SA"/>
    </w:rPr>
  </w:style>
  <w:style w:type="paragraph" w:customStyle="1" w:styleId="3237">
    <w:name w:val="样式 3203 10 磅"/>
    <w:pPr>
      <w:widowControl w:val="0"/>
      <w:jc w:val="both"/>
    </w:pPr>
    <w:rPr>
      <w:rFonts w:ascii="Calibri" w:eastAsia="宋体" w:cs="Arial" w:hAnsi="Calibri"/>
      <w:kern w:val="2"/>
      <w:sz w:val="21"/>
      <w:szCs w:val="22"/>
      <w:lang w:val="en-US" w:eastAsia="zh-CN" w:bidi="ar-SA"/>
    </w:rPr>
  </w:style>
  <w:style w:type="paragraph" w:customStyle="1" w:styleId="3238">
    <w:name w:val="样式 3204 10 磅"/>
    <w:pPr>
      <w:widowControl w:val="0"/>
      <w:jc w:val="both"/>
    </w:pPr>
    <w:rPr>
      <w:rFonts w:ascii="Calibri" w:eastAsia="宋体" w:cs="Arial" w:hAnsi="Calibri"/>
      <w:kern w:val="2"/>
      <w:sz w:val="21"/>
      <w:szCs w:val="22"/>
      <w:lang w:val="en-US" w:eastAsia="zh-CN" w:bidi="ar-SA"/>
    </w:rPr>
  </w:style>
  <w:style w:type="paragraph" w:customStyle="1" w:styleId="3239">
    <w:name w:val="样式 3205 10 磅"/>
    <w:pPr>
      <w:widowControl w:val="0"/>
      <w:jc w:val="both"/>
    </w:pPr>
    <w:rPr>
      <w:rFonts w:ascii="Calibri" w:eastAsia="宋体" w:cs="Arial" w:hAnsi="Calibri"/>
      <w:kern w:val="2"/>
      <w:sz w:val="21"/>
      <w:szCs w:val="22"/>
      <w:lang w:val="en-US" w:eastAsia="zh-CN" w:bidi="ar-SA"/>
    </w:rPr>
  </w:style>
  <w:style w:type="paragraph" w:customStyle="1" w:styleId="3240">
    <w:name w:val="样式 3206 10 磅"/>
    <w:pPr>
      <w:widowControl w:val="0"/>
      <w:jc w:val="both"/>
    </w:pPr>
    <w:rPr>
      <w:rFonts w:ascii="Calibri" w:eastAsia="宋体" w:cs="Arial" w:hAnsi="Calibri"/>
      <w:kern w:val="2"/>
      <w:sz w:val="21"/>
      <w:szCs w:val="22"/>
      <w:lang w:val="en-US" w:eastAsia="zh-CN" w:bidi="ar-SA"/>
    </w:rPr>
  </w:style>
  <w:style w:type="paragraph" w:customStyle="1" w:styleId="3241">
    <w:name w:val="样式 3207 10 磅"/>
    <w:pPr>
      <w:widowControl w:val="0"/>
      <w:jc w:val="both"/>
    </w:pPr>
    <w:rPr>
      <w:rFonts w:ascii="Calibri" w:eastAsia="宋体" w:cs="Arial" w:hAnsi="Calibri"/>
      <w:kern w:val="2"/>
      <w:sz w:val="21"/>
      <w:szCs w:val="22"/>
      <w:lang w:val="en-US" w:eastAsia="zh-CN" w:bidi="ar-SA"/>
    </w:rPr>
  </w:style>
  <w:style w:type="paragraph" w:customStyle="1" w:styleId="3242">
    <w:name w:val="样式 3208 10 磅"/>
    <w:pPr>
      <w:widowControl w:val="0"/>
      <w:jc w:val="both"/>
    </w:pPr>
    <w:rPr>
      <w:rFonts w:ascii="Calibri" w:eastAsia="宋体" w:cs="Arial" w:hAnsi="Calibri"/>
      <w:kern w:val="2"/>
      <w:sz w:val="21"/>
      <w:szCs w:val="22"/>
      <w:lang w:val="en-US" w:eastAsia="zh-CN" w:bidi="ar-SA"/>
    </w:rPr>
  </w:style>
  <w:style w:type="paragraph" w:customStyle="1" w:styleId="3243">
    <w:name w:val="样式 3209 10 磅"/>
    <w:pPr>
      <w:widowControl w:val="0"/>
      <w:jc w:val="both"/>
    </w:pPr>
    <w:rPr>
      <w:rFonts w:ascii="Calibri" w:eastAsia="宋体" w:cs="Arial" w:hAnsi="Calibri"/>
      <w:kern w:val="2"/>
      <w:sz w:val="21"/>
      <w:szCs w:val="22"/>
      <w:lang w:val="en-US" w:eastAsia="zh-CN" w:bidi="ar-SA"/>
    </w:rPr>
  </w:style>
  <w:style w:type="paragraph" w:customStyle="1" w:styleId="3244">
    <w:name w:val="样式 3210 10 磅"/>
    <w:pPr>
      <w:widowControl w:val="0"/>
      <w:jc w:val="both"/>
    </w:pPr>
    <w:rPr>
      <w:rFonts w:ascii="Calibri" w:eastAsia="宋体" w:cs="Arial" w:hAnsi="Calibri"/>
      <w:kern w:val="2"/>
      <w:sz w:val="21"/>
      <w:szCs w:val="22"/>
      <w:lang w:val="en-US" w:eastAsia="zh-CN" w:bidi="ar-SA"/>
    </w:rPr>
  </w:style>
  <w:style w:type="paragraph" w:customStyle="1" w:styleId="3245">
    <w:name w:val="样式 3211 10 磅"/>
    <w:pPr>
      <w:widowControl w:val="0"/>
      <w:jc w:val="both"/>
    </w:pPr>
    <w:rPr>
      <w:rFonts w:ascii="Calibri" w:eastAsia="宋体" w:cs="Arial" w:hAnsi="Calibri"/>
      <w:kern w:val="2"/>
      <w:sz w:val="21"/>
      <w:szCs w:val="22"/>
      <w:lang w:val="en-US" w:eastAsia="zh-CN" w:bidi="ar-SA"/>
    </w:rPr>
  </w:style>
  <w:style w:type="paragraph" w:customStyle="1" w:styleId="3246">
    <w:name w:val="样式 3212 10 磅"/>
    <w:pPr>
      <w:widowControl w:val="0"/>
      <w:jc w:val="both"/>
    </w:pPr>
    <w:rPr>
      <w:rFonts w:ascii="Calibri" w:eastAsia="宋体" w:cs="Arial" w:hAnsi="Calibri"/>
      <w:kern w:val="2"/>
      <w:sz w:val="21"/>
      <w:szCs w:val="22"/>
      <w:lang w:val="en-US" w:eastAsia="zh-CN" w:bidi="ar-SA"/>
    </w:rPr>
  </w:style>
  <w:style w:type="paragraph" w:customStyle="1" w:styleId="3247">
    <w:name w:val="样式 3213 10 磅"/>
    <w:pPr>
      <w:widowControl w:val="0"/>
      <w:jc w:val="both"/>
    </w:pPr>
    <w:rPr>
      <w:rFonts w:ascii="Calibri" w:eastAsia="宋体" w:cs="Arial" w:hAnsi="Calibri"/>
      <w:kern w:val="2"/>
      <w:sz w:val="21"/>
      <w:szCs w:val="22"/>
      <w:lang w:val="en-US" w:eastAsia="zh-CN" w:bidi="ar-SA"/>
    </w:rPr>
  </w:style>
  <w:style w:type="paragraph" w:customStyle="1" w:styleId="3248">
    <w:name w:val="样式 3214 10 磅"/>
    <w:pPr>
      <w:widowControl w:val="0"/>
      <w:jc w:val="both"/>
    </w:pPr>
    <w:rPr>
      <w:rFonts w:ascii="Calibri" w:eastAsia="宋体" w:cs="Arial" w:hAnsi="Calibri"/>
      <w:kern w:val="2"/>
      <w:sz w:val="21"/>
      <w:szCs w:val="22"/>
      <w:lang w:val="en-US" w:eastAsia="zh-CN" w:bidi="ar-SA"/>
    </w:rPr>
  </w:style>
  <w:style w:type="paragraph" w:customStyle="1" w:styleId="3249">
    <w:name w:val="样式 3215 10 磅"/>
    <w:pPr>
      <w:widowControl w:val="0"/>
      <w:jc w:val="both"/>
    </w:pPr>
    <w:rPr>
      <w:rFonts w:ascii="Calibri" w:eastAsia="宋体" w:cs="Arial" w:hAnsi="Calibri"/>
      <w:kern w:val="2"/>
      <w:sz w:val="21"/>
      <w:szCs w:val="22"/>
      <w:lang w:val="en-US" w:eastAsia="zh-CN" w:bidi="ar-SA"/>
    </w:rPr>
  </w:style>
  <w:style w:type="paragraph" w:customStyle="1" w:styleId="3250">
    <w:name w:val="样式 3216 10 磅"/>
    <w:pPr>
      <w:widowControl w:val="0"/>
      <w:jc w:val="both"/>
    </w:pPr>
    <w:rPr>
      <w:rFonts w:ascii="Calibri" w:eastAsia="宋体" w:cs="Arial" w:hAnsi="Calibri"/>
      <w:kern w:val="2"/>
      <w:sz w:val="21"/>
      <w:szCs w:val="22"/>
      <w:lang w:val="en-US" w:eastAsia="zh-CN" w:bidi="ar-SA"/>
    </w:rPr>
  </w:style>
  <w:style w:type="paragraph" w:customStyle="1" w:styleId="3251">
    <w:name w:val="样式 3217 10 磅"/>
    <w:pPr>
      <w:widowControl w:val="0"/>
      <w:jc w:val="both"/>
    </w:pPr>
    <w:rPr>
      <w:rFonts w:ascii="Calibri" w:eastAsia="宋体" w:cs="Arial" w:hAnsi="Calibri"/>
      <w:kern w:val="2"/>
      <w:sz w:val="21"/>
      <w:szCs w:val="22"/>
      <w:lang w:val="en-US" w:eastAsia="zh-CN" w:bidi="ar-SA"/>
    </w:rPr>
  </w:style>
  <w:style w:type="paragraph" w:customStyle="1" w:styleId="3252">
    <w:name w:val="样式 3218 10 磅"/>
    <w:pPr>
      <w:widowControl w:val="0"/>
      <w:jc w:val="both"/>
    </w:pPr>
    <w:rPr>
      <w:rFonts w:ascii="Calibri" w:eastAsia="宋体" w:cs="Arial" w:hAnsi="Calibri"/>
      <w:kern w:val="2"/>
      <w:sz w:val="21"/>
      <w:szCs w:val="22"/>
      <w:lang w:val="en-US" w:eastAsia="zh-CN" w:bidi="ar-SA"/>
    </w:rPr>
  </w:style>
  <w:style w:type="paragraph" w:customStyle="1" w:styleId="3253">
    <w:name w:val="样式 3219 10 磅"/>
    <w:pPr>
      <w:widowControl w:val="0"/>
      <w:jc w:val="both"/>
    </w:pPr>
    <w:rPr>
      <w:rFonts w:ascii="Calibri" w:eastAsia="宋体" w:cs="Arial" w:hAnsi="Calibri"/>
      <w:kern w:val="2"/>
      <w:sz w:val="21"/>
      <w:szCs w:val="22"/>
      <w:lang w:val="en-US" w:eastAsia="zh-CN" w:bidi="ar-SA"/>
    </w:rPr>
  </w:style>
  <w:style w:type="paragraph" w:customStyle="1" w:styleId="3254">
    <w:name w:val="样式 3220 10 磅"/>
    <w:pPr>
      <w:widowControl w:val="0"/>
      <w:jc w:val="both"/>
    </w:pPr>
    <w:rPr>
      <w:rFonts w:ascii="Calibri" w:eastAsia="宋体" w:cs="Arial" w:hAnsi="Calibri"/>
      <w:kern w:val="2"/>
      <w:sz w:val="21"/>
      <w:szCs w:val="22"/>
      <w:lang w:val="en-US" w:eastAsia="zh-CN" w:bidi="ar-SA"/>
    </w:rPr>
  </w:style>
  <w:style w:type="paragraph" w:customStyle="1" w:styleId="3255">
    <w:name w:val="样式 3221 10 磅"/>
    <w:pPr>
      <w:widowControl w:val="0"/>
      <w:jc w:val="both"/>
    </w:pPr>
    <w:rPr>
      <w:rFonts w:ascii="Calibri" w:eastAsia="宋体" w:cs="Arial" w:hAnsi="Calibri"/>
      <w:kern w:val="2"/>
      <w:sz w:val="21"/>
      <w:szCs w:val="22"/>
      <w:lang w:val="en-US" w:eastAsia="zh-CN" w:bidi="ar-SA"/>
    </w:rPr>
  </w:style>
  <w:style w:type="paragraph" w:customStyle="1" w:styleId="3256">
    <w:name w:val="样式 3222 10 磅"/>
    <w:pPr>
      <w:widowControl w:val="0"/>
      <w:jc w:val="both"/>
    </w:pPr>
    <w:rPr>
      <w:rFonts w:ascii="Calibri" w:eastAsia="宋体" w:cs="Arial" w:hAnsi="Calibri"/>
      <w:kern w:val="2"/>
      <w:sz w:val="21"/>
      <w:szCs w:val="22"/>
      <w:lang w:val="en-US" w:eastAsia="zh-CN" w:bidi="ar-SA"/>
    </w:rPr>
  </w:style>
  <w:style w:type="paragraph" w:customStyle="1" w:styleId="3257">
    <w:name w:val="样式 3223 10 磅"/>
    <w:pPr>
      <w:widowControl w:val="0"/>
      <w:jc w:val="both"/>
    </w:pPr>
    <w:rPr>
      <w:rFonts w:ascii="Calibri" w:eastAsia="宋体" w:cs="Arial" w:hAnsi="Calibri"/>
      <w:kern w:val="2"/>
      <w:sz w:val="21"/>
      <w:szCs w:val="22"/>
      <w:lang w:val="en-US" w:eastAsia="zh-CN" w:bidi="ar-SA"/>
    </w:rPr>
  </w:style>
  <w:style w:type="paragraph" w:customStyle="1" w:styleId="3258">
    <w:name w:val="样式 32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59">
    <w:name w:val="样式 32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0">
    <w:name w:val="样式 32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1">
    <w:name w:val="样式 32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2">
    <w:name w:val="样式 32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3">
    <w:name w:val="样式 32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4">
    <w:name w:val="样式 32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5">
    <w:name w:val="样式 32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6">
    <w:name w:val="样式 32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7">
    <w:name w:val="样式 32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8">
    <w:name w:val="样式 32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69">
    <w:name w:val="样式 32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0">
    <w:name w:val="样式 32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1">
    <w:name w:val="样式 32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2">
    <w:name w:val="样式 32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3">
    <w:name w:val="样式 32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4">
    <w:name w:val="样式 32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5">
    <w:name w:val="样式 32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6">
    <w:name w:val="样式 32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7">
    <w:name w:val="样式 32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8">
    <w:name w:val="样式 32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79">
    <w:name w:val="样式 32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0">
    <w:name w:val="样式 32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1">
    <w:name w:val="样式 32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2">
    <w:name w:val="样式 32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3">
    <w:name w:val="样式 32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4">
    <w:name w:val="样式 32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5">
    <w:name w:val="样式 32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6">
    <w:name w:val="样式 32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7">
    <w:name w:val="样式 32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8">
    <w:name w:val="样式 32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89">
    <w:name w:val="样式 32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0">
    <w:name w:val="样式 32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1">
    <w:name w:val="样式 32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2">
    <w:name w:val="样式 3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3">
    <w:name w:val="样式 32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4">
    <w:name w:val="样式 32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5">
    <w:name w:val="样式 3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6">
    <w:name w:val="样式 3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7">
    <w:name w:val="样式 3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8">
    <w:name w:val="样式 3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299">
    <w:name w:val="样式 3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0">
    <w:name w:val="样式 3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1">
    <w:name w:val="样式 3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2">
    <w:name w:val="样式 3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3">
    <w:name w:val="样式 3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4">
    <w:name w:val="样式 3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5">
    <w:name w:val="样式 3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6">
    <w:name w:val="样式 3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7">
    <w:name w:val="样式 3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8">
    <w:name w:val="样式 3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09">
    <w:name w:val="样式 3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0">
    <w:name w:val="样式 3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1">
    <w:name w:val="样式 3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2">
    <w:name w:val="样式 3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3">
    <w:name w:val="样式 3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4">
    <w:name w:val="样式 3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5">
    <w:name w:val="样式 3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6">
    <w:name w:val="样式 3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7">
    <w:name w:val="样式 3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8">
    <w:name w:val="样式 3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19">
    <w:name w:val="样式 3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0">
    <w:name w:val="样式 3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1">
    <w:name w:val="样式 3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2">
    <w:name w:val="样式 3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3">
    <w:name w:val="样式 3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4">
    <w:name w:val="样式 3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5">
    <w:name w:val="样式 3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6">
    <w:name w:val="样式 3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7">
    <w:name w:val="样式 3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8">
    <w:name w:val="样式 3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29">
    <w:name w:val="样式 3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0">
    <w:name w:val="样式 3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1">
    <w:name w:val="样式 3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2">
    <w:name w:val="样式 3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3">
    <w:name w:val="样式 3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4">
    <w:name w:val="样式 3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5">
    <w:name w:val="样式 3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6">
    <w:name w:val="样式 3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7">
    <w:name w:val="样式 3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8">
    <w:name w:val="样式 3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39">
    <w:name w:val="样式 3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0">
    <w:name w:val="样式 3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1">
    <w:name w:val="样式 3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2">
    <w:name w:val="样式 3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3">
    <w:name w:val="样式 3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4">
    <w:name w:val="样式 3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5">
    <w:name w:val="样式 3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6">
    <w:name w:val="样式 3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7">
    <w:name w:val="样式 3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8">
    <w:name w:val="样式 3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49">
    <w:name w:val="样式 3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0">
    <w:name w:val="样式 3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1">
    <w:name w:val="样式 3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2">
    <w:name w:val="样式 3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3">
    <w:name w:val="样式 3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4">
    <w:name w:val="样式 3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5">
    <w:name w:val="样式 3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6">
    <w:name w:val="样式 3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7">
    <w:name w:val="样式 3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8">
    <w:name w:val="样式 3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59">
    <w:name w:val="样式 3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0">
    <w:name w:val="样式 3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1">
    <w:name w:val="样式 3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2">
    <w:name w:val="样式 3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3">
    <w:name w:val="样式 3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4">
    <w:name w:val="样式 3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5">
    <w:name w:val="样式 3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6">
    <w:name w:val="样式 3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7">
    <w:name w:val="样式 3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8">
    <w:name w:val="样式 3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69">
    <w:name w:val="样式 3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0">
    <w:name w:val="样式 3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1">
    <w:name w:val="样式 3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2">
    <w:name w:val="样式 3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3">
    <w:name w:val="样式 3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4">
    <w:name w:val="样式 3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5">
    <w:name w:val="样式 3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6">
    <w:name w:val="样式 3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7">
    <w:name w:val="样式 3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8">
    <w:name w:val="样式 3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79">
    <w:name w:val="样式 3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0">
    <w:name w:val="样式 3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1">
    <w:name w:val="样式 3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2">
    <w:name w:val="样式 3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3">
    <w:name w:val="样式 3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4">
    <w:name w:val="样式 3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5">
    <w:name w:val="样式 3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86">
    <w:name w:val="样式 3352 10 磅"/>
    <w:pPr>
      <w:widowControl w:val="0"/>
      <w:jc w:val="both"/>
    </w:pPr>
    <w:rPr>
      <w:rFonts w:ascii="Times New Roman" w:eastAsia="宋体" w:cs="Times New Roman" w:hAnsi="Times New Roman"/>
      <w:kern w:val="2"/>
      <w:sz w:val="21"/>
      <w:szCs w:val="24"/>
      <w:lang w:val="en-US" w:eastAsia="zh-CN" w:bidi="ar-SA"/>
    </w:rPr>
  </w:style>
  <w:style w:type="paragraph" w:customStyle="1" w:styleId="3387">
    <w:name w:val="样式 3353 10 磅"/>
    <w:pPr>
      <w:widowControl w:val="0"/>
      <w:jc w:val="both"/>
    </w:pPr>
    <w:rPr>
      <w:rFonts w:ascii="Times New Roman" w:eastAsia="宋体" w:cs="Times New Roman" w:hAnsi="Times New Roman"/>
      <w:kern w:val="2"/>
      <w:sz w:val="21"/>
      <w:szCs w:val="24"/>
      <w:lang w:val="en-US" w:eastAsia="zh-CN" w:bidi="ar-SA"/>
    </w:rPr>
  </w:style>
  <w:style w:type="paragraph" w:customStyle="1" w:styleId="3388">
    <w:name w:val="样式 3354 10 磅"/>
    <w:pPr>
      <w:widowControl w:val="0"/>
      <w:jc w:val="both"/>
    </w:pPr>
    <w:rPr>
      <w:rFonts w:ascii="Times New Roman" w:eastAsia="宋体" w:cs="Times New Roman" w:hAnsi="Times New Roman"/>
      <w:kern w:val="2"/>
      <w:sz w:val="21"/>
      <w:szCs w:val="24"/>
      <w:lang w:val="en-US" w:eastAsia="zh-CN" w:bidi="ar-SA"/>
    </w:rPr>
  </w:style>
  <w:style w:type="paragraph" w:customStyle="1" w:styleId="3389">
    <w:name w:val="样式 3355 10 磅"/>
    <w:pPr>
      <w:widowControl w:val="0"/>
      <w:jc w:val="both"/>
    </w:pPr>
    <w:rPr>
      <w:rFonts w:ascii="Times New Roman" w:eastAsia="宋体" w:cs="Times New Roman" w:hAnsi="Times New Roman"/>
      <w:kern w:val="2"/>
      <w:sz w:val="21"/>
      <w:szCs w:val="24"/>
      <w:lang w:val="en-US" w:eastAsia="zh-CN" w:bidi="ar-SA"/>
    </w:rPr>
  </w:style>
  <w:style w:type="paragraph" w:customStyle="1" w:styleId="3390">
    <w:name w:val="样式 3356 10 磅"/>
    <w:pPr>
      <w:widowControl w:val="0"/>
      <w:jc w:val="both"/>
    </w:pPr>
    <w:rPr>
      <w:rFonts w:ascii="Times New Roman" w:eastAsia="宋体" w:cs="Times New Roman" w:hAnsi="Times New Roman"/>
      <w:kern w:val="2"/>
      <w:sz w:val="21"/>
      <w:szCs w:val="24"/>
      <w:lang w:val="en-US" w:eastAsia="zh-CN" w:bidi="ar-SA"/>
    </w:rPr>
  </w:style>
  <w:style w:type="paragraph" w:customStyle="1" w:styleId="3391">
    <w:name w:val="样式 3357 10 磅"/>
    <w:pPr>
      <w:widowControl w:val="0"/>
      <w:jc w:val="both"/>
    </w:pPr>
    <w:rPr>
      <w:rFonts w:ascii="Times New Roman" w:eastAsia="宋体" w:cs="Times New Roman" w:hAnsi="Times New Roman"/>
      <w:kern w:val="2"/>
      <w:sz w:val="21"/>
      <w:szCs w:val="24"/>
      <w:lang w:val="en-US" w:eastAsia="zh-CN" w:bidi="ar-SA"/>
    </w:rPr>
  </w:style>
  <w:style w:type="paragraph" w:customStyle="1" w:styleId="3392">
    <w:name w:val="样式 3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3">
    <w:name w:val="样式 3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4">
    <w:name w:val="样式 3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5">
    <w:name w:val="样式 3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6">
    <w:name w:val="样式 3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7">
    <w:name w:val="样式 3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8">
    <w:name w:val="样式 3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399">
    <w:name w:val="样式 3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0">
    <w:name w:val="样式 3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1">
    <w:name w:val="样式 3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2">
    <w:name w:val="样式 3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3">
    <w:name w:val="样式 3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4">
    <w:name w:val="样式 3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05">
    <w:name w:val="样式 3371 10 磅"/>
    <w:pPr>
      <w:widowControl w:val="0"/>
      <w:jc w:val="both"/>
    </w:pPr>
    <w:rPr>
      <w:rFonts w:ascii="Calibri" w:eastAsia="宋体" w:cs="Arial" w:hAnsi="Calibri"/>
      <w:kern w:val="2"/>
      <w:sz w:val="21"/>
      <w:szCs w:val="22"/>
      <w:lang w:val="en-US" w:eastAsia="zh-CN" w:bidi="ar-SA"/>
    </w:rPr>
  </w:style>
  <w:style w:type="paragraph" w:customStyle="1" w:styleId="3406">
    <w:name w:val="样式 3372 10 磅"/>
    <w:pPr>
      <w:widowControl w:val="0"/>
      <w:jc w:val="both"/>
    </w:pPr>
    <w:rPr>
      <w:rFonts w:ascii="Calibri" w:eastAsia="宋体" w:cs="Arial" w:hAnsi="Calibri"/>
      <w:kern w:val="2"/>
      <w:sz w:val="21"/>
      <w:szCs w:val="22"/>
      <w:lang w:val="en-US" w:eastAsia="zh-CN" w:bidi="ar-SA"/>
    </w:rPr>
  </w:style>
  <w:style w:type="paragraph" w:customStyle="1" w:styleId="3407">
    <w:name w:val="样式 3373 10 磅"/>
    <w:pPr>
      <w:widowControl w:val="0"/>
      <w:jc w:val="both"/>
    </w:pPr>
    <w:rPr>
      <w:rFonts w:ascii="Times New Roman" w:eastAsia="宋体" w:cs="Times New Roman" w:hAnsi="Times New Roman"/>
      <w:kern w:val="2"/>
      <w:sz w:val="21"/>
      <w:szCs w:val="24"/>
      <w:lang w:val="en-US" w:eastAsia="zh-CN" w:bidi="ar-SA"/>
    </w:rPr>
  </w:style>
  <w:style w:type="paragraph" w:customStyle="1" w:styleId="3408">
    <w:name w:val="样式 3374 10 磅"/>
    <w:pPr>
      <w:widowControl w:val="0"/>
      <w:jc w:val="both"/>
    </w:pPr>
    <w:rPr>
      <w:rFonts w:ascii="Times New Roman" w:eastAsia="宋体" w:cs="Times New Roman" w:hAnsi="Times New Roman"/>
      <w:kern w:val="2"/>
      <w:sz w:val="21"/>
      <w:szCs w:val="24"/>
      <w:lang w:val="en-US" w:eastAsia="zh-CN" w:bidi="ar-SA"/>
    </w:rPr>
  </w:style>
  <w:style w:type="paragraph" w:customStyle="1" w:styleId="3409">
    <w:name w:val="样式 3375 10 磅"/>
    <w:pPr>
      <w:widowControl w:val="0"/>
      <w:jc w:val="both"/>
    </w:pPr>
    <w:rPr>
      <w:rFonts w:ascii="Times New Roman" w:eastAsia="宋体" w:cs="Times New Roman" w:hAnsi="Times New Roman"/>
      <w:kern w:val="2"/>
      <w:sz w:val="21"/>
      <w:szCs w:val="24"/>
      <w:lang w:val="en-US" w:eastAsia="zh-CN" w:bidi="ar-SA"/>
    </w:rPr>
  </w:style>
  <w:style w:type="paragraph" w:customStyle="1" w:styleId="3410">
    <w:name w:val="样式 3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1">
    <w:name w:val="样式 3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2">
    <w:name w:val="样式 3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3">
    <w:name w:val="样式 3379 10 磅"/>
    <w:pPr>
      <w:widowControl w:val="0"/>
      <w:jc w:val="both"/>
    </w:pPr>
    <w:rPr>
      <w:rFonts w:ascii="Times New Roman" w:eastAsia="宋体" w:cs="Times New Roman" w:hAnsi="Times New Roman"/>
      <w:kern w:val="2"/>
      <w:sz w:val="21"/>
      <w:szCs w:val="24"/>
      <w:lang w:val="en-US" w:eastAsia="zh-CN" w:bidi="ar-SA"/>
    </w:rPr>
  </w:style>
  <w:style w:type="paragraph" w:customStyle="1" w:styleId="3414">
    <w:name w:val="样式 3380 10 磅"/>
    <w:pPr>
      <w:widowControl w:val="0"/>
      <w:jc w:val="both"/>
    </w:pPr>
    <w:rPr>
      <w:rFonts w:ascii="Times New Roman" w:eastAsia="宋体" w:cs="Times New Roman" w:hAnsi="Times New Roman"/>
      <w:kern w:val="2"/>
      <w:sz w:val="21"/>
      <w:szCs w:val="24"/>
      <w:lang w:val="en-US" w:eastAsia="zh-CN" w:bidi="ar-SA"/>
    </w:rPr>
  </w:style>
  <w:style w:type="paragraph" w:customStyle="1" w:styleId="3415">
    <w:name w:val="样式 3381 10 磅"/>
    <w:pPr>
      <w:widowControl w:val="0"/>
      <w:jc w:val="both"/>
    </w:pPr>
    <w:rPr>
      <w:rFonts w:ascii="Times New Roman" w:eastAsia="宋体" w:cs="Times New Roman" w:hAnsi="Times New Roman"/>
      <w:kern w:val="2"/>
      <w:sz w:val="21"/>
      <w:szCs w:val="24"/>
      <w:lang w:val="en-US" w:eastAsia="zh-CN" w:bidi="ar-SA"/>
    </w:rPr>
  </w:style>
  <w:style w:type="paragraph" w:customStyle="1" w:styleId="3416">
    <w:name w:val="样式 2 小四"/>
    <w:pPr>
      <w:widowControl w:val="0"/>
      <w:spacing w:line="240" w:lineRule="auto"/>
      <w:jc w:val="left"/>
    </w:pPr>
    <w:rPr>
      <w:rFonts w:ascii="宋体" w:eastAsia="宋体" w:cs="Times New Roman"/>
      <w:kern w:val="2"/>
      <w:sz w:val="24"/>
      <w:szCs w:val="21"/>
      <w:lang w:val="en-US" w:eastAsia="zh-CN" w:bidi="ar-SA"/>
    </w:rPr>
  </w:style>
  <w:style w:type="paragraph" w:customStyle="1" w:styleId="3417">
    <w:name w:val="样式 3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8">
    <w:name w:val="样式 3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19">
    <w:name w:val="样式 3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0">
    <w:name w:val="样式 3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1">
    <w:name w:val="样式 3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2">
    <w:name w:val="样式 3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423">
    <w:name w:val="样式 3388 10 磅"/>
    <w:pPr>
      <w:widowControl w:val="0"/>
      <w:jc w:val="both"/>
    </w:pPr>
    <w:rPr>
      <w:rFonts w:ascii="Times New Roman" w:eastAsia="宋体" w:cs="Times New Roman" w:hAnsi="Times New Roman"/>
      <w:kern w:val="2"/>
      <w:sz w:val="21"/>
      <w:szCs w:val="24"/>
      <w:lang w:val="en-US" w:eastAsia="zh-CN" w:bidi="ar-SA"/>
    </w:rPr>
  </w:style>
  <w:style w:type="paragraph" w:customStyle="1" w:styleId="3424">
    <w:name w:val="样式 3389 10 磅"/>
    <w:pPr>
      <w:widowControl w:val="0"/>
      <w:jc w:val="both"/>
    </w:pPr>
    <w:rPr>
      <w:rFonts w:ascii="Times New Roman" w:eastAsia="宋体" w:cs="Times New Roman" w:hAnsi="Times New Roman"/>
      <w:kern w:val="2"/>
      <w:sz w:val="21"/>
      <w:szCs w:val="24"/>
      <w:lang w:val="en-US" w:eastAsia="zh-CN" w:bidi="ar-SA"/>
    </w:rPr>
  </w:style>
  <w:style w:type="paragraph" w:customStyle="1" w:styleId="3425">
    <w:name w:val="样式 3390 10 磅"/>
    <w:pPr>
      <w:widowControl w:val="0"/>
      <w:jc w:val="both"/>
    </w:pPr>
    <w:rPr>
      <w:rFonts w:ascii="Times New Roman" w:eastAsia="宋体" w:cs="Times New Roman" w:hAnsi="Times New Roman"/>
      <w:kern w:val="2"/>
      <w:sz w:val="21"/>
      <w:szCs w:val="24"/>
      <w:lang w:val="en-US" w:eastAsia="zh-CN" w:bidi="ar-SA"/>
    </w:rPr>
  </w:style>
  <w:style w:type="paragraph" w:customStyle="1" w:styleId="3426">
    <w:name w:val="样式 3391 10 磅"/>
    <w:pPr>
      <w:widowControl w:val="0"/>
      <w:jc w:val="both"/>
    </w:pPr>
    <w:rPr>
      <w:rFonts w:ascii="Times New Roman" w:eastAsia="宋体" w:cs="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image" Target="media/11.png"/><Relationship Id="rId6" Type="http://schemas.openxmlformats.org/officeDocument/2006/relationships/image" Target="media/11.png"/><Relationship Id="rId7" Type="http://schemas.openxmlformats.org/officeDocument/2006/relationships/image" Target="media/11.png"/><Relationship Id="rId8" Type="http://schemas.openxmlformats.org/officeDocument/2006/relationships/image" Target="media/11.png"/><Relationship Id="rId9" Type="http://schemas.openxmlformats.org/officeDocument/2006/relationships/styles" Target="styles.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14128513</TotalTime>
  <Application>Yozo_Office</Application>
  <Pages>35</Pages>
  <Words>9344</Words>
  <Characters>11697</Characters>
  <Lines>2418</Lines>
  <Paragraphs>1132</Paragraphs>
  <CharactersWithSpaces>12004</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赵辰瑜</cp:lastModifiedBy>
  <cp:revision>3</cp:revision>
  <cp:lastPrinted>2026-04-14T07:40:54Z</cp:lastPrinted>
  <dcterms:created xsi:type="dcterms:W3CDTF">2019-04-01T07:55:00Z</dcterms:created>
  <dcterms:modified xsi:type="dcterms:W3CDTF">2026-06-15T00:56:58Z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ies>
</file>