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集宁海关法律顾问服务采购项目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30000.00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中共集宁海关委员会会议纪要（2026年第4期）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sym w:font="Symbol" w:char="F0D6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0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、法定代表人身份证明书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、为依法设立的律师事务所，2025年度年审合格。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3、顾问团队所有成员必须持有有效的《中华人民共和国律师执业证书》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4、在业界有良好信誉，近三年内未收到司法行政部门的行政处罚。</w:t>
            </w:r>
          </w:p>
        </w:tc>
      </w:tr>
      <w:tr>
        <w:trPr>
          <w:trHeight w:val="343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1、为集宁海关重大决策、重要事项、重大突发事件提供法律咨询服务，进行合法性论证，出具法律意见；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2、审查集宁海关内部管理制度，以集宁海关名义对外订立的合同、合作协议以及重要法律文书，出具法律意见，代拟规章制度、合同、协议文本；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3、就集宁海关采购、招投标等事</w:t>
            </w:r>
            <w:bookmarkStart w:id="0" w:name="_GoBack"/>
            <w:bookmarkEnd w:id="0"/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务出具法律意见，或接受顾问单位委托，参与采购、招投标活动，并提供全程法律服务；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4、承担法律咨询服务、调查研究和合法性评估论证；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5、应邀参与集宁海关专题交流或提供法律培训；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6、指派两名律师专门负责对接并负责集宁海关法律服务工作；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7、承担集宁海关委托的其他法律事务；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8、常规法律事务现场响应时间为2个工作日，紧急法律事务现场响应时间为2小时。一般性事务根据集宁海关需求于3个工作日内提供书面意见，紧急事务于当天提供书面意见；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9、服务期为一年。</w:t>
            </w:r>
          </w:p>
        </w:tc>
      </w:tr>
      <w:tr>
        <w:trPr>
          <w:trHeight w:val="375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pStyle w:val="43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0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、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公告期限为3个工作日。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2、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响应文件份数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：2份。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altName w:val="微软雅黑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Symbol">
    <w:panose1 w:val="05050102010706020507"/>
    <w:charset w:val="02"/>
    <w:family w:val="auto"/>
    <w:pitch w:val="variable"/>
    <w:sig w:usb0="00000000" w:usb1="00000000" w:usb2="00000000" w:usb3="00000000" w:csb0="80000000" w:csb1="00000000"/>
  </w:font>
  <w:font w:name="Wingdings 2">
    <w:altName w:val="Symbol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653</TotalTime>
  <Application>Yozo_Office</Application>
  <Pages>2</Pages>
  <Words>662</Words>
  <Characters>680</Characters>
  <Lines>51</Lines>
  <Paragraphs>37</Paragraphs>
  <CharactersWithSpaces>680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2026-06-05T01:58:21Z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