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集宁海关消防维保服务采购项目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29000.00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Symbol" w:char="F0D6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0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62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具有独立承担民事责任的能力。</w:t>
            </w:r>
          </w:p>
          <w:p>
            <w:pPr>
              <w:pStyle w:val="62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、具备消防设施设备维保资质，营业执照经营范围应明确包含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“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消防设施设备维修、保养、检测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”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等内容。</w:t>
            </w:r>
          </w:p>
          <w:p>
            <w:pPr>
              <w:pStyle w:val="62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3、须在社会消防技术服务信息系统备案。</w:t>
            </w:r>
          </w:p>
          <w:p>
            <w:pPr>
              <w:pStyle w:val="64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4、提供近三年消防维保服务业绩。</w:t>
            </w:r>
          </w:p>
          <w:p>
            <w:pPr>
              <w:pStyle w:val="58"/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5、未被列入失信被执行人、税收违法名单、政府采购严重违法失信行为记录名单。</w:t>
            </w:r>
          </w:p>
        </w:tc>
      </w:tr>
      <w:tr>
        <w:trPr>
          <w:trHeight w:val="343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pStyle w:val="59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1、服务地点：乌兰察布市集宁区察哈尔东街中央商务广场三期1号楼集宁海关。</w:t>
            </w:r>
          </w:p>
          <w:p>
            <w:pPr>
              <w:pStyle w:val="59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2、维保项目：火灾报警系统、消防喷淋系统、消火栓系统、防排烟系统、应急照明及疏散指示系统、防火分隔设施、灭火器、消防泵房等。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3、每月开展一次巡检、测试和保养，并提交相应的消防系统维护保养记录。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4、每年组织一次消防安全培训和消防应急演练。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pStyle w:val="43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30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862" w:type="dxa"/>
          </w:tcPr>
          <w:p>
            <w:pPr>
              <w:pStyle w:val="61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、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公告期限为3个工作日。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2、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响应文件份数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：2份。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  <w:font w:name="Wingdings 2">
    <w:altName w:val="Symbol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4">
    <w:name w:val="样式 3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884</TotalTime>
  <Application>Yozo_Office</Application>
  <Pages>2</Pages>
  <Words>492</Words>
  <Characters>504</Characters>
  <Lines>43</Lines>
  <Paragraphs>33</Paragraphs>
  <CharactersWithSpaces>504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2026-07-22T09:00:00Z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