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body>
    <w:p>
      <w:pPr>
        <w:spacing w:line="560" w:lineRule="exact"/>
        <w:jc w:val="center"/>
        <w:rPr>
          <w:rFonts w:eastAsia="方正小标宋_GBK"/>
          <w:sz w:val="44"/>
          <w:szCs w:val="44"/>
        </w:rPr>
      </w:pPr>
      <w:r>
        <w:rPr>
          <w:rFonts w:eastAsia="方正小标宋_GBK"/>
          <w:sz w:val="44"/>
          <w:szCs w:val="44"/>
        </w:rPr>
        <w:t>海关政务服务事项办事指南</w:t>
      </w:r>
    </w:p>
    <w:p>
      <w:pPr>
        <w:spacing w:line="56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/>
          <w:sz w:val="32"/>
          <w:szCs w:val="32"/>
        </w:rPr>
        <w:t>（000629008002）</w:t>
      </w:r>
    </w:p>
    <w:p>
      <w:pPr>
        <w:spacing w:line="560" w:lineRule="exact"/>
        <w:jc w:val="center"/>
        <w:rPr>
          <w:rFonts w:ascii="方正小标宋_GBK" w:eastAsia="方正小标宋_GBK"/>
          <w:sz w:val="32"/>
          <w:szCs w:val="32"/>
        </w:rPr>
      </w:pPr>
      <w:r>
        <w:rPr>
          <w:rFonts w:ascii="方正小标宋_GBK" w:eastAsia="方正小标宋_GBK" w:hint="eastAsia"/>
          <w:sz w:val="32"/>
          <w:szCs w:val="32"/>
        </w:rPr>
        <w:t>“进境非食用动物产品存放、加工过程的检疫监督”</w:t>
      </w:r>
    </w:p>
    <w:p>
      <w:pPr>
        <w:spacing w:line="560" w:lineRule="exact"/>
        <w:jc w:val="center"/>
        <w:rPr>
          <w:rFonts w:eastAsia="方正小标宋_GBK"/>
          <w:sz w:val="32"/>
          <w:szCs w:val="32"/>
        </w:rPr>
      </w:pPr>
      <w:r>
        <w:rPr>
          <w:rFonts w:eastAsia="方正小标宋_GBK"/>
          <w:sz w:val="32"/>
          <w:szCs w:val="32"/>
        </w:rPr>
        <w:t>政务服务事项办事指南</w:t>
      </w:r>
    </w:p>
    <w:p>
      <w:pPr>
        <w:spacing w:line="560" w:lineRule="exact"/>
        <w:ind w:firstLineChars="200" w:firstLine="880"/>
        <w:rPr>
          <w:rFonts w:eastAsia="方正小标宋_GBK"/>
          <w:sz w:val="44"/>
          <w:szCs w:val="44"/>
        </w:rPr>
      </w:pPr>
    </w:p>
    <w:p>
      <w:pPr>
        <w:spacing w:line="560" w:lineRule="exact"/>
        <w:ind w:firstLineChars="200" w:firstLine="640"/>
        <w:rPr>
          <w:rFonts w:ascii="方正小标宋_GBK" w:eastAsia="方正小标宋_GBK"/>
          <w:sz w:val="32"/>
          <w:szCs w:val="32"/>
        </w:rPr>
      </w:pPr>
      <w:r>
        <w:rPr>
          <w:rFonts w:eastAsia="方正黑体_GBK"/>
          <w:sz w:val="32"/>
          <w:szCs w:val="32"/>
        </w:rPr>
        <w:t>一、事项名称：</w:t>
      </w:r>
      <w:r>
        <w:rPr>
          <w:rFonts w:eastAsia="方正仿宋_GBK" w:hint="eastAsia"/>
          <w:bCs/>
          <w:sz w:val="32"/>
          <w:szCs w:val="32"/>
        </w:rPr>
        <w:t>进境非食用动物产品存放、加工过程的检疫监督</w:t>
      </w:r>
    </w:p>
    <w:p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黑体_GBK"/>
          <w:bCs/>
          <w:sz w:val="32"/>
          <w:szCs w:val="32"/>
        </w:rPr>
        <w:t>二、事项类型：</w:t>
      </w:r>
      <w:r>
        <w:rPr>
          <w:rFonts w:eastAsia="方正仿宋_GBK"/>
          <w:bCs/>
          <w:sz w:val="32"/>
          <w:szCs w:val="32"/>
        </w:rPr>
        <w:t>行政检查</w:t>
      </w:r>
    </w:p>
    <w:p>
      <w:pPr>
        <w:widowControl/>
        <w:spacing w:line="560" w:lineRule="exact"/>
        <w:ind w:firstLineChars="200" w:firstLine="640"/>
        <w:rPr>
          <w:rFonts w:eastAsia="方正黑体_GBK"/>
          <w:bCs/>
          <w:sz w:val="32"/>
          <w:szCs w:val="32"/>
        </w:rPr>
      </w:pPr>
      <w:r>
        <w:rPr>
          <w:rFonts w:eastAsia="方正黑体_GBK"/>
          <w:bCs/>
          <w:sz w:val="32"/>
          <w:szCs w:val="32"/>
        </w:rPr>
        <w:t>三、设定依据：</w:t>
      </w:r>
    </w:p>
    <w:p>
      <w:pPr>
        <w:widowControl/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（一）《中华人民共和国进出境动植物检疫法》第七条：国家动植物检疫机关和口岸动植物检疫机关对进出境动植物、动植物产品的生产、加工、存放过程，实施检疫监督制度。</w:t>
      </w:r>
    </w:p>
    <w:p>
      <w:pPr>
        <w:widowControl/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（二）《中华人民共和国进出境动植物检疫法实施条例》第五十三条：国家动植物检疫局和口岸动植物检疫机关对进出境动植物、动植物产品的生产、加工、存放过程，实施检疫监督制度。</w:t>
      </w:r>
    </w:p>
    <w:p>
      <w:pPr>
        <w:widowControl/>
        <w:spacing w:line="560" w:lineRule="exact"/>
        <w:ind w:firstLineChars="200" w:firstLine="640"/>
        <w:jc w:val="left"/>
        <w:rPr>
          <w:rFonts w:eastAsia="方正仿宋_GBK"/>
          <w:kern w:val="0"/>
          <w:sz w:val="32"/>
          <w:szCs w:val="28"/>
        </w:rPr>
      </w:pPr>
      <w:r>
        <w:rPr>
          <w:rFonts w:eastAsia="方正仿宋_GBK"/>
          <w:bCs/>
          <w:sz w:val="32"/>
          <w:szCs w:val="32"/>
        </w:rPr>
        <w:t>（三）《进出境非食用动物产品检验检疫监督管理办法》第二十一条：</w:t>
      </w:r>
      <w:r>
        <w:rPr>
          <w:rFonts w:eastAsia="方正仿宋_GBK"/>
          <w:kern w:val="0"/>
          <w:sz w:val="32"/>
          <w:szCs w:val="28"/>
        </w:rPr>
        <w:t>因口岸条件限制等原因，进境后应当运往指定企业检疫的非食用动物产品，由进境口岸海关实施现场查验和相应防疫消毒处理后，通知指定企业所在地海关</w:t>
      </w:r>
      <w:r>
        <w:rPr>
          <w:rFonts w:eastAsia="方正仿宋_GBK" w:hint="eastAsia"/>
          <w:kern w:val="0"/>
          <w:sz w:val="32"/>
          <w:szCs w:val="28"/>
        </w:rPr>
        <w:t>；</w:t>
      </w:r>
      <w:r>
        <w:rPr>
          <w:rFonts w:eastAsia="方正仿宋_GBK"/>
          <w:kern w:val="0"/>
          <w:sz w:val="32"/>
          <w:szCs w:val="28"/>
        </w:rPr>
        <w:t>第三十二条</w:t>
      </w:r>
      <w:r>
        <w:rPr>
          <w:rFonts w:eastAsia="方正仿宋_GBK" w:hint="eastAsia"/>
          <w:kern w:val="0"/>
          <w:sz w:val="32"/>
          <w:szCs w:val="28"/>
        </w:rPr>
        <w:t>：</w:t>
      </w:r>
      <w:r>
        <w:rPr>
          <w:rFonts w:eastAsia="方正仿宋_GBK"/>
          <w:kern w:val="0"/>
          <w:sz w:val="32"/>
          <w:szCs w:val="28"/>
        </w:rPr>
        <w:t>海关对进境非食用动物产品存放、加工过程，实施检疫监督制度。</w:t>
      </w:r>
    </w:p>
    <w:p>
      <w:pPr>
        <w:widowControl/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（四）《关于进境非食用动物产品风险级别及检验检疫监管措施的公告》（原质检总局2015年第41号公告）：进境I级风险产品进境后在指定企业存放、加工并接受检验检疫监督。</w:t>
      </w:r>
    </w:p>
    <w:p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黑体_GBK"/>
          <w:bCs/>
          <w:sz w:val="32"/>
          <w:szCs w:val="32"/>
        </w:rPr>
        <w:t>四、实施机构：</w:t>
      </w:r>
      <w:r>
        <w:rPr>
          <w:rFonts w:eastAsia="方正仿宋_GBK"/>
          <w:bCs/>
          <w:sz w:val="32"/>
          <w:szCs w:val="32"/>
        </w:rPr>
        <w:t>乌海海关</w:t>
      </w:r>
    </w:p>
    <w:p>
      <w:pPr>
        <w:spacing w:line="560" w:lineRule="exact"/>
        <w:ind w:firstLineChars="200" w:firstLine="640"/>
        <w:rPr>
          <w:rFonts w:eastAsia="方正黑体_GBK"/>
          <w:bCs/>
          <w:sz w:val="32"/>
          <w:szCs w:val="32"/>
        </w:rPr>
      </w:pPr>
      <w:r>
        <w:rPr>
          <w:rFonts w:eastAsia="方正黑体_GBK"/>
          <w:bCs/>
          <w:sz w:val="32"/>
          <w:szCs w:val="32"/>
        </w:rPr>
        <w:t>五、法定办结时限：</w:t>
      </w:r>
      <w:r>
        <w:rPr>
          <w:rFonts w:eastAsia="方正仿宋_GBK" w:hint="eastAsia"/>
          <w:bCs/>
          <w:sz w:val="32"/>
          <w:szCs w:val="32"/>
        </w:rPr>
        <w:t>无</w:t>
      </w:r>
    </w:p>
    <w:p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黑体_GBK"/>
          <w:bCs/>
          <w:sz w:val="32"/>
          <w:szCs w:val="32"/>
        </w:rPr>
        <w:t>六、承诺办结时限</w:t>
      </w:r>
      <w:r>
        <w:rPr>
          <w:rFonts w:eastAsia="方正仿宋_GBK"/>
          <w:bCs/>
          <w:sz w:val="32"/>
          <w:szCs w:val="32"/>
        </w:rPr>
        <w:t>：</w:t>
      </w:r>
      <w:r>
        <w:rPr>
          <w:rFonts w:eastAsia="方正仿宋_GBK" w:hint="eastAsia"/>
          <w:bCs/>
          <w:sz w:val="32"/>
          <w:szCs w:val="32"/>
        </w:rPr>
        <w:t>2</w:t>
      </w:r>
      <w:r>
        <w:rPr>
          <w:rFonts w:eastAsia="方正仿宋_GBK"/>
          <w:bCs/>
          <w:sz w:val="32"/>
          <w:szCs w:val="32"/>
        </w:rPr>
        <w:t>0个工作日</w:t>
      </w:r>
    </w:p>
    <w:p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黑体_GBK"/>
          <w:bCs/>
          <w:sz w:val="32"/>
          <w:szCs w:val="32"/>
        </w:rPr>
        <w:t>七、结果名称：</w:t>
      </w:r>
      <w:r>
        <w:rPr>
          <w:rFonts w:eastAsia="方正仿宋_GBK"/>
          <w:bCs/>
          <w:sz w:val="32"/>
          <w:szCs w:val="32"/>
        </w:rPr>
        <w:t>进境非食用动物产品存放、加工指定企业</w:t>
      </w:r>
    </w:p>
    <w:p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黑体_GBK"/>
          <w:bCs/>
          <w:sz w:val="32"/>
          <w:szCs w:val="32"/>
        </w:rPr>
        <w:t>八、结果样本：</w:t>
      </w:r>
      <w:r>
        <w:rPr>
          <w:rFonts w:eastAsia="方正仿宋_GBK"/>
          <w:bCs/>
          <w:sz w:val="32"/>
          <w:szCs w:val="32"/>
        </w:rPr>
        <w:t>在海关总署网站公布指定企业名单</w:t>
      </w:r>
    </w:p>
    <w:p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仿宋_GBK" w:hint="eastAsia"/>
          <w:bCs/>
          <w:sz w:val="32"/>
          <w:szCs w:val="32"/>
        </w:rPr>
        <w:t>查询网址:</w:t>
      </w:r>
    </w:p>
    <w:p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http://www.customs.gov.cn/customs/jyjy/dzwjyjy/qymd/index.html</w:t>
      </w:r>
    </w:p>
    <w:p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黑体_GBK"/>
          <w:bCs/>
          <w:sz w:val="32"/>
          <w:szCs w:val="32"/>
        </w:rPr>
        <w:t>九、收费标准：</w:t>
      </w:r>
      <w:r>
        <w:rPr>
          <w:rFonts w:eastAsia="方正仿宋_GBK"/>
          <w:bCs/>
          <w:sz w:val="32"/>
          <w:szCs w:val="32"/>
        </w:rPr>
        <w:t>不收费</w:t>
      </w:r>
    </w:p>
    <w:p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黑体_GBK"/>
          <w:bCs/>
          <w:sz w:val="32"/>
          <w:szCs w:val="32"/>
        </w:rPr>
        <w:t>十、收费依据：</w:t>
      </w:r>
      <w:r>
        <w:rPr>
          <w:rFonts w:eastAsia="方正仿宋_GBK"/>
          <w:bCs/>
          <w:sz w:val="32"/>
          <w:szCs w:val="32"/>
        </w:rPr>
        <w:t>无</w:t>
      </w:r>
    </w:p>
    <w:p>
      <w:pPr>
        <w:spacing w:line="560" w:lineRule="exact"/>
        <w:ind w:firstLineChars="200" w:firstLine="640"/>
        <w:rPr>
          <w:rFonts w:eastAsia="方正黑体_GBK"/>
          <w:bCs/>
          <w:sz w:val="32"/>
          <w:szCs w:val="32"/>
        </w:rPr>
      </w:pPr>
      <w:r>
        <w:rPr>
          <w:rFonts w:eastAsia="方正黑体_GBK"/>
          <w:bCs/>
          <w:sz w:val="32"/>
          <w:szCs w:val="32"/>
        </w:rPr>
        <w:t>十一、申请条件：</w:t>
      </w:r>
    </w:p>
    <w:p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符合《进境非食用动物产品生产、加工、存放企业兽医卫生基本要求》</w:t>
      </w:r>
      <w:r>
        <w:rPr>
          <w:rFonts w:eastAsia="方正仿宋_GBK" w:hint="eastAsia"/>
          <w:bCs/>
          <w:sz w:val="32"/>
          <w:szCs w:val="32"/>
        </w:rPr>
        <w:t>（参见WORD版和PDF版办事指南中的</w:t>
      </w:r>
      <w:r>
        <w:rPr>
          <w:rFonts w:eastAsia="方正仿宋_GBK"/>
          <w:bCs/>
          <w:sz w:val="32"/>
          <w:szCs w:val="32"/>
        </w:rPr>
        <w:t>附件1</w:t>
      </w:r>
      <w:r>
        <w:rPr>
          <w:rFonts w:eastAsia="方正仿宋_GBK" w:hint="eastAsia"/>
          <w:bCs/>
          <w:sz w:val="32"/>
          <w:szCs w:val="32"/>
        </w:rPr>
        <w:t>）</w:t>
      </w:r>
      <w:r>
        <w:rPr>
          <w:rFonts w:eastAsia="方正仿宋_GBK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黑体_GBK"/>
          <w:bCs/>
          <w:sz w:val="32"/>
          <w:szCs w:val="32"/>
        </w:rPr>
        <w:t>十二、申请材料：</w:t>
      </w:r>
    </w:p>
    <w:p>
      <w:pPr>
        <w:spacing w:line="560" w:lineRule="exact"/>
        <w:ind w:firstLineChars="200" w:firstLine="640"/>
        <w:rPr>
          <w:rFonts w:eastAsia="方正楷体_GBK"/>
          <w:b/>
          <w:bCs/>
          <w:sz w:val="32"/>
          <w:szCs w:val="32"/>
        </w:rPr>
      </w:pPr>
      <w:r>
        <w:rPr>
          <w:rFonts w:eastAsia="方正楷体_GBK"/>
          <w:b/>
          <w:bCs/>
          <w:sz w:val="32"/>
          <w:szCs w:val="32"/>
        </w:rPr>
        <w:t>（一）新申请指定</w:t>
      </w:r>
    </w:p>
    <w:p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1.《进境非食用动物产品存放、加工指定企业申请表》</w:t>
      </w:r>
      <w:r>
        <w:rPr>
          <w:rFonts w:eastAsia="方正仿宋_GBK" w:hint="eastAsia"/>
          <w:bCs/>
          <w:sz w:val="32"/>
          <w:szCs w:val="32"/>
        </w:rPr>
        <w:t>（</w:t>
      </w:r>
      <w:r>
        <w:rPr>
          <w:rFonts w:eastAsia="方正仿宋_GBK"/>
          <w:bCs/>
          <w:sz w:val="32"/>
          <w:szCs w:val="32"/>
        </w:rPr>
        <w:t>附件2</w:t>
      </w:r>
      <w:r>
        <w:rPr>
          <w:rFonts w:eastAsia="方正仿宋_GBK" w:hint="eastAsia"/>
          <w:bCs/>
          <w:sz w:val="32"/>
          <w:szCs w:val="32"/>
        </w:rPr>
        <w:t>）</w:t>
      </w:r>
      <w:r>
        <w:rPr>
          <w:rFonts w:eastAsia="方正仿宋_GBK"/>
          <w:bCs/>
          <w:sz w:val="32"/>
          <w:szCs w:val="32"/>
        </w:rPr>
        <w:t>；</w:t>
      </w:r>
    </w:p>
    <w:p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2</w:t>
      </w:r>
      <w:r>
        <w:rPr>
          <w:rFonts w:eastAsia="方正仿宋_GBK" w:hint="eastAsia"/>
          <w:bCs/>
          <w:sz w:val="32"/>
          <w:szCs w:val="32"/>
        </w:rPr>
        <w:t>.</w:t>
      </w:r>
      <w:r>
        <w:rPr>
          <w:rFonts w:eastAsia="方正仿宋_GBK"/>
          <w:bCs/>
          <w:sz w:val="32"/>
          <w:szCs w:val="32"/>
        </w:rPr>
        <w:t>厂区平面图，并提供重点区域的照片或者视频资料；</w:t>
      </w:r>
    </w:p>
    <w:p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3</w:t>
      </w:r>
      <w:r>
        <w:rPr>
          <w:rFonts w:eastAsia="方正仿宋_GBK" w:hint="eastAsia"/>
          <w:bCs/>
          <w:sz w:val="32"/>
          <w:szCs w:val="32"/>
        </w:rPr>
        <w:t>.</w:t>
      </w:r>
      <w:r>
        <w:rPr>
          <w:rFonts w:eastAsia="方正仿宋_GBK"/>
          <w:bCs/>
          <w:sz w:val="32"/>
          <w:szCs w:val="32"/>
        </w:rPr>
        <w:t>工艺流程图，包括加工的温度、使用化学试剂的种类、浓度和pH值、处理的时间和使用的有关设备等情况。（此项不适用于存放企业)；</w:t>
      </w:r>
    </w:p>
    <w:p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仿宋_GBK" w:hint="eastAsia"/>
          <w:bCs/>
          <w:sz w:val="32"/>
          <w:szCs w:val="32"/>
        </w:rPr>
        <w:t>4.规章制度：应涵盖生产、加工、存放各环节，包括兽医卫生防疫工作领导小组及其职责、出入库及加工登记管理制度、防疫处理制度、检疫处理药物管理制度、出入库登记及加工登记制度、人员管理制度、疫情应急处置预案以及有效的防火、防盗、防鸟、防虫、灭鼠等安全保障制度。</w:t>
      </w:r>
    </w:p>
    <w:p>
      <w:pPr>
        <w:spacing w:line="560" w:lineRule="exact"/>
        <w:ind w:firstLineChars="200" w:firstLine="640"/>
        <w:rPr>
          <w:rFonts w:eastAsia="方正楷体_GBK"/>
          <w:b/>
          <w:bCs/>
          <w:sz w:val="32"/>
          <w:szCs w:val="32"/>
        </w:rPr>
      </w:pPr>
      <w:r>
        <w:rPr>
          <w:rFonts w:eastAsia="方正楷体_GBK"/>
          <w:b/>
          <w:bCs/>
          <w:sz w:val="32"/>
          <w:szCs w:val="32"/>
        </w:rPr>
        <w:t>（二）申请变更</w:t>
      </w:r>
    </w:p>
    <w:p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1.《进境非食用动物产品存放、加工指定企业申请表》</w:t>
      </w:r>
      <w:r>
        <w:rPr>
          <w:rFonts w:eastAsia="方正仿宋_GBK" w:hint="eastAsia"/>
          <w:bCs/>
          <w:sz w:val="32"/>
          <w:szCs w:val="32"/>
        </w:rPr>
        <w:t>；（附件2）</w:t>
      </w:r>
    </w:p>
    <w:p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2.企业改建或扩建平面图(适用于调整加工、存放能力、加工产品种类)；</w:t>
      </w:r>
    </w:p>
    <w:p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 xml:space="preserve">3.工艺流程图，包括加工的温度、使用化学试剂的种类、浓度和PH值、处理的时间和使用的有关设备等情况。（此项不适用于存放企业）； </w:t>
      </w:r>
    </w:p>
    <w:p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4.图片资料：有关生产、加工、存放设施布局发生变更的情况。</w:t>
      </w:r>
    </w:p>
    <w:p>
      <w:pPr>
        <w:spacing w:line="560" w:lineRule="exact"/>
        <w:ind w:firstLineChars="200" w:firstLine="640"/>
        <w:rPr>
          <w:rFonts w:eastAsia="方正黑体_GBK"/>
          <w:bCs/>
          <w:sz w:val="32"/>
          <w:szCs w:val="32"/>
        </w:rPr>
      </w:pPr>
      <w:r>
        <w:rPr>
          <w:rFonts w:eastAsia="方正黑体_GBK"/>
          <w:bCs/>
          <w:sz w:val="32"/>
          <w:szCs w:val="32"/>
        </w:rPr>
        <w:t>十三、办理流程：</w:t>
      </w:r>
    </w:p>
    <w:p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（一）企业</w:t>
      </w:r>
      <w:r>
        <w:rPr>
          <w:rFonts w:eastAsia="方正仿宋_GBK" w:hint="eastAsia"/>
          <w:bCs/>
          <w:sz w:val="32"/>
          <w:szCs w:val="32"/>
        </w:rPr>
        <w:t>登录“互联</w:t>
      </w:r>
      <w:r>
        <w:rPr>
          <w:rFonts w:eastAsia="方正仿宋_GBK" w:hint="eastAsia"/>
          <w:sz w:val="32"/>
          <w:szCs w:val="32"/>
        </w:rPr>
        <w:t>网+海关</w:t>
      </w:r>
      <w:r>
        <w:rPr>
          <w:rFonts w:eastAsia="方正仿宋_GBK" w:hint="eastAsia"/>
          <w:bCs/>
          <w:sz w:val="32"/>
          <w:szCs w:val="32"/>
        </w:rPr>
        <w:t>”一体化网上办事</w:t>
      </w:r>
      <w:r>
        <w:rPr>
          <w:rFonts w:eastAsia="方正仿宋_GBK" w:hint="eastAsia"/>
          <w:sz w:val="32"/>
          <w:szCs w:val="32"/>
        </w:rPr>
        <w:t>平台（平台地址：</w:t>
      </w:r>
      <w:r>
        <w:rPr>
          <w:rFonts w:eastAsia="方正仿宋_GBK"/>
          <w:sz w:val="32"/>
          <w:szCs w:val="32"/>
        </w:rPr>
        <w:t>http://</w:t>
      </w:r>
      <w:r>
        <w:rPr>
          <w:rFonts w:eastAsia="方正仿宋_GBK" w:hint="eastAsia"/>
          <w:sz w:val="32"/>
          <w:szCs w:val="32"/>
        </w:rPr>
        <w:t>online.customs.gov.cn）向</w:t>
      </w:r>
      <w:r>
        <w:rPr>
          <w:rFonts w:eastAsia="方正仿宋_GBK"/>
          <w:bCs/>
          <w:sz w:val="32"/>
          <w:szCs w:val="32"/>
        </w:rPr>
        <w:t>所在地直属海关申请</w:t>
      </w:r>
      <w:r>
        <w:rPr>
          <w:rFonts w:eastAsia="方正仿宋_GBK" w:hint="eastAsia"/>
          <w:bCs/>
          <w:sz w:val="32"/>
          <w:szCs w:val="32"/>
        </w:rPr>
        <w:t>，提交电子版申请材料；</w:t>
      </w:r>
    </w:p>
    <w:p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（二）直属海关</w:t>
      </w:r>
      <w:r>
        <w:rPr>
          <w:rFonts w:eastAsia="方正仿宋_GBK" w:hint="eastAsia"/>
          <w:bCs/>
          <w:sz w:val="32"/>
          <w:szCs w:val="32"/>
        </w:rPr>
        <w:t>收到申请后对申请材料进行审查，不符合受理条件的不予受理，材料符合或经补正合格的予以受理；</w:t>
      </w:r>
    </w:p>
    <w:p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仿宋_GBK" w:hint="eastAsia"/>
          <w:bCs/>
          <w:sz w:val="32"/>
          <w:szCs w:val="32"/>
        </w:rPr>
        <w:t>（三）直属海关受理申请后，组织</w:t>
      </w:r>
      <w:r>
        <w:rPr>
          <w:rFonts w:eastAsia="方正仿宋_GBK"/>
          <w:bCs/>
          <w:sz w:val="32"/>
          <w:szCs w:val="32"/>
        </w:rPr>
        <w:t>进行现场评估，</w:t>
      </w:r>
      <w:r>
        <w:rPr>
          <w:rFonts w:eastAsia="方正仿宋_GBK" w:hint="eastAsia"/>
          <w:bCs/>
          <w:sz w:val="32"/>
          <w:szCs w:val="32"/>
        </w:rPr>
        <w:t>评估</w:t>
      </w:r>
      <w:r>
        <w:rPr>
          <w:rFonts w:eastAsia="方正仿宋_GBK"/>
          <w:bCs/>
          <w:sz w:val="32"/>
          <w:szCs w:val="32"/>
        </w:rPr>
        <w:t>合格</w:t>
      </w:r>
      <w:r>
        <w:rPr>
          <w:rFonts w:eastAsia="方正仿宋_GBK" w:hint="eastAsia"/>
          <w:bCs/>
          <w:sz w:val="32"/>
          <w:szCs w:val="32"/>
        </w:rPr>
        <w:t>的，</w:t>
      </w:r>
      <w:r>
        <w:rPr>
          <w:rFonts w:eastAsia="方正仿宋_GBK"/>
          <w:bCs/>
          <w:sz w:val="32"/>
          <w:szCs w:val="32"/>
        </w:rPr>
        <w:t>上报海关总署备案；</w:t>
      </w:r>
      <w:r>
        <w:rPr>
          <w:rFonts w:eastAsia="方正仿宋_GBK" w:hint="eastAsia"/>
          <w:bCs/>
          <w:sz w:val="32"/>
          <w:szCs w:val="32"/>
        </w:rPr>
        <w:t>评估不合格的，不予核准；</w:t>
      </w:r>
    </w:p>
    <w:p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仿宋_GBK"/>
          <w:bCs/>
          <w:sz w:val="32"/>
          <w:szCs w:val="32"/>
        </w:rPr>
        <w:t>（</w:t>
      </w:r>
      <w:r>
        <w:rPr>
          <w:rFonts w:eastAsia="方正仿宋_GBK" w:hint="eastAsia"/>
          <w:bCs/>
          <w:sz w:val="32"/>
          <w:szCs w:val="32"/>
        </w:rPr>
        <w:t>四</w:t>
      </w:r>
      <w:r>
        <w:rPr>
          <w:rFonts w:eastAsia="方正仿宋_GBK"/>
          <w:bCs/>
          <w:sz w:val="32"/>
          <w:szCs w:val="32"/>
        </w:rPr>
        <w:t>）</w:t>
      </w:r>
      <w:r>
        <w:rPr>
          <w:rFonts w:eastAsia="方正仿宋_GBK" w:hint="eastAsia"/>
          <w:bCs/>
          <w:sz w:val="32"/>
          <w:szCs w:val="32"/>
        </w:rPr>
        <w:t>海关总署在官网公布指定企业名单</w:t>
      </w:r>
      <w:r>
        <w:rPr>
          <w:rFonts w:eastAsia="方正仿宋_GBK"/>
          <w:bCs/>
          <w:sz w:val="32"/>
          <w:szCs w:val="32"/>
        </w:rPr>
        <w:t>。</w:t>
      </w:r>
    </w:p>
    <w:p>
      <w:pPr>
        <w:widowControl/>
        <w:autoSpaceDN w:val="0"/>
        <w:spacing w:line="560" w:lineRule="exact"/>
        <w:ind w:firstLine="640"/>
        <w:rPr>
          <w:rFonts w:eastAsia="方正仿宋_GBK"/>
          <w:color w:val="000000"/>
          <w:sz w:val="32"/>
          <w:szCs w:val="32"/>
        </w:rPr>
      </w:pPr>
      <w:r>
        <w:rPr>
          <w:rFonts w:eastAsia="方正仿宋_GBK" w:hint="eastAsia"/>
          <w:color w:val="000000"/>
          <w:sz w:val="32"/>
          <w:szCs w:val="32"/>
        </w:rPr>
        <w:t>详细办理流程图见</w:t>
      </w:r>
      <w:r>
        <w:rPr>
          <w:rFonts w:eastAsia="方正仿宋_GBK" w:hint="eastAsia"/>
          <w:bCs/>
          <w:sz w:val="32"/>
          <w:szCs w:val="32"/>
        </w:rPr>
        <w:t>附件3。</w:t>
      </w:r>
    </w:p>
    <w:p>
      <w:pPr>
        <w:autoSpaceDN w:val="0"/>
        <w:adjustRightInd w:val="0"/>
        <w:snapToGrid w:val="0"/>
        <w:spacing w:line="560" w:lineRule="exact"/>
        <w:ind w:firstLine="640"/>
        <w:rPr>
          <w:rFonts w:eastAsia="方正仿宋_GBK"/>
          <w:sz w:val="32"/>
          <w:szCs w:val="32"/>
        </w:rPr>
      </w:pPr>
      <w:r>
        <w:rPr>
          <w:rFonts w:eastAsia="方正黑体_GBK"/>
          <w:bCs/>
          <w:sz w:val="32"/>
          <w:szCs w:val="32"/>
        </w:rPr>
        <w:t>十四、办理形式：</w:t>
      </w:r>
      <w:r>
        <w:rPr>
          <w:rFonts w:eastAsia="方正仿宋_GBK" w:hint="eastAsia"/>
          <w:sz w:val="32"/>
          <w:szCs w:val="32"/>
        </w:rPr>
        <w:t>网上办理</w:t>
      </w:r>
      <w:r>
        <w:rPr>
          <w:rFonts w:eastAsia="方正仿宋_GBK"/>
          <w:bCs/>
          <w:sz w:val="32"/>
          <w:szCs w:val="32"/>
        </w:rPr>
        <w:t>。</w:t>
      </w:r>
    </w:p>
    <w:p>
      <w:pPr>
        <w:autoSpaceDN w:val="0"/>
        <w:adjustRightInd w:val="0"/>
        <w:snapToGrid w:val="0"/>
        <w:spacing w:line="560" w:lineRule="exact"/>
        <w:ind w:firstLine="640"/>
        <w:rPr>
          <w:rFonts w:eastAsia="方正仿宋_GBK"/>
          <w:bCs/>
          <w:sz w:val="32"/>
          <w:szCs w:val="32"/>
        </w:rPr>
      </w:pPr>
      <w:r>
        <w:rPr>
          <w:rFonts w:eastAsia="方正黑体_GBK" w:hint="eastAsia"/>
          <w:bCs/>
          <w:sz w:val="32"/>
          <w:szCs w:val="32"/>
        </w:rPr>
        <w:t>十五、到办理现场次数：</w:t>
      </w:r>
      <w:r>
        <w:rPr>
          <w:rFonts w:eastAsia="方正仿宋_GBK"/>
          <w:sz w:val="32"/>
          <w:szCs w:val="32"/>
        </w:rPr>
        <w:t>0</w:t>
      </w:r>
      <w:r>
        <w:rPr>
          <w:rFonts w:eastAsia="方正仿宋_GBK" w:hint="eastAsia"/>
          <w:sz w:val="32"/>
          <w:szCs w:val="32"/>
        </w:rPr>
        <w:t>次</w:t>
      </w:r>
      <w:r>
        <w:rPr>
          <w:rFonts w:eastAsia="方正仿宋_GBK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黑体_GBK"/>
          <w:bCs/>
          <w:sz w:val="32"/>
          <w:szCs w:val="32"/>
        </w:rPr>
        <w:t>十</w:t>
      </w:r>
      <w:r>
        <w:rPr>
          <w:rFonts w:eastAsia="方正黑体_GBK" w:hint="eastAsia"/>
          <w:bCs/>
          <w:sz w:val="32"/>
          <w:szCs w:val="32"/>
        </w:rPr>
        <w:t>六</w:t>
      </w:r>
      <w:r>
        <w:rPr>
          <w:rFonts w:eastAsia="方正黑体_GBK"/>
          <w:bCs/>
          <w:sz w:val="32"/>
          <w:szCs w:val="32"/>
        </w:rPr>
        <w:t>、审查标准：</w:t>
      </w:r>
      <w:r>
        <w:rPr>
          <w:rFonts w:eastAsia="方正仿宋_GBK"/>
          <w:bCs/>
          <w:sz w:val="32"/>
          <w:szCs w:val="32"/>
        </w:rPr>
        <w:t>是否满足</w:t>
      </w:r>
      <w:r>
        <w:rPr>
          <w:rFonts w:eastAsia="方正仿宋_GBK" w:hint="eastAsia"/>
          <w:bCs/>
          <w:sz w:val="32"/>
          <w:szCs w:val="32"/>
        </w:rPr>
        <w:t>《</w:t>
      </w:r>
      <w:r>
        <w:rPr>
          <w:rFonts w:eastAsia="方正仿宋_GBK"/>
          <w:bCs/>
          <w:sz w:val="32"/>
          <w:szCs w:val="32"/>
        </w:rPr>
        <w:t>进境非食用动物产品存放、加工企业兽医卫生基本要求</w:t>
      </w:r>
      <w:r>
        <w:rPr>
          <w:rFonts w:eastAsia="方正仿宋_GBK" w:hint="eastAsia"/>
          <w:bCs/>
          <w:sz w:val="32"/>
          <w:szCs w:val="32"/>
        </w:rPr>
        <w:t>》</w:t>
      </w:r>
      <w:r>
        <w:rPr>
          <w:rFonts w:eastAsia="方正仿宋_GBK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eastAsia="方正黑体_GBK"/>
          <w:bCs/>
          <w:sz w:val="32"/>
          <w:szCs w:val="32"/>
        </w:rPr>
      </w:pPr>
      <w:r>
        <w:rPr>
          <w:rFonts w:eastAsia="方正黑体_GBK"/>
          <w:bCs/>
          <w:sz w:val="32"/>
          <w:szCs w:val="32"/>
        </w:rPr>
        <w:t>十</w:t>
      </w:r>
      <w:r>
        <w:rPr>
          <w:rFonts w:eastAsia="方正黑体_GBK" w:hint="eastAsia"/>
          <w:bCs/>
          <w:sz w:val="32"/>
          <w:szCs w:val="32"/>
        </w:rPr>
        <w:t>七</w:t>
      </w:r>
      <w:r>
        <w:rPr>
          <w:rFonts w:eastAsia="方正黑体_GBK"/>
          <w:bCs/>
          <w:sz w:val="32"/>
          <w:szCs w:val="32"/>
        </w:rPr>
        <w:t>、通办范围：</w:t>
      </w:r>
      <w:r>
        <w:rPr>
          <w:rFonts w:eastAsia="方正仿宋_GBK"/>
          <w:bCs/>
          <w:sz w:val="32"/>
          <w:szCs w:val="32"/>
        </w:rPr>
        <w:t>各直属海关。</w:t>
      </w:r>
    </w:p>
    <w:p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黑体_GBK"/>
          <w:bCs/>
          <w:sz w:val="32"/>
          <w:szCs w:val="32"/>
        </w:rPr>
        <w:t>十</w:t>
      </w:r>
      <w:r>
        <w:rPr>
          <w:rFonts w:eastAsia="方正黑体_GBK" w:hint="eastAsia"/>
          <w:bCs/>
          <w:sz w:val="32"/>
          <w:szCs w:val="32"/>
        </w:rPr>
        <w:t>八</w:t>
      </w:r>
      <w:r>
        <w:rPr>
          <w:rFonts w:eastAsia="方正黑体_GBK"/>
          <w:bCs/>
          <w:sz w:val="32"/>
          <w:szCs w:val="32"/>
        </w:rPr>
        <w:t>、预约办理：</w:t>
      </w:r>
      <w:r>
        <w:rPr>
          <w:rFonts w:eastAsia="方正仿宋_GBK"/>
          <w:bCs/>
          <w:kern w:val="0"/>
          <w:sz w:val="32"/>
          <w:szCs w:val="32"/>
        </w:rPr>
        <w:t>否</w:t>
      </w:r>
      <w:r>
        <w:rPr>
          <w:rFonts w:eastAsia="方正仿宋_GBK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黑体_GBK"/>
          <w:bCs/>
          <w:sz w:val="32"/>
          <w:szCs w:val="32"/>
        </w:rPr>
        <w:t>十</w:t>
      </w:r>
      <w:r>
        <w:rPr>
          <w:rFonts w:eastAsia="方正黑体_GBK" w:hint="eastAsia"/>
          <w:bCs/>
          <w:sz w:val="32"/>
          <w:szCs w:val="32"/>
        </w:rPr>
        <w:t>九</w:t>
      </w:r>
      <w:r>
        <w:rPr>
          <w:rFonts w:eastAsia="方正黑体_GBK"/>
          <w:bCs/>
          <w:sz w:val="32"/>
          <w:szCs w:val="32"/>
        </w:rPr>
        <w:t>、网上支付：</w:t>
      </w:r>
      <w:r>
        <w:rPr>
          <w:rFonts w:eastAsia="方正仿宋_GBK"/>
          <w:bCs/>
          <w:kern w:val="0"/>
          <w:sz w:val="32"/>
          <w:szCs w:val="32"/>
        </w:rPr>
        <w:t>否</w:t>
      </w:r>
      <w:r>
        <w:rPr>
          <w:rFonts w:eastAsia="方正仿宋_GBK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黑体_GBK" w:hint="eastAsia"/>
          <w:bCs/>
          <w:sz w:val="32"/>
          <w:szCs w:val="32"/>
        </w:rPr>
        <w:t>二十</w:t>
      </w:r>
      <w:r>
        <w:rPr>
          <w:rFonts w:eastAsia="方正黑体_GBK"/>
          <w:bCs/>
          <w:sz w:val="32"/>
          <w:szCs w:val="32"/>
        </w:rPr>
        <w:t>、物流快递：</w:t>
      </w:r>
      <w:r>
        <w:rPr>
          <w:rFonts w:eastAsia="方正仿宋_GBK"/>
          <w:bCs/>
          <w:kern w:val="0"/>
          <w:sz w:val="32"/>
          <w:szCs w:val="32"/>
        </w:rPr>
        <w:t>支持物流快递</w:t>
      </w:r>
      <w:r>
        <w:rPr>
          <w:rFonts w:eastAsia="方正仿宋_GBK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黑体_GBK"/>
          <w:bCs/>
          <w:sz w:val="32"/>
          <w:szCs w:val="32"/>
        </w:rPr>
        <w:t>二十</w:t>
      </w:r>
      <w:r>
        <w:rPr>
          <w:rFonts w:eastAsia="方正黑体_GBK" w:hint="eastAsia"/>
          <w:bCs/>
          <w:sz w:val="32"/>
          <w:szCs w:val="32"/>
        </w:rPr>
        <w:t>一</w:t>
      </w:r>
      <w:r>
        <w:rPr>
          <w:rFonts w:eastAsia="方正黑体_GBK"/>
          <w:bCs/>
          <w:sz w:val="32"/>
          <w:szCs w:val="32"/>
        </w:rPr>
        <w:t>、办理地点：</w:t>
      </w:r>
      <w:r>
        <w:rPr>
          <w:rFonts w:eastAsia="方正仿宋_GBK" w:hint="eastAsia"/>
          <w:bCs/>
          <w:sz w:val="32"/>
          <w:szCs w:val="32"/>
          <w:bdr w:val="none" w:sz="0" w:space="0" w:color="auto"/>
        </w:rPr>
        <w:t>用户</w:t>
      </w:r>
      <w:r>
        <w:rPr>
          <w:rFonts w:eastAsia="方正仿宋_GBK" w:hint="eastAsia"/>
          <w:bCs/>
          <w:sz w:val="32"/>
          <w:szCs w:val="32"/>
        </w:rPr>
        <w:t>登录“互联</w:t>
      </w:r>
      <w:r>
        <w:rPr>
          <w:rFonts w:eastAsia="方正仿宋_GBK" w:hint="eastAsia"/>
          <w:sz w:val="32"/>
          <w:szCs w:val="32"/>
        </w:rPr>
        <w:t>网+海关</w:t>
      </w:r>
      <w:r>
        <w:rPr>
          <w:rFonts w:eastAsia="方正仿宋_GBK" w:hint="eastAsia"/>
          <w:bCs/>
          <w:sz w:val="32"/>
          <w:szCs w:val="32"/>
        </w:rPr>
        <w:t>”一体化网上办事</w:t>
      </w:r>
      <w:r>
        <w:rPr>
          <w:rFonts w:eastAsia="方正仿宋_GBK" w:hint="eastAsia"/>
          <w:sz w:val="32"/>
          <w:szCs w:val="32"/>
        </w:rPr>
        <w:t>平台（平台地址：</w:t>
      </w:r>
      <w:r>
        <w:rPr>
          <w:rFonts w:eastAsia="方正仿宋_GBK"/>
          <w:sz w:val="32"/>
          <w:szCs w:val="32"/>
        </w:rPr>
        <w:t>http://</w:t>
      </w:r>
      <w:r>
        <w:rPr>
          <w:rFonts w:eastAsia="方正仿宋_GBK" w:hint="eastAsia"/>
          <w:sz w:val="32"/>
          <w:szCs w:val="32"/>
        </w:rPr>
        <w:t>online.customs.gov.cn），进入“动植物检疫”版块办理。</w:t>
      </w:r>
    </w:p>
    <w:p>
      <w:pPr>
        <w:pStyle w:val="26"/>
        <w:spacing w:line="560" w:lineRule="exact"/>
        <w:ind w:firstLineChars="200" w:firstLine="640"/>
        <w:rPr>
          <w:rFonts w:eastAsia="方正黑体_GBK"/>
          <w:bCs/>
          <w:sz w:val="32"/>
          <w:szCs w:val="32"/>
        </w:rPr>
      </w:pPr>
      <w:r>
        <w:rPr>
          <w:rFonts w:eastAsia="方正黑体_GBK"/>
          <w:bCs/>
          <w:sz w:val="32"/>
          <w:szCs w:val="32"/>
        </w:rPr>
        <w:t>二十</w:t>
      </w:r>
      <w:r>
        <w:rPr>
          <w:rFonts w:eastAsia="方正黑体_GBK" w:hint="eastAsia"/>
          <w:bCs/>
          <w:sz w:val="32"/>
          <w:szCs w:val="32"/>
        </w:rPr>
        <w:t>二</w:t>
      </w:r>
      <w:r>
        <w:rPr>
          <w:rFonts w:eastAsia="方正黑体_GBK"/>
          <w:bCs/>
          <w:sz w:val="32"/>
          <w:szCs w:val="32"/>
        </w:rPr>
        <w:t>、办理时间：</w:t>
      </w:r>
    </w:p>
    <w:p>
      <w:pPr>
        <w:spacing w:line="560" w:lineRule="exact"/>
        <w:ind w:firstLineChars="200" w:firstLine="640"/>
        <w:rPr>
          <w:rFonts w:eastAsia="方正仿宋_GBK"/>
          <w:bCs/>
          <w:kern w:val="0"/>
          <w:sz w:val="32"/>
          <w:szCs w:val="32"/>
        </w:rPr>
      </w:pPr>
      <w:r>
        <w:rPr>
          <w:rFonts w:eastAsia="方正仿宋_GBK" w:hint="eastAsia"/>
          <w:bCs/>
          <w:kern w:val="0"/>
          <w:sz w:val="32"/>
          <w:szCs w:val="32"/>
        </w:rPr>
        <w:t>（一）企业申请时间：24小时；</w:t>
      </w:r>
    </w:p>
    <w:p>
      <w:pPr>
        <w:spacing w:line="560" w:lineRule="exact"/>
        <w:ind w:firstLineChars="200" w:firstLine="640"/>
        <w:rPr>
          <w:rFonts w:eastAsia="方正仿宋_GBK"/>
          <w:kern w:val="0"/>
          <w:sz w:val="32"/>
          <w:szCs w:val="32"/>
          <w:lang w:bidi="ar-SA"/>
        </w:rPr>
      </w:pPr>
      <w:r>
        <w:rPr>
          <w:rFonts w:eastAsia="方正仿宋_GBK" w:hint="eastAsia"/>
          <w:bCs/>
          <w:kern w:val="0"/>
          <w:sz w:val="32"/>
          <w:szCs w:val="32"/>
        </w:rPr>
        <w:t>（二）海关审核办理时间</w:t>
      </w:r>
      <w:r>
        <w:rPr>
          <w:rFonts w:eastAsia="方正仿宋_GBK"/>
          <w:bCs/>
          <w:kern w:val="0"/>
          <w:sz w:val="32"/>
          <w:szCs w:val="32"/>
        </w:rPr>
        <w:t>：</w:t>
      </w:r>
      <w:r>
        <w:rPr>
          <w:rFonts w:eastAsia="方正仿宋_GBK"/>
          <w:bCs/>
          <w:sz w:val="32"/>
          <w:szCs w:val="32"/>
        </w:rPr>
        <w:t>工作日</w:t>
      </w:r>
      <w:r>
        <w:rPr>
          <w:rFonts w:eastAsia="方正仿宋_GBK"/>
          <w:bCs/>
          <w:sz w:val="32"/>
          <w:szCs w:val="32"/>
          <w:lang w:bidi="ar-SA"/>
        </w:rPr>
        <w:t>9:00-12:00</w:t>
      </w:r>
      <w:r>
        <w:rPr>
          <w:rFonts w:eastAsia="方正仿宋_GBK"/>
          <w:kern w:val="0"/>
          <w:sz w:val="32"/>
          <w:szCs w:val="32"/>
          <w:lang w:bidi="ar-SA"/>
        </w:rPr>
        <w:t>，15:00-18:00</w:t>
      </w:r>
      <w:r>
        <w:rPr>
          <w:rFonts w:eastAsia="方正仿宋_GBK"/>
          <w:kern w:val="0"/>
          <w:sz w:val="32"/>
          <w:szCs w:val="32"/>
          <w:lang w:bidi="ar-SA"/>
        </w:rPr>
        <w:t>。</w:t>
      </w:r>
    </w:p>
    <w:p>
      <w:pPr>
        <w:pStyle w:val="134"/>
        <w:spacing w:line="560" w:lineRule="exact"/>
        <w:ind w:firstLineChars="200" w:firstLine="640"/>
        <w:rPr>
          <w:rFonts w:eastAsia="方正仿宋_GBK"/>
          <w:bCs/>
          <w:sz w:val="32"/>
          <w:szCs w:val="32"/>
        </w:rPr>
      </w:pPr>
      <w:r>
        <w:rPr>
          <w:rFonts w:eastAsia="方正黑体_GBK"/>
          <w:bCs/>
          <w:sz w:val="32"/>
          <w:szCs w:val="32"/>
        </w:rPr>
        <w:t>二十</w:t>
      </w:r>
      <w:r>
        <w:rPr>
          <w:rFonts w:eastAsia="方正黑体_GBK" w:hint="eastAsia"/>
          <w:bCs/>
          <w:sz w:val="32"/>
          <w:szCs w:val="32"/>
        </w:rPr>
        <w:t>三</w:t>
      </w:r>
      <w:r>
        <w:rPr>
          <w:rFonts w:eastAsia="方正黑体_GBK"/>
          <w:bCs/>
          <w:sz w:val="32"/>
          <w:szCs w:val="32"/>
        </w:rPr>
        <w:t>、咨询电话：</w:t>
      </w:r>
      <w:r>
        <w:rPr>
          <w:rFonts w:ascii="Times New Roman" w:eastAsia="方正仿宋_GBK" w:cs="Times New Roman" w:hAnsi="Times New Roman"/>
          <w:bCs/>
          <w:sz w:val="32"/>
          <w:szCs w:val="32"/>
          <w:lang w:bidi="ar-SA"/>
        </w:rPr>
        <w:t>0473-3155926</w:t>
      </w:r>
      <w:r>
        <w:rPr>
          <w:rFonts w:eastAsia="方正仿宋_GBK"/>
          <w:bCs/>
          <w:sz w:val="32"/>
          <w:szCs w:val="32"/>
        </w:rPr>
        <w:t>或12360海关服务热线</w:t>
      </w:r>
      <w:r>
        <w:rPr>
          <w:rFonts w:eastAsia="方正仿宋_GBK" w:hint="eastAsia"/>
          <w:bCs/>
          <w:sz w:val="32"/>
          <w:szCs w:val="32"/>
        </w:rPr>
        <w:t>。</w:t>
      </w:r>
    </w:p>
    <w:p>
      <w:pPr>
        <w:pStyle w:val="135"/>
        <w:spacing w:line="560" w:lineRule="exact"/>
        <w:ind w:firstLineChars="200" w:firstLine="640"/>
        <w:rPr>
          <w:rFonts w:eastAsia="方正仿宋_GBK" w:hint="eastAsia"/>
          <w:bCs/>
          <w:color w:val="000000"/>
          <w:sz w:val="32"/>
          <w:szCs w:val="32"/>
        </w:rPr>
      </w:pPr>
      <w:r>
        <w:rPr>
          <w:rFonts w:eastAsia="方正黑体_GBK"/>
          <w:bCs/>
          <w:sz w:val="32"/>
          <w:szCs w:val="32"/>
        </w:rPr>
        <w:t>二十</w:t>
      </w:r>
      <w:r>
        <w:rPr>
          <w:rFonts w:eastAsia="方正黑体_GBK" w:hint="eastAsia"/>
          <w:bCs/>
          <w:sz w:val="32"/>
          <w:szCs w:val="32"/>
        </w:rPr>
        <w:t>四</w:t>
      </w:r>
      <w:r>
        <w:rPr>
          <w:rFonts w:eastAsia="方正黑体_GBK"/>
          <w:bCs/>
          <w:sz w:val="32"/>
          <w:szCs w:val="32"/>
        </w:rPr>
        <w:t>、监督电话：</w:t>
      </w:r>
      <w:r>
        <w:rPr>
          <w:rFonts w:ascii="Times New Roman" w:eastAsia="方正仿宋_GBK" w:cs="Times New Roman" w:hAnsi="Times New Roman"/>
          <w:bCs/>
          <w:sz w:val="32"/>
          <w:szCs w:val="32"/>
          <w:lang w:bidi="ar-SA"/>
        </w:rPr>
        <w:t>0473-3155937</w:t>
      </w:r>
      <w:r>
        <w:rPr>
          <w:rFonts w:eastAsia="方正仿宋_GBK"/>
          <w:bCs/>
          <w:sz w:val="32"/>
          <w:szCs w:val="32"/>
        </w:rPr>
        <w:t>或12360海关服务热线</w:t>
      </w:r>
      <w:r>
        <w:rPr>
          <w:rFonts w:eastAsia="方正仿宋_GBK" w:hint="eastAsia"/>
          <w:bCs/>
          <w:sz w:val="32"/>
          <w:szCs w:val="32"/>
        </w:rPr>
        <w:t>。</w:t>
      </w:r>
    </w:p>
    <w:p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bookmarkStart w:id="0" w:name="_GoBack"/>
      <w:bookmarkEnd w:id="0"/>
    </w:p>
    <w:p>
      <w:pPr>
        <w:spacing w:line="560" w:lineRule="exact"/>
        <w:rPr>
          <w:rFonts w:ascii="方正仿宋_GBK" w:eastAsia="方正仿宋_GBK"/>
          <w:sz w:val="32"/>
          <w:szCs w:val="32"/>
        </w:rPr>
      </w:pPr>
    </w:p>
    <w:p>
      <w:pPr>
        <w:spacing w:line="560" w:lineRule="exac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附件1. </w:t>
      </w:r>
    </w:p>
    <w:p>
      <w:pPr>
        <w:snapToGrid w:val="0"/>
        <w:spacing w:line="600" w:lineRule="atLeast"/>
        <w:jc w:val="center"/>
        <w:rPr>
          <w:rFonts w:ascii="方正小标宋_GBK" w:eastAsia="方正小标宋_GBK"/>
          <w:b/>
          <w:sz w:val="32"/>
          <w:szCs w:val="32"/>
        </w:rPr>
      </w:pPr>
      <w:r>
        <w:rPr>
          <w:rFonts w:ascii="方正小标宋_GBK" w:eastAsia="方正小标宋_GBK" w:hint="eastAsia"/>
          <w:b/>
          <w:sz w:val="32"/>
          <w:szCs w:val="32"/>
        </w:rPr>
        <w:t>进出境非食用动物产品生产、加工、存放企业</w:t>
      </w:r>
    </w:p>
    <w:p>
      <w:pPr>
        <w:snapToGrid w:val="0"/>
        <w:spacing w:line="600" w:lineRule="atLeast"/>
        <w:jc w:val="center"/>
        <w:rPr>
          <w:rFonts w:ascii="方正小标宋_GBK" w:eastAsia="方正小标宋_GBK"/>
          <w:b/>
          <w:sz w:val="32"/>
          <w:szCs w:val="32"/>
        </w:rPr>
      </w:pPr>
      <w:r>
        <w:rPr>
          <w:rFonts w:ascii="方正小标宋_GBK" w:eastAsia="方正小标宋_GBK" w:hint="eastAsia"/>
          <w:b/>
          <w:sz w:val="32"/>
          <w:szCs w:val="32"/>
        </w:rPr>
        <w:t>兽医卫生基本要求</w:t>
      </w:r>
    </w:p>
    <w:p>
      <w:pPr>
        <w:snapToGrid w:val="0"/>
        <w:spacing w:line="600" w:lineRule="atLeast"/>
        <w:rPr>
          <w:rFonts w:ascii="仿宋" w:eastAsia="仿宋"/>
          <w:sz w:val="28"/>
          <w:szCs w:val="28"/>
        </w:rPr>
      </w:pPr>
    </w:p>
    <w:p>
      <w:pPr>
        <w:snapToGrid w:val="0"/>
        <w:spacing w:line="560" w:lineRule="exact"/>
        <w:rPr>
          <w:rFonts w:ascii="方正黑体_GBK" w:eastAsia="方正黑体_GBK"/>
          <w:b/>
          <w:sz w:val="32"/>
          <w:szCs w:val="32"/>
        </w:rPr>
      </w:pPr>
      <w:r>
        <w:rPr>
          <w:rFonts w:ascii="方正黑体_GBK" w:eastAsia="方正黑体_GBK" w:hint="eastAsia"/>
          <w:b/>
          <w:sz w:val="32"/>
          <w:szCs w:val="32"/>
        </w:rPr>
        <w:t xml:space="preserve">    一、选址及环境要求</w:t>
      </w:r>
    </w:p>
    <w:p>
      <w:pPr>
        <w:snapToGrid w:val="0"/>
        <w:spacing w:line="560" w:lineRule="exact"/>
        <w:ind w:firstLineChars="200" w:firstLine="640"/>
        <w:rPr>
          <w:rFonts w:ascii="方正仿宋_GBK" w:eastAsia="方正仿宋_GBK"/>
          <w:snapToGrid w:val="0"/>
          <w:kern w:val="0"/>
          <w:sz w:val="28"/>
          <w:szCs w:val="28"/>
        </w:rPr>
      </w:pPr>
      <w:r>
        <w:rPr>
          <w:rFonts w:ascii="方正仿宋_GBK" w:eastAsia="方正仿宋_GBK" w:hint="eastAsia"/>
          <w:sz w:val="32"/>
          <w:szCs w:val="32"/>
        </w:rPr>
        <w:t>1、企业生产、加工设施的选址、布局符合动物卫生防疫要求。《进出境非食用动物产品风险级别及检验检疫监管方式》中I级检疫风险的进出境非食用动物产品生产、加工、存放企业还应满足：企业选址应远离动物饲养场、兽医站、屠宰厂和水源等，以厂区或库区为中心半径1公里范围内没有饲养家畜、家禽。</w:t>
      </w:r>
    </w:p>
    <w:p>
      <w:pPr>
        <w:adjustRightInd w:val="0"/>
        <w:spacing w:line="560" w:lineRule="exact"/>
        <w:ind w:firstLine="601"/>
        <w:rPr>
          <w:rFonts w:ascii="方正仿宋_GBK" w:eastAsia="方正仿宋_GBK"/>
          <w:snapToGrid w:val="0"/>
          <w:kern w:val="0"/>
          <w:sz w:val="28"/>
          <w:szCs w:val="28"/>
        </w:rPr>
      </w:pPr>
      <w:r>
        <w:rPr>
          <w:rFonts w:ascii="方正仿宋_GBK" w:eastAsia="方正仿宋_GBK" w:hint="eastAsia"/>
          <w:sz w:val="32"/>
          <w:szCs w:val="32"/>
        </w:rPr>
        <w:t>2、企业应有围墙，厂区布局合理，加工存放区和生活区须分开。加工存放区按产品进厂、原料存放、深加工等工艺流程单向布局，物流方向应遵循从污染区到非污染区的原则。</w:t>
      </w:r>
    </w:p>
    <w:p>
      <w:pPr>
        <w:numPr>
          <w:ilvl w:val="0"/>
          <w:numId w:val="1"/>
        </w:numPr>
        <w:adjustRightInd w:val="0"/>
        <w:spacing w:line="560" w:lineRule="exact"/>
        <w:ind w:left="0" w:firstLine="601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厂区环境应保持干净、整洁，物品堆放整齐，有专门垃圾存放场所和杂物堆放区。</w:t>
      </w:r>
    </w:p>
    <w:p>
      <w:pPr>
        <w:adjustRightInd w:val="0"/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4、厂区路面应硬化，加工车间、库房等墙面、地面应不渗水、不积水，易于清洗消毒。</w:t>
      </w:r>
    </w:p>
    <w:p>
      <w:pPr>
        <w:snapToGrid w:val="0"/>
        <w:spacing w:line="560" w:lineRule="exact"/>
        <w:rPr>
          <w:rFonts w:ascii="方正黑体_GBK" w:eastAsia="方正黑体_GBK"/>
          <w:b/>
          <w:sz w:val="32"/>
          <w:szCs w:val="32"/>
        </w:rPr>
      </w:pPr>
      <w:r>
        <w:rPr>
          <w:rFonts w:ascii="方正黑体_GBK" w:eastAsia="方正黑体_GBK" w:hint="eastAsia"/>
          <w:b/>
          <w:sz w:val="32"/>
          <w:szCs w:val="32"/>
        </w:rPr>
        <w:t xml:space="preserve">    二、防疫消毒设施及设备要求</w:t>
      </w:r>
    </w:p>
    <w:p>
      <w:pPr>
        <w:adjustRightInd w:val="0"/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5、《进出境非食用动物产品风险级别及检验检疫监管方式》中I级检疫风险的进出境非食用动物产品生产、加工、存放企业：加工存放区入口处，人员与车辆通道应分设；车辆进出通道须设置与门等宽、长度不少于4米、深度不低于0.2米的消毒池，或其他等效设施；人员进出通道应设置与门等宽，长度不少于2米的消毒池（垫）。工作人员和车辆凭证经此进出，无关人员和车辆不得随意进出。</w:t>
      </w:r>
    </w:p>
    <w:p>
      <w:pPr>
        <w:adjustRightInd w:val="0"/>
        <w:spacing w:line="560" w:lineRule="exact"/>
        <w:ind w:firstLineChars="168" w:firstLine="538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6、原料库的出入口和加工车间的入口处应设有与门等宽，长度不少于2米的消毒池（垫）。</w:t>
      </w:r>
    </w:p>
    <w:p>
      <w:pPr>
        <w:adjustRightInd w:val="0"/>
        <w:spacing w:line="560" w:lineRule="exact"/>
        <w:ind w:firstLineChars="168" w:firstLine="538"/>
        <w:rPr>
          <w:rFonts w:ascii="方正仿宋_GBK" w:eastAsia="方正仿宋_GBK"/>
          <w:snapToGrid w:val="0"/>
          <w:kern w:val="0"/>
          <w:sz w:val="28"/>
          <w:szCs w:val="28"/>
        </w:rPr>
      </w:pPr>
      <w:r>
        <w:rPr>
          <w:rFonts w:ascii="方正仿宋_GBK" w:eastAsia="方正仿宋_GBK" w:hint="eastAsia"/>
          <w:sz w:val="32"/>
          <w:szCs w:val="32"/>
        </w:rPr>
        <w:t>7、原料库应设更衣室，配有与防疫消毒员数量相适应的更衣柜、消毒杀菌装置、洗手消毒设施、带锁的防疫消毒药品和器械存放柜。日常衣物和工作服应分柜放置。</w:t>
      </w:r>
    </w:p>
    <w:p>
      <w:pPr>
        <w:adjustRightInd w:val="0"/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8、加工存放区应设更衣室、盥洗室和浴室。更衣室应配有消毒杀菌装置，与工作人员数量相适应的更衣柜，日常衣物和工作服应分柜放置；盥洗室内应有洗手消毒设施、防护用品、清洗消毒的设备。</w:t>
      </w:r>
    </w:p>
    <w:p>
      <w:pPr>
        <w:adjustRightInd w:val="0"/>
        <w:spacing w:line="560" w:lineRule="exac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9、接触原料的工作人员应配备工作服、工作鞋、帽、手套、口罩等必要的防护用品，并有相应的清洗消毒设施。</w:t>
      </w:r>
    </w:p>
    <w:p>
      <w:pPr>
        <w:adjustRightInd w:val="0"/>
        <w:spacing w:line="560" w:lineRule="exact"/>
        <w:rPr>
          <w:rFonts w:ascii="方正仿宋_GBK" w:eastAsia="方正仿宋_GBK"/>
          <w:snapToGrid w:val="0"/>
          <w:kern w:val="0"/>
          <w:sz w:val="28"/>
          <w:szCs w:val="28"/>
        </w:rPr>
      </w:pPr>
      <w:r>
        <w:rPr>
          <w:rFonts w:ascii="方正仿宋_GBK" w:eastAsia="方正仿宋_GBK" w:hint="eastAsia"/>
          <w:sz w:val="32"/>
          <w:szCs w:val="32"/>
        </w:rPr>
        <w:t xml:space="preserve">    10、配备与加工存放动物产品类别、加工存放能力相适应的防疫消毒器械和防疫消毒药品，并存放在专人保管的专用存放场所。</w:t>
      </w:r>
    </w:p>
    <w:p>
      <w:pPr>
        <w:adjustRightInd w:val="0"/>
        <w:spacing w:line="560" w:lineRule="exact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11、配备必要的突发疫情应急处置设施和物资。</w:t>
      </w:r>
    </w:p>
    <w:p>
      <w:pPr>
        <w:adjustRightInd w:val="0"/>
        <w:spacing w:line="560" w:lineRule="exact"/>
        <w:rPr>
          <w:rFonts w:ascii="方正仿宋_GBK" w:eastAsia="方正仿宋_GBK"/>
          <w:snapToGrid w:val="0"/>
          <w:kern w:val="0"/>
          <w:sz w:val="28"/>
          <w:szCs w:val="28"/>
        </w:rPr>
      </w:pPr>
      <w:r>
        <w:rPr>
          <w:rFonts w:ascii="方正仿宋_GBK" w:eastAsia="方正仿宋_GBK" w:hint="eastAsia"/>
          <w:snapToGrid w:val="0"/>
          <w:kern w:val="0"/>
          <w:sz w:val="28"/>
          <w:szCs w:val="28"/>
        </w:rPr>
        <w:t xml:space="preserve">   </w:t>
      </w:r>
      <w:r>
        <w:rPr>
          <w:rFonts w:ascii="方正仿宋_GBK" w:eastAsia="方正仿宋_GBK" w:hint="eastAsia"/>
          <w:sz w:val="32"/>
          <w:szCs w:val="32"/>
        </w:rPr>
        <w:t xml:space="preserve"> 12、涉及环保要求的，须提供县级或者县级以上环保部门出具的环保合格证明。（备注：与159号令相一致）</w:t>
      </w:r>
    </w:p>
    <w:p>
      <w:pPr>
        <w:adjustRightInd w:val="0"/>
        <w:spacing w:line="560" w:lineRule="exact"/>
        <w:ind w:firstLineChars="168" w:firstLine="538"/>
        <w:rPr>
          <w:rFonts w:ascii="方正仿宋_GBK" w:eastAsia="方正仿宋_GBK"/>
          <w:snapToGrid w:val="0"/>
          <w:kern w:val="0"/>
          <w:sz w:val="28"/>
          <w:szCs w:val="28"/>
        </w:rPr>
      </w:pPr>
      <w:r>
        <w:rPr>
          <w:rFonts w:ascii="方正仿宋_GBK" w:eastAsia="方正仿宋_GBK" w:hint="eastAsia"/>
          <w:sz w:val="32"/>
          <w:szCs w:val="32"/>
        </w:rPr>
        <w:t>13、须有对进境非食用动物产品包装物或铺垫材料、加工过程中产生的下脚料与废弃物等进行无害化处理的设施。</w:t>
      </w:r>
    </w:p>
    <w:p>
      <w:pPr>
        <w:adjustRightInd w:val="0"/>
        <w:spacing w:line="560" w:lineRule="exact"/>
        <w:ind w:firstLineChars="168" w:firstLine="538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14、存放仓库及加工车间有防火、防盗、防鸟、防虫、灭鼠设施。</w:t>
      </w:r>
    </w:p>
    <w:p>
      <w:pPr>
        <w:adjustRightInd w:val="0"/>
        <w:spacing w:line="560" w:lineRule="exact"/>
        <w:ind w:firstLineChars="168" w:firstLine="538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15、具有与其加工能力相适应的加工设备，有经检验检疫审核符合兽医卫生防疫要求、经过加工能使疫病传播风险降低到可接受水平的加工工艺及设施。</w:t>
      </w:r>
    </w:p>
    <w:p>
      <w:pPr>
        <w:adjustRightInd w:val="0"/>
        <w:spacing w:line="560" w:lineRule="exact"/>
        <w:ind w:firstLineChars="168" w:firstLine="538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16、具有专用存放库，库容量应与生产加工能力相适应。仓库应有与产品储存要求相适应的温度保持系统，必要时应建有冷库。</w:t>
      </w:r>
    </w:p>
    <w:p>
      <w:pPr>
        <w:adjustRightInd w:val="0"/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17、厂区显著位置设立防疫知识宣传栏。</w:t>
      </w:r>
    </w:p>
    <w:p>
      <w:pPr>
        <w:snapToGrid w:val="0"/>
        <w:spacing w:line="560" w:lineRule="exact"/>
        <w:rPr>
          <w:rFonts w:ascii="方正黑体_GBK" w:eastAsia="方正黑体_GBK"/>
          <w:b/>
          <w:sz w:val="32"/>
          <w:szCs w:val="32"/>
        </w:rPr>
      </w:pPr>
      <w:r>
        <w:rPr>
          <w:rFonts w:ascii="方正黑体_GBK" w:eastAsia="方正黑体_GBK" w:hint="eastAsia"/>
          <w:b/>
          <w:sz w:val="32"/>
          <w:szCs w:val="32"/>
        </w:rPr>
        <w:t xml:space="preserve">    三、规章制度及措施</w:t>
      </w:r>
    </w:p>
    <w:p>
      <w:pPr>
        <w:adjustRightInd w:val="0"/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18、成立以单位主要负责人任组长的兽医卫生防疫领导小组，明确职责，制定相关管理制度。</w:t>
      </w:r>
    </w:p>
    <w:p>
      <w:pPr>
        <w:adjustRightInd w:val="0"/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19、建立防疫处理制度，包括对进境皮毛包装物、铺垫材料和加工过程中产生的下脚料、废弃物等进行防疫处理所用药物名称及浓度、负责及操作岗位或人员、处理操作程序等。</w:t>
      </w:r>
    </w:p>
    <w:p>
      <w:pPr>
        <w:adjustRightInd w:val="0"/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20、建立进出境非食用动物产品出入库登记及加工登记制度。</w:t>
      </w:r>
    </w:p>
    <w:p>
      <w:pPr>
        <w:adjustRightInd w:val="0"/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21、建立检疫处理药物管理制度，包括采购、存放保管、使用、回收等。</w:t>
      </w:r>
    </w:p>
    <w:p>
      <w:pPr>
        <w:adjustRightInd w:val="0"/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22、建立人员管理制度，包括出入人员登记、人员防护、员工培训及体检等。</w:t>
      </w:r>
    </w:p>
    <w:p>
      <w:pPr>
        <w:adjustRightInd w:val="0"/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23、制定详细的疫情应急处置预案。</w:t>
      </w:r>
    </w:p>
    <w:p>
      <w:pPr>
        <w:adjustRightInd w:val="0"/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24、有防火、防盗、防鸟、防虫、灭鼠等安全保障制度。</w:t>
      </w:r>
    </w:p>
    <w:p>
      <w:pPr>
        <w:snapToGrid w:val="0"/>
        <w:spacing w:line="560" w:lineRule="exact"/>
        <w:rPr>
          <w:rFonts w:ascii="方正黑体_GBK" w:eastAsia="方正黑体_GBK"/>
          <w:b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 xml:space="preserve">    </w:t>
      </w:r>
      <w:r>
        <w:rPr>
          <w:rFonts w:ascii="方正黑体_GBK" w:eastAsia="方正黑体_GBK" w:hint="eastAsia"/>
          <w:b/>
          <w:sz w:val="32"/>
          <w:szCs w:val="32"/>
        </w:rPr>
        <w:t>四、日常管理及相关记录</w:t>
      </w:r>
    </w:p>
    <w:p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25、进境非食用动物产品流向记录，包括出入库记录、加工记录、下脚料流向记录等。</w:t>
      </w:r>
    </w:p>
    <w:p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26、非食用动物产品与车辆防疫处理记录，包括非食用动物产品与车辆入场时防疫处理记录、入库时的防疫处理记录等。</w:t>
      </w:r>
    </w:p>
    <w:p>
      <w:pPr>
        <w:spacing w:line="560" w:lineRule="exact"/>
        <w:ind w:firstLineChars="200" w:firstLine="64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27、非食用动物产品包装物、铺垫材料和加工过程中产生的下脚料、废弃物的防疫处理记录、场地日常防疫处理记录等记录。</w:t>
      </w:r>
    </w:p>
    <w:p>
      <w:pPr>
        <w:spacing w:line="560" w:lineRule="exact"/>
        <w:ind w:firstLineChars="225" w:firstLine="72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28、药物使用及管理记录，包括采购、存放保管、使用、回收等记录。</w:t>
      </w:r>
    </w:p>
    <w:p>
      <w:pPr>
        <w:spacing w:line="560" w:lineRule="exact"/>
        <w:ind w:firstLineChars="225" w:firstLine="72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29、员工体检及培训记录</w:t>
      </w:r>
    </w:p>
    <w:p>
      <w:pPr>
        <w:spacing w:line="560" w:lineRule="exact"/>
        <w:ind w:firstLineChars="225" w:firstLine="720"/>
        <w:rPr>
          <w:rFonts w:ascii="方正仿宋_GBK" w:eastAsia="方正仿宋_GBK"/>
          <w:sz w:val="32"/>
          <w:szCs w:val="32"/>
        </w:rPr>
      </w:pPr>
      <w:r>
        <w:rPr>
          <w:rFonts w:ascii="方正仿宋_GBK" w:eastAsia="方正仿宋_GBK" w:hint="eastAsia"/>
          <w:sz w:val="32"/>
          <w:szCs w:val="32"/>
        </w:rPr>
        <w:t>30、有防火、防盗、防鸟、防虫、灭鼠等措施的落实记录。</w:t>
      </w:r>
    </w:p>
    <w:p>
      <w:pPr>
        <w:spacing w:line="560" w:lineRule="exact"/>
        <w:rPr>
          <w:rFonts w:eastAsia="方正小标宋_GBK"/>
          <w:sz w:val="32"/>
          <w:szCs w:val="32"/>
        </w:rPr>
      </w:pPr>
    </w:p>
    <w:sectPr>
      <w:footerReference w:type="default" r:id="rId2"/>
      <w:pgSz w:w="11906" w:h="16838"/>
      <w:pgMar w:top="1440" w:right="1800" w:bottom="1440" w:left="1800" w:header="851" w:footer="992" w:gutter="0"/>
      <w:docGrid w:type="lines" w:linePitch="312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小标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黑体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仿宋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方正楷体_GBK">
    <w:panose1 w:val="03000509000000000000"/>
    <w:charset w:val="86"/>
    <w:family w:val="script"/>
    <w:pitch w:val="variable"/>
    <w:sig w:usb0="00000001" w:usb1="080E0000" w:usb2="00000010" w:usb3="00000000" w:csb0="0004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variable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仿宋_GB2312">
    <w:altName w:val="仿宋"/>
    <w:panose1 w:val="00000000000000000000"/>
    <w:charset w:val="00"/>
    <w:family w:val="auto"/>
    <w:pitch w:val="variable"/>
    <w:sig w:usb0="00000000" w:usb1="00000000" w:usb2="00000000" w:usb3="00000000" w:csb0="00040001" w:csb1="00000000"/>
  </w:font>
  <w:font w:name="Wingdings">
    <w:panose1 w:val="05000000000000000000"/>
    <w:charset w:val="02"/>
    <w:family w:val="auto"/>
    <w:pitch w:val="variable"/>
    <w:sig w:usb0="00000000" w:usb1="00000000" w:usb2="00000000" w:usb3="00000000" w:csb0="80000000" w:csb1="00000000"/>
  </w:font>
</w:fonts>
</file>

<file path=word/footer1.xml><?xml version="1.0" encoding="utf-8"?>
<w:ftr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a="http://schemas.openxmlformats.org/drawingml/2006/main" xmlns:wps="http://schemas.microsoft.com/office/word/2010/wordprocessingShape" xmlns:wp="http://schemas.openxmlformats.org/drawingml/2006/wordprocessingDrawing" xmlns:pic="http://schemas.openxmlformats.org/drawingml/2006/picture" xmlns:mc="http://schemas.openxmlformats.org/markup-compatibility/2006" xmlns:wpg="http://schemas.microsoft.com/office/word/2010/wordprocessingGroup" xmlns:wpc="http://schemas.microsoft.com/office/word/2010/wordprocessingCanvas" xmlns:w10="urn:schemas-microsoft-com:office:word" xmlns:w14="http://schemas.microsoft.com/office/word/2010/wordml" xmlns:a14="http://schemas.microsoft.com/office/drawing/2010/main" mc:Ignorable="w14">
  <w:p>
    <w:pPr>
      <w:pStyle w:val="19"/>
      <w:tabs>
        <w:tab w:val="center" w:pos="4153"/>
        <w:tab w:val="right" w:pos="8306"/>
      </w:tabs>
      <w:jc w:val="center"/>
      <w:rPr>
        <w:rFonts w:ascii="宋体"/>
        <w:sz w:val="32"/>
        <w:szCs w:val="32"/>
      </w:rPr>
    </w:pPr>
    <w:r>
      <w:rPr>
        <w:rFonts w:ascii="宋体" w:hint="eastAsia"/>
        <w:sz w:val="32"/>
        <w:szCs w:val="32"/>
      </w:rPr>
      <w:fldChar w:fldCharType="begin"/>
    </w:r>
    <w:r>
      <w:rPr>
        <w:rFonts w:ascii="宋体" w:hint="eastAsia"/>
        <w:sz w:val="32"/>
        <w:szCs w:val="32"/>
      </w:rPr>
      <w:instrText xml:space="preserve"> PAGE   \* MERGEFORMAT </w:instrText>
    </w:r>
    <w:r>
      <w:rPr>
        <w:rFonts w:ascii="宋体" w:hint="eastAsia"/>
        <w:sz w:val="32"/>
        <w:szCs w:val="32"/>
      </w:rPr>
      <w:fldChar w:fldCharType="separate"/>
    </w:r>
    <w:r>
      <w:rPr>
        <w:rFonts w:ascii="宋体"/>
        <w:sz w:val="32"/>
        <w:szCs w:val="32"/>
        <w:lang w:val="zh-CN"/>
      </w:rPr>
      <w:t>2</w:t>
    </w:r>
    <w:r>
      <w:rPr>
        <w:rFonts w:ascii="宋体" w:hint="eastAsia"/>
        <w:sz w:val="32"/>
        <w:szCs w:val="32"/>
      </w:rPr>
      <w:fldChar w:fldCharType="end"/>
    </w:r>
  </w:p>
  <w:p>
    <w:pPr>
      <w:pStyle w:val="19"/>
      <w:tabs>
        <w:tab w:val="center" w:pos="4153"/>
        <w:tab w:val="right" w:pos="8306"/>
      </w:tabs>
    </w:pP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 xmlns:mc="http://schemas.openxmlformats.org/markup-compatibility/2006" xmlns:w14="http://schemas.microsoft.com/office/word/2010/wordml">
  <w:abstractNum w:abstractNumId="0">
    <w:nsid w:val="00000002"/>
    <w:multiLevelType w:val="singleLevel"/>
    <w:tmpl w:val="00000002"/>
    <w:lvl w:ilvl="0">
      <w:start w:val="3"/>
      <w:numFmt w:val="decimal"/>
      <w:lvlRestart w:val="0"/>
      <w:suff w:val="nothing"/>
      <w:lvlText w:val="%1、"/>
      <w:lvlJc w:val="left"/>
      <w:pPr>
        <w:tabs>
          <w:tab w:val="num" w:pos="0"/>
        </w:tabs>
        <w:ind w:left="0" w:hanging="0"/>
      </w:pPr>
    </w:lvl>
  </w:abstractNum>
  <w:abstractNum w:abstractNumId="1">
    <w:nsid w:val="0FFFFF89"/>
    <w:multiLevelType w:val="singleLevel"/>
    <w:tmpl w:val="00000000"/>
    <w:lvl w:ilvl="0">
      <w:start w:val="1"/>
      <w:numFmt w:val="bullet"/>
      <w:lvlRestart w:val="0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o="urn:schemas-microsoft-com:office:office" xmlns:r="http://schemas.openxmlformats.org/officeDocument/2006/relationships" xmlns:m="http://schemas.openxmlformats.org/officeDocument/2006/math" xmlns:v="urn:schemas-microsoft-com:vml">
  <w:zoom w:val="fullPage" w:percent="10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ulTrailSpace/>
    <w:doNotExpandShiftReturn/>
    <w:adjustLineHeightInTable/>
    <w:growAutofit/>
    <w:useAltKinsokuLineBreakRules/>
    <w:splitPgBreakAndParaMark/>
    <w:compatSetting w:name="compatibilityMode" w:uri="http://schemas.microsoft.com/office/word" w:val="14"/>
  </w:compat>
</w:settings>
</file>

<file path=word/styles.xml><?xml version="1.0" encoding="utf-8"?>
<w:styles xmlns:w="http://schemas.openxmlformats.org/wordprocessingml/2006/main" xmlns:r="http://schemas.openxmlformats.org/officeDocument/2006/relationships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style w:type="paragraph" w:default="1" w:styleId="0">
    <w:name w:val="Normal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character" w:default="1" w:styleId="10">
    <w:name w:val="Default Paragraph Font"/>
  </w:style>
  <w:style w:type="character" w:styleId="15">
    <w:name w:val="Hyperlink"/>
    <w:rPr>
      <w:color w:val="0000FF"/>
      <w:u w:val="single"/>
    </w:rPr>
  </w:style>
  <w:style w:type="character" w:customStyle="1" w:styleId="16">
    <w:name w:val="h-control-text-title1"/>
    <w:rPr>
      <w:rFonts w:ascii="宋体" w:eastAsia="宋体"/>
      <w:b/>
      <w:bCs/>
      <w:sz w:val="24"/>
      <w:szCs w:val="24"/>
      <w:shd w:val="clear" w:color="auto" w:fill="F5F5F5"/>
    </w:rPr>
  </w:style>
  <w:style w:type="paragraph" w:styleId="17">
    <w:name w:val="Normal (Web)"/>
    <w:basedOn w:val="0"/>
    <w:pPr>
      <w:widowControl/>
      <w:spacing w:before="100" w:beforeAutospacing="1" w:after="100" w:afterAutospacing="1"/>
      <w:jc w:val="left"/>
    </w:pPr>
    <w:rPr>
      <w:rFonts w:ascii="宋体" w:cs="宋体"/>
      <w:kern w:val="0"/>
      <w:sz w:val="24"/>
    </w:rPr>
  </w:style>
  <w:style w:type="paragraph" w:styleId="18">
    <w:name w:val="header"/>
    <w:basedOn w:val="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9">
    <w:name w:val="footer"/>
    <w:basedOn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20">
    <w:name w:val="annotation text"/>
    <w:basedOn w:val="0"/>
    <w:pPr>
      <w:jc w:val="left"/>
    </w:pPr>
  </w:style>
  <w:style w:type="paragraph" w:styleId="21">
    <w:name w:val="Balloon Text"/>
    <w:basedOn w:val="0"/>
    <w:rPr>
      <w:sz w:val="18"/>
      <w:szCs w:val="18"/>
    </w:rPr>
  </w:style>
  <w:style w:type="paragraph" w:customStyle="1" w:styleId="22">
    <w:name w:val="正文20"/>
    <w:next w:val="2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1"/>
      <w:lang w:val="en-US" w:eastAsia="zh-CN" w:bidi="ar-SA"/>
    </w:rPr>
  </w:style>
  <w:style w:type="paragraph" w:customStyle="1" w:styleId="23">
    <w:name w:val="样式 2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4">
    <w:name w:val="样式 1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5">
    <w:name w:val="_Style 1"/>
    <w:basedOn w:val="0"/>
    <w:pPr>
      <w:ind w:firstLineChars="200" w:firstLine="200"/>
    </w:pPr>
    <w:rPr>
      <w:rFonts w:ascii="Calibri" w:hAnsi="Calibri"/>
      <w:szCs w:val="22"/>
    </w:rPr>
  </w:style>
  <w:style w:type="paragraph" w:customStyle="1" w:styleId="26">
    <w:name w:val="样式 4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7">
    <w:name w:val="样式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8">
    <w:name w:val="样式 3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29">
    <w:name w:val="样式 3 三号"/>
    <w:pPr>
      <w:widowControl w:val="0"/>
      <w:jc w:val="both"/>
    </w:pPr>
    <w:rPr>
      <w:rFonts w:ascii="Times New Roman" w:eastAsia="仿宋_GB2312" w:cs="Times New Roman" w:hAnsi="Times New Roman"/>
      <w:kern w:val="2"/>
      <w:sz w:val="32"/>
      <w:szCs w:val="24"/>
      <w:lang w:val="en-US" w:eastAsia="zh-CN" w:bidi="ar-SA"/>
    </w:rPr>
  </w:style>
  <w:style w:type="paragraph" w:styleId="61">
    <w:name w:val="List Bullet"/>
    <w:basedOn w:val="0"/>
    <w:pPr>
      <w:numPr>
        <w:ilvl w:val="0"/>
        <w:numId w:val="2"/>
      </w:numPr>
    </w:pPr>
  </w:style>
  <w:style w:type="paragraph" w:customStyle="1" w:styleId="133">
    <w:name w:val="样式 5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4">
    <w:name w:val="样式 36 10 磅"/>
    <w:next w:val="61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  <w:style w:type="paragraph" w:customStyle="1" w:styleId="135">
    <w:name w:val="样式 17 10 磅"/>
    <w:pPr>
      <w:widowControl w:val="0"/>
      <w:jc w:val="both"/>
    </w:pPr>
    <w:rPr>
      <w:rFonts w:ascii="Times New Roman" w:eastAsia="宋体" w:cs="Times New Roman" w:hAnsi="Times New Roman"/>
      <w:kern w:val="2"/>
      <w:sz w:val="21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oter" Target="footer1.xml"/><Relationship Id="rId3" Type="http://schemas.openxmlformats.org/officeDocument/2006/relationships/styles" Target="styles.xml"/><Relationship Id="rId4" Type="http://schemas.openxmlformats.org/officeDocument/2006/relationships/numbering" Target="numbering.xml"/><Relationship Id="rId5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>
  <Template>Normal.eit</Template>
  <TotalTime>9</TotalTime>
  <Application>Yozo_Office</Application>
  <Pages>8</Pages>
  <Words>3092</Words>
  <Characters>3314</Characters>
  <Lines>181</Lines>
  <Paragraphs>89</Paragraphs>
  <CharactersWithSpaces>3348</CharactersWithSpaces>
  <Company>QDHG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:creator>李强</dc:creator>
  <cp:lastModifiedBy>王鑫</cp:lastModifiedBy>
  <cp:revision>5</cp:revision>
  <dcterms:created xsi:type="dcterms:W3CDTF">2020-07-14T08:44:00Z</dcterms:created>
  <dcterms:modified xsi:type="dcterms:W3CDTF">2025-03-13T02:46:53Z</dcterms:modified>
</cp:coreProperties>
</file>

<file path=docProps/custom.xml><?xml version="1.0" encoding="utf-8"?>
<Properties xmlns:vt="http://schemas.openxmlformats.org/officeDocument/2006/docPropsVTypes" xmlns="http://schemas.openxmlformats.org/officeDocument/2006/custom-properties">
  <property fmtid="{D5CDD505-2E9C-101B-9397-08002B2CF9AE}" pid="2" name="KSOProductBuildVer">
    <vt:lpwstr>2052-11.1.0.8952</vt:lpwstr>
  </property>
</Properties>
</file>