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ind w:firstLineChars="200" w:firstLine="880"/>
        <w:jc w:val="center"/>
        <w:rPr>
          <w:rFonts w:ascii="Times New Roman" w:eastAsia="方正小标宋_GBK" w:cs="Times New Roman" w:hAnsi="Times New Roman"/>
          <w:sz w:val="44"/>
          <w:szCs w:val="44"/>
        </w:rPr>
      </w:pPr>
      <w:r>
        <w:rPr>
          <w:rFonts w:ascii="Times New Roman" w:eastAsia="方正小标宋_GBK" w:cs="Times New Roman" w:hAnsi="Times New Roman"/>
          <w:sz w:val="44"/>
          <w:szCs w:val="44"/>
        </w:rPr>
        <w:t>海关政务服务事项办事指南</w:t>
      </w:r>
    </w:p>
    <w:p>
      <w:pPr>
        <w:spacing w:line="560" w:lineRule="exact"/>
        <w:ind w:firstLineChars="200" w:firstLine="640"/>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ind w:firstLineChars="200" w:firstLine="640"/>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“进出境（过境）动植物及其产品、其他检疫物检验检疫”政务服务事项办事指南</w:t>
      </w:r>
    </w:p>
    <w:p>
      <w:pPr>
        <w:adjustRightInd w:val="0"/>
        <w:snapToGrid w:val="0"/>
        <w:spacing w:line="560" w:lineRule="exact"/>
        <w:ind w:firstLineChars="200" w:firstLine="640"/>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color w:val="000000"/>
          <w:sz w:val="32"/>
          <w:szCs w:val="32"/>
        </w:rPr>
        <w:t>一、事项名称：</w:t>
      </w:r>
      <w:r>
        <w:rPr>
          <w:rFonts w:ascii="Times New Roman" w:eastAsia="方正仿宋_GBK" w:cs="Times New Roman" w:hAnsi="Times New Roman"/>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color w:val="000000"/>
          <w:sz w:val="32"/>
          <w:szCs w:val="32"/>
        </w:rPr>
        <w:t>二、事项类型：</w:t>
      </w:r>
      <w:r>
        <w:rPr>
          <w:rFonts w:ascii="Times New Roman" w:eastAsia="方正仿宋_GBK" w:cs="Times New Roman" w:hAnsi="Times New Roman"/>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color w:val="000000"/>
          <w:sz w:val="32"/>
          <w:szCs w:val="32"/>
        </w:rPr>
        <w:t>三、设定依据：</w:t>
      </w:r>
    </w:p>
    <w:p>
      <w:pPr>
        <w:spacing w:line="560" w:lineRule="exact"/>
        <w:ind w:firstLineChars="200" w:firstLine="640"/>
        <w:rPr>
          <w:rFonts w:ascii="Times New Roman" w:eastAsia="方正楷体_GBK" w:cs="Times New Roman" w:hAnsi="Times New Roman"/>
          <w:sz w:val="32"/>
          <w:szCs w:val="32"/>
        </w:rPr>
      </w:pPr>
      <w:r>
        <w:rPr>
          <w:rFonts w:ascii="Times New Roman" w:eastAsia="方正楷体_GBK" w:cs="Times New Roman" w:hAnsi="Times New Roman"/>
          <w:sz w:val="32"/>
          <w:szCs w:val="32"/>
        </w:rPr>
        <w:t>（一）《中华人民共和国进出口商品检验法》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第四条  进出口商品检验应当根据保护人类健康和安全、保护动物或者植物的生命和健康、保护环境、防止欺诈行为、</w:t>
      </w:r>
      <w:r>
        <w:rPr>
          <w:rStyle w:val="33"/>
          <w:rFonts w:ascii="Times New Roman" w:eastAsia="方正仿宋_GBK" w:cs="Times New Roman" w:hAnsi="Times New Roman"/>
          <w:color w:val="000000"/>
          <w:sz w:val="32"/>
          <w:szCs w:val="32"/>
          <w:u w:val="none"/>
        </w:rPr>
        <w:fldChar w:fldCharType="begin"/>
      </w:r>
      <w:r>
        <w:instrText>HYPERLINK "https://baike.baidu.com/item/%E7%BB%B4%E6%8A%A4%E5%9B%BD%E5%AE%B6%E5%AE%89%E5%85%A8"</w:instrText>
      </w:r>
      <w:r>
        <w:rPr>
          <w:rStyle w:val="33"/>
          <w:rFonts w:ascii="Times New Roman" w:eastAsia="方正仿宋_GBK" w:cs="Times New Roman" w:hAnsi="Times New Roman"/>
          <w:color w:val="000000"/>
          <w:sz w:val="32"/>
          <w:szCs w:val="32"/>
          <w:u w:val="none"/>
        </w:rPr>
        <w:fldChar w:fldCharType="separate"/>
      </w:r>
      <w:r>
        <w:rPr>
          <w:rStyle w:val="33"/>
          <w:rFonts w:ascii="Times New Roman" w:eastAsia="方正仿宋_GBK" w:cs="Times New Roman" w:hAnsi="Times New Roman"/>
          <w:color w:val="000000"/>
          <w:sz w:val="32"/>
          <w:szCs w:val="32"/>
          <w:u w:val="none"/>
        </w:rPr>
        <w:t>维护国家安全</w:t>
      </w:r>
      <w:r>
        <w:rPr>
          <w:rStyle w:val="33"/>
          <w:rFonts w:ascii="Times New Roman" w:eastAsia="方正仿宋_GBK" w:cs="Times New Roman" w:hAnsi="Times New Roman"/>
          <w:color w:val="000000"/>
          <w:sz w:val="32"/>
          <w:szCs w:val="32"/>
          <w:u w:val="none"/>
        </w:rPr>
        <w:fldChar w:fldCharType="end"/>
      </w:r>
      <w:r>
        <w:rPr>
          <w:rFonts w:ascii="Times New Roman" w:eastAsia="方正仿宋_GBK" w:cs="Times New Roman" w:hAnsi="Times New Roman"/>
          <w:sz w:val="32"/>
          <w:szCs w:val="32"/>
        </w:rPr>
        <w:t>的原则，由国家商检部门制定、调整必须实施检验的进出口商品目录（以下简称目录）并公布实施。</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第五条  列入目录的进出口商品，由商检机构实施检验。</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前款规定的进口商品未经检验的，不准销售、使用；前款规定的出口商品未经检验合格的，不准出口。</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本条第一款规定的进出口商品，其中符合国家规定的免予检验</w:t>
      </w:r>
      <w:r>
        <w:rPr>
          <w:rFonts w:ascii="Times New Roman" w:eastAsia="方正仿宋_GBK" w:cs="Times New Roman" w:hAnsi="Times New Roman"/>
          <w:color w:val="000000"/>
          <w:kern w:val="0"/>
          <w:sz w:val="32"/>
          <w:szCs w:val="32"/>
        </w:rPr>
        <w:t>条件的，由收货人或者发货人申请，经国家商检部门审查批</w:t>
      </w:r>
      <w:r>
        <w:rPr>
          <w:rFonts w:ascii="Times New Roman" w:eastAsia="方正仿宋_GBK" w:cs="Times New Roman" w:hAnsi="Times New Roman"/>
          <w:sz w:val="32"/>
          <w:szCs w:val="32"/>
        </w:rPr>
        <w:t>准，可以免予检验。</w:t>
      </w:r>
    </w:p>
    <w:p>
      <w:pPr>
        <w:widowControl/>
        <w:shd w:val="clear" w:color="auto" w:fill="FFFFFF"/>
        <w:wordWrap w:val="0"/>
        <w:spacing w:after="225" w:line="560" w:lineRule="exact"/>
        <w:ind w:firstLineChars="200" w:firstLine="640"/>
        <w:jc w:val="left"/>
        <w:rPr>
          <w:rFonts w:ascii="Times New Roman" w:eastAsia="方正楷体_GBK" w:cs="Times New Roman" w:hAnsi="Times New Roman"/>
          <w:sz w:val="32"/>
          <w:szCs w:val="32"/>
        </w:rPr>
      </w:pPr>
      <w:r>
        <w:rPr>
          <w:rFonts w:ascii="Times New Roman" w:eastAsia="方正楷体_GBK" w:cs="Times New Roman" w:hAnsi="Times New Roman"/>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第十八条　本法第十六条第一款第一项、第二项所称一类、二类动物传染病、寄生虫病的名录和本法第十七条所称植物危险性病、虫、杂草的名录，由国务院农业行政主管部门制定</w:t>
      </w:r>
      <w:r>
        <w:rPr>
          <w:rFonts w:ascii="Times New Roman" w:eastAsia="方正仿宋_GBK" w:cs="Times New Roman" w:hAnsi="Times New Roman" w:hint="eastAsia"/>
          <w:sz w:val="32"/>
          <w:szCs w:val="32"/>
          <w:lang w:eastAsia="zh-CN"/>
        </w:rPr>
        <w:t>并</w:t>
      </w:r>
      <w:r>
        <w:rPr>
          <w:rFonts w:ascii="Times New Roman" w:eastAsia="方正仿宋_GBK" w:cs="Times New Roman" w:hAnsi="Times New Roman"/>
          <w:sz w:val="32"/>
          <w:szCs w:val="32"/>
        </w:rPr>
        <w:t>公布。</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第二十三条　要求运输动物过境的，必须事先商得中国国家动植物检疫机关同意，并按照指定的口岸和路线过境。</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Times New Roman" w:eastAsia="方正仿宋_GBK" w:cs="Times New Roman" w:hAnsi="Times New Roman"/>
          <w:bCs/>
          <w:spacing w:val="-6"/>
          <w:sz w:val="32"/>
          <w:szCs w:val="32"/>
          <w:lang w:bidi="ar-SA"/>
        </w:rPr>
      </w:pPr>
      <w:r>
        <w:rPr>
          <w:rFonts w:ascii="Times New Roman" w:eastAsia="方正黑体_GBK" w:cs="Times New Roman" w:hAnsi="Times New Roman"/>
          <w:sz w:val="32"/>
          <w:szCs w:val="32"/>
        </w:rPr>
        <w:t>四、实施机构：</w:t>
      </w:r>
      <w:r>
        <w:rPr>
          <w:rFonts w:ascii="Times New Roman" w:eastAsia="方正仿宋_GBK" w:cs="Times New Roman" w:hAnsi="Times New Roman"/>
          <w:sz w:val="32"/>
          <w:szCs w:val="32"/>
        </w:rPr>
        <w:t>阿拉善海关监管一科</w:t>
      </w:r>
      <w:r>
        <w:rPr>
          <w:rFonts w:ascii="Times New Roman" w:eastAsia="方正仿宋_GBK" w:cs="Times New Roman" w:hAnsi="Times New Roman"/>
          <w:bCs/>
          <w:spacing w:val="-6"/>
          <w:sz w:val="32"/>
          <w:szCs w:val="32"/>
          <w:lang w:bidi="ar-SA"/>
        </w:rPr>
        <w:t>。</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五、法定办结时限：</w:t>
      </w:r>
      <w:r>
        <w:rPr>
          <w:rFonts w:ascii="Times New Roman" w:eastAsia="方正仿宋_GBK" w:cs="Times New Roman" w:hAnsi="Times New Roman"/>
          <w:sz w:val="32"/>
          <w:szCs w:val="32"/>
        </w:rPr>
        <w:t>无。</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六、承诺办结时限：</w:t>
      </w:r>
      <w:r>
        <w:rPr>
          <w:rFonts w:ascii="Times New Roman" w:eastAsia="方正仿宋_GBK" w:cs="Times New Roman" w:hAnsi="Times New Roman"/>
          <w:sz w:val="32"/>
          <w:szCs w:val="32"/>
        </w:rPr>
        <w:t>无。</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七、结果名称：</w:t>
      </w:r>
      <w:r>
        <w:rPr>
          <w:rFonts w:ascii="Times New Roman" w:eastAsia="方正仿宋_GBK" w:cs="Times New Roman" w:hAnsi="Times New Roman"/>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八、结果样本：</w:t>
      </w:r>
      <w:r>
        <w:rPr>
          <w:rFonts w:ascii="Times New Roman" w:eastAsia="方正仿宋_GBK" w:cs="Times New Roman" w:hAnsi="Times New Roman"/>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九、收费标准：</w:t>
      </w:r>
      <w:r>
        <w:rPr>
          <w:rFonts w:ascii="Times New Roman" w:eastAsia="方正仿宋_GBK" w:cs="Times New Roman" w:hAnsi="Times New Roman"/>
          <w:sz w:val="32"/>
          <w:szCs w:val="32"/>
        </w:rPr>
        <w:t>不收费。</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sz w:val="32"/>
          <w:szCs w:val="32"/>
        </w:rPr>
        <w:t>十、收费依据：</w:t>
      </w:r>
      <w:r>
        <w:rPr>
          <w:rFonts w:ascii="Times New Roman" w:eastAsia="方正仿宋_GBK" w:cs="Times New Roman" w:hAnsi="Times New Roman"/>
          <w:sz w:val="32"/>
          <w:szCs w:val="32"/>
        </w:rPr>
        <w:t>无。</w:t>
      </w:r>
    </w:p>
    <w:p>
      <w:pPr>
        <w:wordWrap w:val="0"/>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sz w:val="32"/>
          <w:szCs w:val="32"/>
        </w:rPr>
        <w:t>十一、申请条件：</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sz w:val="32"/>
          <w:szCs w:val="32"/>
        </w:rPr>
        <w:t>十二、申请材料：</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（一）进境</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 产地证书</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5. 贸易合同或信用证及发票</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6. 提单或装箱单</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7. 代理报关委托书（适用于代理报关时用）</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以上材料均需提供一份原件。</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（二）过境</w:t>
      </w:r>
    </w:p>
    <w:p>
      <w:pPr>
        <w:pStyle w:val="173"/>
        <w:wordWrap w:val="0"/>
        <w:adjustRightInd w:val="0"/>
        <w:snapToGrid w:val="0"/>
        <w:spacing w:line="560" w:lineRule="exact"/>
        <w:ind w:firstLineChars="200" w:firstLine="640"/>
        <w:rPr>
          <w:rFonts w:eastAsia="方正仿宋_GBK"/>
          <w:sz w:val="32"/>
          <w:szCs w:val="32"/>
        </w:rPr>
      </w:pPr>
      <w:r>
        <w:rPr>
          <w:rFonts w:eastAsia="方正仿宋_GBK"/>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sz w:val="32"/>
          <w:szCs w:val="32"/>
        </w:rPr>
      </w:pPr>
      <w:r>
        <w:rPr>
          <w:rFonts w:eastAsia="方正仿宋_GBK"/>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 提单或装箱单。</w:t>
      </w:r>
    </w:p>
    <w:p>
      <w:pPr>
        <w:pStyle w:val="99"/>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4. 代理报关委托书（适用于代理报关时用）。</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（三）出境</w:t>
      </w:r>
    </w:p>
    <w:p>
      <w:pPr>
        <w:pStyle w:val="173"/>
        <w:wordWrap w:val="0"/>
        <w:adjustRightInd w:val="0"/>
        <w:snapToGrid w:val="0"/>
        <w:spacing w:line="560" w:lineRule="exact"/>
        <w:ind w:firstLineChars="200" w:firstLine="640"/>
        <w:rPr>
          <w:rFonts w:eastAsia="方正仿宋_GBK"/>
          <w:sz w:val="32"/>
          <w:szCs w:val="32"/>
        </w:rPr>
      </w:pPr>
      <w:r>
        <w:rPr>
          <w:rFonts w:eastAsia="方正仿宋_GBK"/>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sz w:val="32"/>
          <w:szCs w:val="32"/>
        </w:rPr>
      </w:pPr>
      <w:r>
        <w:rPr>
          <w:rFonts w:eastAsia="方正仿宋_GBK"/>
          <w:sz w:val="32"/>
          <w:szCs w:val="32"/>
        </w:rPr>
        <w:t>2. 合同或信用证。</w:t>
      </w:r>
    </w:p>
    <w:p>
      <w:pPr>
        <w:pStyle w:val="173"/>
        <w:wordWrap w:val="0"/>
        <w:adjustRightInd w:val="0"/>
        <w:snapToGrid w:val="0"/>
        <w:spacing w:line="560" w:lineRule="exact"/>
        <w:ind w:firstLineChars="200" w:firstLine="640"/>
        <w:rPr>
          <w:rFonts w:eastAsia="方正仿宋_GBK"/>
          <w:sz w:val="32"/>
          <w:szCs w:val="32"/>
        </w:rPr>
      </w:pPr>
      <w:r>
        <w:rPr>
          <w:rFonts w:eastAsia="方正仿宋_GBK"/>
          <w:sz w:val="32"/>
          <w:szCs w:val="32"/>
        </w:rPr>
        <w:t>3. 代理报检委托书（适用于代理报检）。</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以上材料均需提供一份原件。</w:t>
      </w:r>
    </w:p>
    <w:p>
      <w:pPr>
        <w:pStyle w:val="103"/>
        <w:wordWrap w:val="0"/>
        <w:spacing w:line="560" w:lineRule="exact"/>
        <w:ind w:firstLineChars="200" w:firstLine="640"/>
        <w:rPr>
          <w:rFonts w:eastAsia="方正黑体_GBK"/>
          <w:szCs w:val="32"/>
        </w:rPr>
      </w:pPr>
      <w:r>
        <w:rPr>
          <w:rFonts w:eastAsia="方正黑体_GBK"/>
          <w:szCs w:val="32"/>
        </w:rPr>
        <w:t>十三、办理流程：</w:t>
      </w:r>
    </w:p>
    <w:p>
      <w:pPr>
        <w:wordWrap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（一）企业</w:t>
      </w:r>
      <w:r>
        <w:rPr>
          <w:rFonts w:ascii="方正仿宋_GBK" w:eastAsia="方正仿宋_GBK" w:cs="Times New Roman" w:hint="eastAsia"/>
          <w:sz w:val="32"/>
          <w:szCs w:val="32"/>
        </w:rPr>
        <w:t>登录“海关政务服务”</w:t>
      </w:r>
      <w:r>
        <w:rPr>
          <w:rFonts w:ascii="Times New Roman" w:eastAsia="方正仿宋_GBK" w:cs="Times New Roman" w:hAnsi="Times New Roman"/>
          <w:sz w:val="32"/>
          <w:szCs w:val="32"/>
        </w:rPr>
        <w:t xml:space="preserve">一体化网上办事平台（平台地址：http://online.customs.gov.cn），向阿拉善海关报关，提交电子版报关材料。 </w:t>
      </w:r>
    </w:p>
    <w:p>
      <w:pPr>
        <w:shd w:val="clear" w:color="auto" w:fill="FFFFFF"/>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（二）阿拉善海关受理报关申请后，进行风险识别和现场查验，根据风险识别和现场查验结果进行合格判定，决定是否放行。需要进行检疫处理的，应进行检疫处理，处理合格后放行。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（三）根据进出境（过境）国家要求和具体品种出具《植物检疫证书》、《动物卫生证书》、《卫生证书》、《检验证书》、《入境货物检验检疫证明》、《检疫处理通知书》。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sz w:val="32"/>
          <w:szCs w:val="32"/>
        </w:rPr>
        <w:t>十四、办理形式：</w:t>
      </w:r>
      <w:r>
        <w:rPr>
          <w:rFonts w:ascii="Times New Roman" w:eastAsia="方正仿宋_GBK" w:cs="Times New Roman" w:hAnsi="Times New Roman"/>
          <w:bCs/>
          <w:sz w:val="32"/>
          <w:szCs w:val="32"/>
        </w:rPr>
        <w:t>网上申报、现场办理</w:t>
      </w:r>
      <w:r>
        <w:rPr>
          <w:rFonts w:ascii="Times New Roman" w:eastAsia="方正仿宋_GBK" w:cs="Times New Roman" w:hAnsi="Times New Roman"/>
          <w:sz w:val="32"/>
          <w:szCs w:val="32"/>
        </w:rPr>
        <w:t>。</w:t>
      </w:r>
    </w:p>
    <w:p>
      <w:pPr>
        <w:pStyle w:val="207"/>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color w:val="000000"/>
          <w:sz w:val="32"/>
          <w:szCs w:val="32"/>
        </w:rPr>
        <w:t>十五、到办理现场次数</w:t>
      </w:r>
      <w:r>
        <w:rPr>
          <w:rFonts w:ascii="Times New Roman" w:eastAsia="方正仿宋_GBK" w:cs="Times New Roman" w:hAnsi="Times New Roman"/>
          <w:color w:val="000000"/>
          <w:sz w:val="32"/>
          <w:szCs w:val="32"/>
        </w:rPr>
        <w:t>：</w:t>
      </w:r>
      <w:r>
        <w:rPr>
          <w:rFonts w:ascii="Times New Roman" w:eastAsia="方正仿宋_GBK" w:cs="Times New Roman" w:hAnsi="Times New Roman"/>
          <w:sz w:val="32"/>
          <w:szCs w:val="32"/>
        </w:rPr>
        <w:t>1</w:t>
      </w:r>
      <w:r>
        <w:rPr>
          <w:rFonts w:ascii="Times New Roman" w:eastAsia="方正仿宋_GBK" w:cs="Times New Roman" w:hAnsi="Times New Roman"/>
          <w:color w:val="000000"/>
          <w:sz w:val="32"/>
          <w:szCs w:val="32"/>
        </w:rPr>
        <w:t>次</w:t>
      </w:r>
      <w:r>
        <w:rPr>
          <w:rFonts w:ascii="Times New Roman" w:eastAsia="方正仿宋_GBK" w:cs="Times New Roman" w:hAnsi="Times New Roman"/>
          <w:sz w:val="32"/>
          <w:szCs w:val="32"/>
        </w:rPr>
        <w:t>。</w:t>
      </w:r>
    </w:p>
    <w:p>
      <w:pPr>
        <w:wordWrap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color w:val="000000"/>
          <w:sz w:val="32"/>
          <w:szCs w:val="32"/>
        </w:rPr>
        <w:t>十六、审查标准：</w:t>
      </w:r>
      <w:r>
        <w:rPr>
          <w:rFonts w:ascii="Times New Roman" w:eastAsia="方正仿宋_GBK" w:cs="Times New Roman" w:hAnsi="Times New Roman"/>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color w:val="000000"/>
          <w:sz w:val="32"/>
          <w:szCs w:val="32"/>
        </w:rPr>
        <w:t>十七、通办范围：</w:t>
      </w:r>
      <w:r>
        <w:rPr>
          <w:rFonts w:ascii="Times New Roman" w:eastAsia="方正仿宋_GBK" w:cs="Times New Roman" w:hAnsi="Times New Roman"/>
          <w:bCs/>
          <w:sz w:val="32"/>
          <w:szCs w:val="32"/>
        </w:rPr>
        <w:t>阿拉善海关关区。</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color w:val="000000"/>
          <w:sz w:val="32"/>
          <w:szCs w:val="32"/>
        </w:rPr>
        <w:t>十八、预约办理：</w:t>
      </w:r>
      <w:r>
        <w:rPr>
          <w:rFonts w:ascii="Times New Roman" w:eastAsia="方正仿宋_GBK" w:cs="Times New Roman" w:hAnsi="Times New Roman"/>
          <w:color w:val="000000"/>
          <w:sz w:val="32"/>
          <w:szCs w:val="32"/>
        </w:rPr>
        <w:t>否</w:t>
      </w:r>
      <w:r>
        <w:rPr>
          <w:rFonts w:ascii="Times New Roman" w:eastAsia="方正仿宋_GBK" w:cs="Times New Roman" w:hAnsi="Times New Roman"/>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color w:val="000000"/>
          <w:sz w:val="32"/>
          <w:szCs w:val="32"/>
        </w:rPr>
        <w:t>十九、网上支付：</w:t>
      </w:r>
      <w:r>
        <w:rPr>
          <w:rFonts w:ascii="Times New Roman" w:eastAsia="方正仿宋_GBK" w:cs="Times New Roman" w:hAnsi="Times New Roman"/>
          <w:color w:val="000000"/>
          <w:sz w:val="32"/>
          <w:szCs w:val="32"/>
        </w:rPr>
        <w:t>否</w:t>
      </w:r>
      <w:r>
        <w:rPr>
          <w:rFonts w:ascii="Times New Roman" w:eastAsia="方正仿宋_GBK" w:cs="Times New Roman" w:hAnsi="Times New Roman"/>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color w:val="000000"/>
          <w:sz w:val="32"/>
          <w:szCs w:val="32"/>
        </w:rPr>
        <w:t>二十、物流快递：</w:t>
      </w:r>
      <w:r>
        <w:rPr>
          <w:rFonts w:ascii="Times New Roman" w:eastAsia="方正仿宋_GBK" w:cs="Times New Roman" w:hAnsi="Times New Roman"/>
          <w:bCs/>
          <w:sz w:val="32"/>
          <w:szCs w:val="32"/>
        </w:rPr>
        <w:t>否</w:t>
      </w:r>
      <w:r>
        <w:rPr>
          <w:rFonts w:ascii="Times New Roman" w:eastAsia="方正仿宋_GBK" w:cs="Times New Roman" w:hAnsi="Times New Roman"/>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color w:val="000000"/>
          <w:sz w:val="32"/>
          <w:szCs w:val="32"/>
        </w:rPr>
        <w:t>登录“海关政务服务</w:t>
      </w:r>
      <w:bookmarkStart w:id="0" w:name="_GoBack"/>
      <w:bookmarkEnd w:id="0"/>
      <w:r>
        <w:rPr>
          <w:rFonts w:ascii="Times New Roman" w:eastAsia="方正仿宋_GBK" w:cs="Times New Roman" w:hAnsi="Times New Roman"/>
          <w:color w:val="000000"/>
          <w:sz w:val="32"/>
          <w:szCs w:val="32"/>
        </w:rPr>
        <w:t>”一体化平台（http://online.customs.gov.cn），进入“动植物检疫”版块办理。</w:t>
      </w:r>
    </w:p>
    <w:p>
      <w:pPr>
        <w:pStyle w:val="83"/>
        <w:wordWrap w:val="0"/>
        <w:spacing w:line="560" w:lineRule="exact"/>
        <w:ind w:firstLineChars="200" w:firstLine="640"/>
        <w:rPr>
          <w:rFonts w:eastAsia="方正黑体_GBK" w:cs="Times New Roman"/>
          <w:bCs/>
          <w:sz w:val="32"/>
          <w:szCs w:val="32"/>
        </w:rPr>
      </w:pPr>
      <w:r>
        <w:rPr>
          <w:rFonts w:eastAsia="方正黑体_GBK" w:cs="Times New Roman"/>
          <w:bCs/>
          <w:sz w:val="32"/>
          <w:szCs w:val="32"/>
        </w:rPr>
        <w:t>二十二、办理时间：</w:t>
      </w:r>
    </w:p>
    <w:p>
      <w:pPr>
        <w:pStyle w:val="83"/>
        <w:wordWrap w:val="0"/>
        <w:spacing w:line="560" w:lineRule="exact"/>
        <w:ind w:firstLineChars="200" w:firstLine="640"/>
        <w:rPr>
          <w:rFonts w:eastAsia="方正仿宋_GBK" w:cs="Times New Roman"/>
          <w:bCs/>
          <w:kern w:val="0"/>
          <w:sz w:val="32"/>
          <w:szCs w:val="32"/>
        </w:rPr>
      </w:pPr>
      <w:r>
        <w:rPr>
          <w:rFonts w:eastAsia="方正仿宋_GBK" w:cs="Times New Roman"/>
          <w:bCs/>
          <w:kern w:val="0"/>
          <w:sz w:val="32"/>
          <w:szCs w:val="32"/>
        </w:rPr>
        <w:t>（一）企业网上申请时间：24小时；</w:t>
      </w:r>
    </w:p>
    <w:p>
      <w:pPr>
        <w:pStyle w:val="83"/>
        <w:wordWrap w:val="0"/>
        <w:spacing w:line="560" w:lineRule="exact"/>
        <w:ind w:firstLineChars="200" w:firstLine="640"/>
        <w:rPr>
          <w:rFonts w:eastAsia="方正仿宋_GBK" w:cs="Times New Roman"/>
          <w:bCs/>
          <w:kern w:val="0"/>
          <w:sz w:val="32"/>
          <w:szCs w:val="32"/>
        </w:rPr>
      </w:pPr>
      <w:r>
        <w:rPr>
          <w:rFonts w:eastAsia="方正仿宋_GBK" w:cs="Times New Roman"/>
          <w:bCs/>
          <w:kern w:val="0"/>
          <w:sz w:val="32"/>
          <w:szCs w:val="32"/>
        </w:rPr>
        <w:t>（二）</w:t>
      </w:r>
      <w:r>
        <w:rPr>
          <w:rFonts w:eastAsia="仿宋_GB2312" w:cs="Times New Roman"/>
          <w:bCs/>
          <w:sz w:val="32"/>
          <w:szCs w:val="32"/>
        </w:rPr>
        <w:t>口岸开放时间。</w:t>
      </w:r>
    </w:p>
    <w:p>
      <w:pPr>
        <w:wordWrap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二十三、咨询电话：</w:t>
      </w:r>
      <w:r>
        <w:rPr>
          <w:rFonts w:ascii="Times New Roman" w:eastAsia="方正仿宋_GBK" w:cs="Times New Roman" w:hAnsi="Times New Roman"/>
          <w:bCs/>
          <w:sz w:val="32"/>
          <w:szCs w:val="32"/>
        </w:rPr>
        <w:t>0471-6992391或12360海关服务热线</w:t>
      </w:r>
      <w:r>
        <w:rPr>
          <w:rFonts w:ascii="Times New Roman" w:eastAsia="方正仿宋_GBK" w:cs="Times New Roman" w:hAnsi="Times New Roman"/>
          <w:sz w:val="32"/>
          <w:szCs w:val="32"/>
        </w:rPr>
        <w:t>。</w:t>
      </w:r>
    </w:p>
    <w:p>
      <w:pPr>
        <w:wordWrap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二十四、监督电话：0471-6992378</w:t>
      </w:r>
      <w:r>
        <w:rPr>
          <w:rFonts w:ascii="Times New Roman" w:eastAsia="方正仿宋_GBK" w:cs="Times New Roman" w:hAnsi="Times New Roman"/>
          <w:bCs/>
          <w:sz w:val="32"/>
          <w:szCs w:val="32"/>
        </w:rPr>
        <w:t>或12360海关服务热线</w:t>
      </w:r>
      <w:r>
        <w:rPr>
          <w:rFonts w:ascii="Times New Roman" w:eastAsia="方正仿宋_GBK" w:cs="Times New Roman" w:hAnsi="Times New Roman"/>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panose1 w:val="02000000000000000000"/>
    <w:charset w:val="86"/>
    <w:family w:val="script"/>
    <w:pitch w:val="variable"/>
    <w:sig w:usb0="A00002BF" w:usb1="38CF7CFA" w:usb2="00082016" w:usb3="00000000" w:csb0="00040001" w:csb1="00000000"/>
  </w:font>
  <w:font w:name="方正黑体_GBK">
    <w:panose1 w:val="02000000000000000000"/>
    <w:charset w:val="86"/>
    <w:family w:val="script"/>
    <w:pitch w:val="variable"/>
    <w:sig w:usb0="A00002BF" w:usb1="38CF7CFA" w:usb2="00082016" w:usb3="00000000" w:csb0="00040001" w:csb1="00000000"/>
  </w:font>
  <w:font w:name="方正仿宋_GBK">
    <w:panose1 w:val="02000000000000000000"/>
    <w:charset w:val="86"/>
    <w:family w:val="script"/>
    <w:pitch w:val="variable"/>
    <w:sig w:usb0="A00002BF" w:usb1="38CF7CFA" w:usb2="00082016" w:usb3="00000000" w:csb0="00040001" w:csb1="00000000"/>
  </w:font>
  <w:font w:name="方正楷体_GBK">
    <w:panose1 w:val="02000000000000000000"/>
    <w:charset w:val="86"/>
    <w:family w:val="script"/>
    <w:pitch w:val="variable"/>
    <w:sig w:usb0="A00002BF" w:usb1="38CF7CFA" w:usb2="00082016" w:usb3="00000000" w:csb0="00040001" w:csb1="00000000"/>
  </w:font>
  <w:font w:name="仿宋_GB2312">
    <w:altName w:val="仿宋"/>
    <w:panose1 w:val="00000000000000000000"/>
    <w:charset w:val="00"/>
    <w:family w:val="auto"/>
    <w:pitch w:val="variable"/>
    <w:sig w:usb0="00000000" w:usb1="00000000" w:usb2="00000000" w:usb3="00000000" w:csb0="00040001" w:csb1="0000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2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Inherit">
    <w:altName w:val="Courier New"/>
    <w:panose1 w:val="00000000000000000000"/>
    <w:charset w:val="00"/>
    <w:family w:val="auto"/>
    <w:pitch w:val="variable"/>
    <w:sig w:usb0="00000000" w:usb1="00000000" w:usb2="00000000" w:usb3="00000000" w:csb0="00040001" w:csb1="00000000"/>
  </w:font>
  <w:font w:name="黑体">
    <w:panose1 w:val="02010609060101010101"/>
    <w:charset w:val="86"/>
    <w:family w:val="auto"/>
    <w:pitch w:val="variable"/>
    <w:sig w:usb0="800002BF" w:usb1="38CF7CFA" w:usb2="00000016" w:usb3="00000000" w:csb0="00040001" w:csb1="00000000"/>
  </w:font>
  <w:font w:name="Courier New">
    <w:panose1 w:val="02070309020205020404"/>
    <w:charset w:val="01"/>
    <w:family w:val="modern"/>
    <w:pitch w:val="variable"/>
    <w:sig w:usb0="E0002EFF" w:usb1="C0007843" w:usb2="00000009" w:usb3="00000000" w:csb0="400001FF" w:csb1="FFFF0000"/>
  </w:font>
  <w:font w:name="Arial Unicode MS">
    <w:altName w:val="宋体"/>
    <w:panose1 w:val="020B0604020202020204"/>
    <w:charset w:val="86"/>
    <w:family w:val="swiss"/>
    <w:pitch w:val="variable"/>
    <w:sig w:usb0="00000000" w:usb1="00000000" w:usb2="0000003F" w:usb3="00000000" w:csb0="003F01FF" w:csb1="00000000"/>
  </w:font>
  <w:font w:name="方正仿宋简体">
    <w:altName w:val="微软雅黑"/>
    <w:panose1 w:val="00000000000000000000"/>
    <w:charset w:val="86"/>
    <w:family w:val="auto"/>
    <w:pitch w:val="variable"/>
    <w:sig w:usb0="00000000" w:usb1="00000000" w:usb2="00000010" w:usb3="00000000" w:csb0="0004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4"/>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paragraph" w:styleId="15">
    <w:name w:val="E-mail Signature"/>
    <w:basedOn w:val="0"/>
  </w:style>
  <w:style w:type="paragraph" w:styleId="16">
    <w:name w:val="Document Map"/>
    <w:basedOn w:val="0"/>
    <w:pPr>
      <w:shd w:val="clear" w:color="auto" w:fill="000080"/>
    </w:pPr>
  </w:style>
  <w:style w:type="paragraph" w:styleId="17">
    <w:name w:val="annotation text"/>
    <w:basedOn w:val="0"/>
    <w:pPr>
      <w:jc w:val="left"/>
    </w:pPr>
    <w:rPr>
      <w:rFonts w:cs="Times New Roman"/>
      <w:kern w:val="0"/>
      <w:sz w:val="20"/>
      <w:szCs w:val="20"/>
    </w:rPr>
  </w:style>
  <w:style w:type="paragraph" w:styleId="18">
    <w:name w:val="Body Text"/>
    <w:basedOn w:val="0"/>
    <w:pPr>
      <w:spacing w:after="120"/>
    </w:pPr>
    <w:rPr>
      <w:rFonts w:cs="Times New Roman"/>
      <w:kern w:val="0"/>
      <w:sz w:val="20"/>
      <w:szCs w:val="20"/>
    </w:rPr>
  </w:style>
  <w:style w:type="paragraph" w:styleId="19">
    <w:name w:val="Body Text Indent"/>
    <w:basedOn w:val="0"/>
    <w:pPr>
      <w:spacing w:after="120"/>
      <w:ind w:leftChars="200" w:left="200"/>
    </w:pPr>
    <w:rPr>
      <w:rFonts w:cs="Times New Roman"/>
      <w:kern w:val="0"/>
      <w:sz w:val="20"/>
      <w:szCs w:val="20"/>
    </w:rPr>
  </w:style>
  <w:style w:type="paragraph" w:styleId="20">
    <w:name w:val="Plain Text"/>
    <w:basedOn w:val="0"/>
    <w:rPr>
      <w:rFonts w:ascii="Courier New" w:hAnsi="Courier New"/>
    </w:rPr>
  </w:style>
  <w:style w:type="paragraph" w:styleId="21">
    <w:name w:val="Date"/>
    <w:basedOn w:val="0"/>
    <w:next w:val="0"/>
    <w:pPr>
      <w:ind w:leftChars="2500" w:left="2500"/>
    </w:pPr>
    <w:rPr>
      <w:rFonts w:cs="Times New Roman"/>
      <w:kern w:val="0"/>
      <w:sz w:val="20"/>
      <w:szCs w:val="20"/>
    </w:rPr>
  </w:style>
  <w:style w:type="paragraph" w:styleId="22">
    <w:name w:val="Balloon Text"/>
    <w:basedOn w:val="0"/>
    <w:rPr>
      <w:rFonts w:cs="Times New Roman"/>
      <w:kern w:val="0"/>
      <w:sz w:val="18"/>
      <w:szCs w:val="18"/>
    </w:rPr>
  </w:style>
  <w:style w:type="paragraph" w:styleId="23">
    <w:name w:val="footer"/>
    <w:basedOn w:val="0"/>
    <w:pPr>
      <w:tabs>
        <w:tab w:val="center" w:pos="4153"/>
        <w:tab w:val="right" w:pos="8306"/>
      </w:tabs>
      <w:snapToGrid w:val="0"/>
      <w:jc w:val="left"/>
    </w:pPr>
    <w:rPr>
      <w:rFonts w:cs="Times New Roman"/>
      <w:kern w:val="0"/>
      <w:sz w:val="18"/>
      <w:szCs w:val="18"/>
    </w:rPr>
  </w:style>
  <w:style w:type="paragraph" w:styleId="24">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25">
    <w:name w:val="footnote text"/>
    <w:next w:val="0"/>
    <w:pPr>
      <w:widowControl w:val="0"/>
      <w:snapToGrid w:val="0"/>
    </w:pPr>
    <w:rPr>
      <w:rFonts w:ascii="Times New Roman" w:eastAsia="宋体" w:cs="Times New Roman" w:hAnsi="Times New Roman"/>
      <w:sz w:val="18"/>
      <w:szCs w:val="21"/>
      <w:lang w:val="en-US" w:eastAsia="zh-CN" w:bidi="ar-SA"/>
    </w:rPr>
  </w:style>
  <w:style w:type="paragraph" w:styleId="26">
    <w:name w:val="Body Text Indent 3"/>
    <w:basedOn w:val="0"/>
    <w:pPr>
      <w:spacing w:after="120"/>
      <w:ind w:leftChars="200" w:left="200"/>
    </w:pPr>
    <w:rPr>
      <w:rFonts w:cs="Times New Roman"/>
      <w:kern w:val="0"/>
      <w:sz w:val="16"/>
      <w:szCs w:val="16"/>
    </w:rPr>
  </w:style>
  <w:style w:type="paragraph" w:styleId="27">
    <w:name w:val="Body Text 2"/>
    <w:basedOn w:val="0"/>
    <w:pPr>
      <w:spacing w:after="120" w:line="480" w:lineRule="auto"/>
    </w:pPr>
    <w:rPr>
      <w:rFonts w:cs="Times New Roman"/>
      <w:kern w:val="0"/>
      <w:sz w:val="20"/>
      <w:szCs w:val="20"/>
    </w:rPr>
  </w:style>
  <w:style w:type="paragraph" w:styleId="28">
    <w:name w:val="Normal (Web)"/>
    <w:basedOn w:val="0"/>
    <w:pPr>
      <w:widowControl/>
      <w:spacing w:before="100" w:beforeAutospacing="1" w:after="100" w:afterAutospacing="1"/>
      <w:jc w:val="left"/>
    </w:pPr>
    <w:rPr>
      <w:rFonts w:ascii="宋体" w:cs="宋体"/>
      <w:kern w:val="0"/>
      <w:sz w:val="24"/>
      <w:szCs w:val="24"/>
    </w:rPr>
  </w:style>
  <w:style w:type="paragraph" w:styleId="29">
    <w:name w:val="annotation subject"/>
    <w:basedOn w:val="17"/>
    <w:next w:val="17"/>
    <w:rPr>
      <w:b/>
    </w:rPr>
  </w:style>
  <w:style w:type="character" w:styleId="30">
    <w:name w:val="page number"/>
    <w:basedOn w:val="10"/>
  </w:style>
  <w:style w:type="character" w:styleId="31">
    <w:name w:val="FollowedHyperlink"/>
    <w:rPr>
      <w:color w:val="800080"/>
      <w:u w:val="single"/>
    </w:rPr>
  </w:style>
  <w:style w:type="character" w:styleId="32">
    <w:name w:val="HTML Acronym"/>
    <w:basedOn w:val="10"/>
  </w:style>
  <w:style w:type="character" w:styleId="33">
    <w:name w:val="Hyperlink"/>
    <w:rPr>
      <w:color w:val="0000FF"/>
      <w:u w:val="single"/>
    </w:rPr>
  </w:style>
  <w:style w:type="character" w:styleId="34">
    <w:name w:val="annotation reference"/>
    <w:rPr>
      <w:sz w:val="21"/>
      <w:szCs w:val="21"/>
    </w:rPr>
  </w:style>
  <w:style w:type="character" w:styleId="35">
    <w:name w:val="footnote reference"/>
    <w:rPr>
      <w:vertAlign w:val="superscript"/>
    </w:rPr>
  </w:style>
  <w:style w:type="character" w:styleId="36">
    <w:name w:val="HTML Keyboard"/>
    <w:rPr>
      <w:rFonts w:ascii="Courier New" w:hAnsi="Courier New"/>
      <w:sz w:val="20"/>
    </w:rPr>
  </w:style>
  <w:style w:type="character" w:styleId="37">
    <w:name w:val="HTML Sample"/>
    <w:rPr>
      <w:rFonts w:ascii="Courier New" w:hAnsi="Courier New"/>
    </w:rPr>
  </w:style>
  <w:style w:type="character" w:customStyle="1" w:styleId="38">
    <w:name w:val="无"/>
  </w:style>
  <w:style w:type="character" w:customStyle="1" w:styleId="39">
    <w:name w:val="unnamed11"/>
    <w:rPr>
      <w:spacing w:val="375"/>
      <w:sz w:val="20"/>
      <w:szCs w:val="20"/>
    </w:rPr>
  </w:style>
  <w:style w:type="character" w:customStyle="1" w:styleId="40">
    <w:name w:val="日期 Char1"/>
    <w:rPr>
      <w:rFonts w:ascii="Calibri" w:eastAsia="宋体" w:cs="Times New Roman" w:hAnsi="Calibri"/>
      <w:lang w:bidi="ar-SA"/>
    </w:rPr>
  </w:style>
  <w:style w:type="character" w:customStyle="1" w:styleId="41">
    <w:name w:val="批注框文本 Char1"/>
    <w:rPr>
      <w:rFonts w:ascii="Calibri" w:eastAsia="宋体" w:cs="Times New Roman" w:hAnsi="Calibri"/>
      <w:sz w:val="18"/>
      <w:szCs w:val="18"/>
      <w:lang w:bidi="ar-SA"/>
    </w:rPr>
  </w:style>
  <w:style w:type="paragraph" w:customStyle="1" w:styleId="42">
    <w:name w:val="正文123"/>
    <w:pPr>
      <w:widowControl w:val="0"/>
      <w:jc w:val="both"/>
    </w:pPr>
    <w:rPr>
      <w:rFonts w:ascii="Calibri" w:eastAsia="宋体" w:cs="Arial" w:hAnsi="Calibri"/>
      <w:kern w:val="2"/>
      <w:sz w:val="21"/>
      <w:szCs w:val="22"/>
      <w:lang w:val="en-US" w:eastAsia="zh-CN" w:bidi="ar-SA"/>
    </w:rPr>
  </w:style>
  <w:style w:type="paragraph" w:customStyle="1" w:styleId="43">
    <w:name w:val="_Style 1"/>
    <w:basedOn w:val="0"/>
    <w:pPr>
      <w:ind w:firstLineChars="200" w:firstLine="200"/>
    </w:pPr>
    <w:rPr>
      <w:rFonts w:cs="Times New Roman"/>
    </w:rPr>
  </w:style>
  <w:style w:type="paragraph" w:customStyle="1" w:styleId="44">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45">
    <w:name w:val="正文135"/>
    <w:pPr>
      <w:widowControl w:val="0"/>
      <w:jc w:val="both"/>
    </w:pPr>
    <w:rPr>
      <w:rFonts w:ascii="Calibri" w:eastAsia="宋体" w:cs="Arial" w:hAnsi="Calibri"/>
      <w:kern w:val="2"/>
      <w:sz w:val="21"/>
      <w:szCs w:val="22"/>
      <w:lang w:val="en-US" w:eastAsia="zh-CN" w:bidi="ar-SA"/>
    </w:rPr>
  </w:style>
  <w:style w:type="paragraph" w:customStyle="1" w:styleId="46">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7">
    <w:name w:val="正文38"/>
    <w:pPr>
      <w:widowControl w:val="0"/>
      <w:jc w:val="both"/>
    </w:pPr>
    <w:rPr>
      <w:rFonts w:ascii="Calibri" w:eastAsia="宋体" w:cs="Arial" w:hAnsi="Calibri"/>
      <w:kern w:val="2"/>
      <w:sz w:val="21"/>
      <w:szCs w:val="22"/>
      <w:lang w:val="en-US" w:eastAsia="zh-CN" w:bidi="ar-SA"/>
    </w:rPr>
  </w:style>
  <w:style w:type="paragraph" w:customStyle="1" w:styleId="48">
    <w:name w:val="正文21"/>
    <w:pPr>
      <w:widowControl w:val="0"/>
      <w:jc w:val="both"/>
    </w:pPr>
    <w:rPr>
      <w:rFonts w:ascii="Calibri" w:eastAsia="宋体" w:cs="Arial" w:hAnsi="Calibri"/>
      <w:kern w:val="2"/>
      <w:sz w:val="21"/>
      <w:szCs w:val="22"/>
      <w:lang w:val="en-US" w:eastAsia="zh-CN" w:bidi="ar-SA"/>
    </w:rPr>
  </w:style>
  <w:style w:type="paragraph" w:customStyle="1" w:styleId="49">
    <w:name w:val="发文稿纸"/>
    <w:basedOn w:val="0"/>
    <w:pPr>
      <w:spacing w:afterLines="50" w:after="50"/>
      <w:jc w:val="center"/>
    </w:pPr>
    <w:rPr>
      <w:rFonts w:ascii="Times New Roman" w:cs="Times New Roman" w:hAnsi="Times New Roman"/>
      <w:b/>
      <w:bCs/>
      <w:sz w:val="32"/>
      <w:szCs w:val="24"/>
    </w:rPr>
  </w:style>
  <w:style w:type="paragraph" w:customStyle="1" w:styleId="50">
    <w:name w:val="正文106"/>
    <w:pPr>
      <w:widowControl w:val="0"/>
      <w:jc w:val="both"/>
    </w:pPr>
    <w:rPr>
      <w:rFonts w:ascii="Calibri" w:eastAsia="宋体" w:cs="Arial" w:hAnsi="Calibri"/>
      <w:kern w:val="2"/>
      <w:sz w:val="21"/>
      <w:szCs w:val="22"/>
      <w:lang w:val="en-US" w:eastAsia="zh-CN" w:bidi="ar-SA"/>
    </w:rPr>
  </w:style>
  <w:style w:type="paragraph" w:customStyle="1" w:styleId="51">
    <w:name w:val="列出段落2"/>
    <w:basedOn w:val="0"/>
    <w:pPr>
      <w:ind w:firstLineChars="200" w:firstLine="200"/>
    </w:pPr>
    <w:rPr>
      <w:rFonts w:cs="黑体"/>
    </w:rPr>
  </w:style>
  <w:style w:type="paragraph" w:customStyle="1" w:styleId="52">
    <w:name w:val="正文82"/>
    <w:pPr>
      <w:widowControl w:val="0"/>
      <w:jc w:val="both"/>
    </w:pPr>
    <w:rPr>
      <w:rFonts w:ascii="Calibri" w:eastAsia="宋体" w:cs="Arial" w:hAnsi="Calibri"/>
      <w:kern w:val="2"/>
      <w:sz w:val="21"/>
      <w:szCs w:val="22"/>
      <w:lang w:val="en-US" w:eastAsia="zh-CN" w:bidi="ar-SA"/>
    </w:rPr>
  </w:style>
  <w:style w:type="paragraph" w:customStyle="1" w:styleId="53">
    <w:name w:val="font6"/>
    <w:basedOn w:val="0"/>
    <w:pPr>
      <w:widowControl/>
      <w:spacing w:before="100" w:beforeAutospacing="1" w:after="100" w:afterAutospacing="1"/>
      <w:jc w:val="left"/>
    </w:pPr>
    <w:rPr>
      <w:rFonts w:ascii="宋体" w:cs="宋体"/>
      <w:color w:val="000000"/>
      <w:kern w:val="0"/>
      <w:szCs w:val="21"/>
    </w:rPr>
  </w:style>
  <w:style w:type="paragraph" w:customStyle="1" w:styleId="54">
    <w:name w:val="正文112"/>
    <w:pPr>
      <w:widowControl w:val="0"/>
      <w:jc w:val="both"/>
    </w:pPr>
    <w:rPr>
      <w:rFonts w:ascii="Calibri" w:eastAsia="宋体" w:cs="Arial" w:hAnsi="Calibri"/>
      <w:kern w:val="2"/>
      <w:sz w:val="21"/>
      <w:szCs w:val="22"/>
      <w:lang w:val="en-US" w:eastAsia="zh-CN" w:bidi="ar-SA"/>
    </w:rPr>
  </w:style>
  <w:style w:type="paragraph" w:customStyle="1" w:styleId="55">
    <w:name w:val="p0"/>
    <w:basedOn w:val="0"/>
    <w:pPr>
      <w:widowControl/>
    </w:pPr>
    <w:rPr>
      <w:rFonts w:ascii="Times New Roman" w:cs="Times New Roman" w:hAnsi="Times New Roman"/>
      <w:kern w:val="0"/>
      <w:szCs w:val="21"/>
    </w:rPr>
  </w:style>
  <w:style w:type="paragraph" w:customStyle="1" w:styleId="56">
    <w:name w:val="正文44"/>
    <w:pPr>
      <w:widowControl w:val="0"/>
      <w:jc w:val="both"/>
    </w:pPr>
    <w:rPr>
      <w:rFonts w:ascii="Calibri" w:eastAsia="宋体" w:cs="Arial" w:hAnsi="Calibri"/>
      <w:kern w:val="2"/>
      <w:sz w:val="21"/>
      <w:szCs w:val="22"/>
      <w:lang w:val="en-US" w:eastAsia="zh-CN" w:bidi="ar-SA"/>
    </w:rPr>
  </w:style>
  <w:style w:type="paragraph" w:customStyle="1" w:styleId="57">
    <w:name w:val="正文142"/>
    <w:pPr>
      <w:widowControl w:val="0"/>
      <w:jc w:val="both"/>
    </w:pPr>
    <w:rPr>
      <w:rFonts w:ascii="Calibri" w:eastAsia="宋体" w:cs="Arial" w:hAnsi="Calibri"/>
      <w:kern w:val="2"/>
      <w:sz w:val="21"/>
      <w:szCs w:val="22"/>
      <w:lang w:val="en-US" w:eastAsia="zh-CN" w:bidi="ar-SA"/>
    </w:rPr>
  </w:style>
  <w:style w:type="paragraph" w:customStyle="1" w:styleId="58">
    <w:name w:val="正文34"/>
    <w:pPr>
      <w:widowControl w:val="0"/>
      <w:jc w:val="both"/>
    </w:pPr>
    <w:rPr>
      <w:rFonts w:ascii="Calibri" w:eastAsia="宋体" w:cs="Arial" w:hAnsi="Calibri"/>
      <w:kern w:val="2"/>
      <w:sz w:val="21"/>
      <w:szCs w:val="22"/>
      <w:lang w:val="en-US" w:eastAsia="zh-CN" w:bidi="ar-SA"/>
    </w:rPr>
  </w:style>
  <w:style w:type="paragraph" w:customStyle="1" w:styleId="59">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0">
    <w:name w:val="正文127"/>
    <w:pPr>
      <w:widowControl w:val="0"/>
      <w:jc w:val="both"/>
    </w:pPr>
    <w:rPr>
      <w:rFonts w:ascii="Calibri" w:eastAsia="宋体" w:cs="Arial" w:hAnsi="Calibri"/>
      <w:kern w:val="2"/>
      <w:sz w:val="21"/>
      <w:szCs w:val="22"/>
      <w:lang w:val="en-US" w:eastAsia="zh-CN" w:bidi="ar-SA"/>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0"/>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75"/>
    <w:pPr>
      <w:widowControl w:val="0"/>
      <w:jc w:val="both"/>
    </w:pPr>
    <w:rPr>
      <w:rFonts w:ascii="Calibri" w:eastAsia="宋体" w:cs="Arial" w:hAnsi="Calibri"/>
      <w:kern w:val="2"/>
      <w:sz w:val="21"/>
      <w:szCs w:val="22"/>
      <w:lang w:val="en-US" w:eastAsia="zh-CN" w:bidi="ar-SA"/>
    </w:rPr>
  </w:style>
  <w:style w:type="paragraph" w:customStyle="1" w:styleId="81">
    <w:name w:val="正文20"/>
    <w:next w:val="22"/>
    <w:pPr>
      <w:widowControl w:val="0"/>
      <w:jc w:val="both"/>
    </w:pPr>
    <w:rPr>
      <w:rFonts w:ascii="Times New Roman" w:eastAsia="宋体" w:cs="Times New Roman" w:hAnsi="Times New Roman"/>
      <w:kern w:val="2"/>
      <w:sz w:val="21"/>
      <w:szCs w:val="21"/>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4"/>
    <w:pPr>
      <w:spacing w:before="100" w:beforeAutospacing="1" w:after="100" w:afterAutospacing="1"/>
    </w:pPr>
    <w:rPr>
      <w:rFonts w:ascii="宋体" w:eastAsia="宋体" w:cs="宋体"/>
      <w:sz w:val="24"/>
      <w:szCs w:val="24"/>
      <w:lang w:val="en-US" w:eastAsia="zh-CN" w:bidi="ar-SA"/>
    </w:rPr>
  </w:style>
  <w:style w:type="paragraph" w:customStyle="1" w:styleId="94">
    <w:name w:val="普通(网站)2"/>
    <w:pPr>
      <w:spacing w:before="100" w:beforeAutospacing="1" w:after="100" w:afterAutospacing="1"/>
    </w:pPr>
    <w:rPr>
      <w:rFonts w:ascii="宋体" w:eastAsia="宋体" w:cs="宋体"/>
      <w:sz w:val="24"/>
      <w:szCs w:val="24"/>
      <w:lang w:val="en-US" w:eastAsia="zh-CN" w:bidi="ar-SA"/>
    </w:rPr>
  </w:style>
  <w:style w:type="paragraph" w:customStyle="1" w:styleId="95">
    <w:name w:val="正文66"/>
    <w:pPr>
      <w:widowControl w:val="0"/>
      <w:jc w:val="both"/>
    </w:pPr>
    <w:rPr>
      <w:rFonts w:ascii="Calibri" w:eastAsia="宋体" w:cs="Arial" w:hAnsi="Calibri"/>
      <w:kern w:val="2"/>
      <w:sz w:val="21"/>
      <w:szCs w:val="22"/>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9"/>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next w:val="76"/>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2 10 磅"/>
    <w:next w:val="24"/>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89"/>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0">
    <w:name w:val="正文81"/>
    <w:pPr>
      <w:widowControl w:val="0"/>
      <w:jc w:val="both"/>
    </w:pPr>
    <w:rPr>
      <w:rFonts w:ascii="Calibri" w:eastAsia="宋体" w:cs="Arial" w:hAnsi="Calibri"/>
      <w:kern w:val="2"/>
      <w:sz w:val="21"/>
      <w:szCs w:val="22"/>
      <w:lang w:val="en-US" w:eastAsia="zh-CN" w:bidi="ar-SA"/>
    </w:rPr>
  </w:style>
  <w:style w:type="paragraph" w:customStyle="1" w:styleId="191">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2">
    <w:name w:val="正文10"/>
    <w:pPr>
      <w:widowControl w:val="0"/>
      <w:jc w:val="both"/>
    </w:pPr>
    <w:rPr>
      <w:rFonts w:ascii="Calibri" w:eastAsia="宋体" w:cs="Arial" w:hAnsi="Calibri"/>
      <w:kern w:val="2"/>
      <w:sz w:val="21"/>
      <w:szCs w:val="22"/>
      <w:lang w:val="en-US" w:eastAsia="zh-CN" w:bidi="ar-SA"/>
    </w:rPr>
  </w:style>
  <w:style w:type="paragraph" w:customStyle="1" w:styleId="193">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0"/>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1">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2">
    <w:name w:val="修订1"/>
    <w:rPr>
      <w:rFonts w:ascii="Calibri" w:eastAsia="宋体" w:cs="Arial" w:hAnsi="Calibri"/>
      <w:kern w:val="2"/>
      <w:sz w:val="21"/>
      <w:szCs w:val="22"/>
      <w:lang w:val="en-US" w:eastAsia="zh-CN" w:bidi="ar-SA"/>
    </w:rPr>
  </w:style>
  <w:style w:type="paragraph" w:customStyle="1" w:styleId="203">
    <w:name w:val="正文113"/>
    <w:pPr>
      <w:widowControl w:val="0"/>
      <w:jc w:val="both"/>
    </w:pPr>
    <w:rPr>
      <w:rFonts w:ascii="Calibri" w:eastAsia="宋体" w:cs="Arial" w:hAnsi="Calibri"/>
      <w:kern w:val="2"/>
      <w:sz w:val="21"/>
      <w:szCs w:val="22"/>
      <w:lang w:val="en-US" w:eastAsia="zh-CN" w:bidi="ar-SA"/>
    </w:rPr>
  </w:style>
  <w:style w:type="paragraph" w:customStyle="1" w:styleId="204">
    <w:name w:val="正文63"/>
    <w:pPr>
      <w:widowControl w:val="0"/>
      <w:jc w:val="both"/>
    </w:pPr>
    <w:rPr>
      <w:rFonts w:ascii="Calibri" w:eastAsia="宋体" w:cs="Arial" w:hAnsi="Calibri"/>
      <w:kern w:val="2"/>
      <w:sz w:val="21"/>
      <w:szCs w:val="22"/>
      <w:lang w:val="en-US" w:eastAsia="zh-CN" w:bidi="ar-SA"/>
    </w:rPr>
  </w:style>
  <w:style w:type="paragraph" w:customStyle="1" w:styleId="205">
    <w:name w:val="正文85"/>
    <w:pPr>
      <w:widowControl w:val="0"/>
      <w:jc w:val="both"/>
    </w:pPr>
    <w:rPr>
      <w:rFonts w:ascii="Calibri" w:eastAsia="宋体" w:cs="Arial" w:hAnsi="Calibri"/>
      <w:kern w:val="2"/>
      <w:sz w:val="21"/>
      <w:szCs w:val="22"/>
      <w:lang w:val="en-US" w:eastAsia="zh-CN" w:bidi="ar-SA"/>
    </w:rPr>
  </w:style>
  <w:style w:type="paragraph" w:customStyle="1" w:styleId="206">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7">
    <w:name w:val="正文1"/>
    <w:next w:val="145"/>
    <w:pPr>
      <w:widowControl w:val="0"/>
      <w:jc w:val="both"/>
    </w:pPr>
    <w:rPr>
      <w:rFonts w:ascii="Calibri" w:eastAsia="宋体" w:cs="Arial" w:hAnsi="Calibri"/>
      <w:kern w:val="2"/>
      <w:sz w:val="21"/>
      <w:szCs w:val="2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Times New Roman" w:hAnsi="Calibri"/>
      <w:kern w:val="2"/>
      <w:sz w:val="21"/>
      <w:szCs w:val="24"/>
      <w:lang w:val="en-US" w:eastAsia="zh-CN" w:bidi="ar-SA"/>
    </w:rPr>
  </w:style>
  <w:style w:type="paragraph" w:customStyle="1" w:styleId="250">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251">
    <w:name w:val="样式 20 10 磅"/>
    <w:pPr>
      <w:widowControl w:val="0"/>
      <w:jc w:val="both"/>
    </w:pPr>
    <w:rPr>
      <w:rFonts w:ascii="Calibri" w:eastAsia="宋体" w:cs="Arial" w:hAnsi="Calibri"/>
      <w:kern w:val="2"/>
      <w:sz w:val="21"/>
      <w:szCs w:val="22"/>
      <w:lang w:val="en-US" w:eastAsia="zh-CN" w:bidi="ar-SA"/>
    </w:rPr>
  </w:style>
  <w:style w:type="paragraph" w:customStyle="1" w:styleId="252">
    <w:name w:val="样式 小四"/>
    <w:pPr>
      <w:widowControl w:val="0"/>
      <w:spacing w:line="240" w:lineRule="auto"/>
      <w:jc w:val="left"/>
    </w:pPr>
    <w:rPr>
      <w:rFonts w:ascii="宋体" w:eastAsia="宋体" w:cs="Times New Roman"/>
      <w:kern w:val="2"/>
      <w:sz w:val="24"/>
      <w:lang w:val="en-US" w:eastAsia="zh-CN" w:bidi="ar-SA"/>
    </w:rPr>
  </w:style>
  <w:style w:type="paragraph" w:customStyle="1" w:styleId="253">
    <w:name w:val="样式 21 10 磅"/>
    <w:pPr>
      <w:widowControl w:val="0"/>
      <w:jc w:val="both"/>
    </w:pPr>
    <w:rPr>
      <w:rFonts w:ascii="Calibri" w:eastAsia="宋体" w:cs="黑体" w:hAnsi="Calibri"/>
      <w:kern w:val="2"/>
      <w:sz w:val="21"/>
      <w:szCs w:val="22"/>
      <w:lang w:val="en-US" w:eastAsia="zh-CN" w:bidi="ar-SA"/>
    </w:rPr>
  </w:style>
  <w:style w:type="paragraph" w:customStyle="1" w:styleId="254">
    <w:name w:val="样式 22 10 磅"/>
    <w:pPr>
      <w:widowControl w:val="0"/>
      <w:jc w:val="both"/>
    </w:pPr>
    <w:rPr>
      <w:rFonts w:ascii="Calibri" w:eastAsia="宋体" w:cs="黑体" w:hAnsi="Calibri"/>
      <w:kern w:val="2"/>
      <w:sz w:val="21"/>
      <w:szCs w:val="22"/>
      <w:lang w:val="en-US" w:eastAsia="zh-CN" w:bidi="ar-SA"/>
    </w:rPr>
  </w:style>
  <w:style w:type="paragraph" w:customStyle="1" w:styleId="255">
    <w:name w:val="样式 23 10 磅"/>
    <w:pPr>
      <w:widowControl w:val="0"/>
      <w:jc w:val="both"/>
    </w:pPr>
    <w:rPr>
      <w:rFonts w:ascii="Calibri" w:eastAsia="宋体" w:cs="黑体"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162</TotalTime>
  <Application>Yozo_Office</Application>
  <Pages>8</Pages>
  <Words>3314</Words>
  <Characters>3423</Characters>
  <Lines>180</Lines>
  <Paragraphs>91</Paragraphs>
  <CharactersWithSpaces>3484</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张耀媛</cp:lastModifiedBy>
  <cp:revision>3</cp:revision>
  <dcterms:created xsi:type="dcterms:W3CDTF">2020-07-14T08:21:00Z</dcterms:created>
  <dcterms:modified xsi:type="dcterms:W3CDTF">2026-06-15T09:49:46Z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2052-12.1.0.25225</vt:lpwstr>
  </property>
  <property fmtid="{D5CDD505-2E9C-101B-9397-08002B2CF9AE}" pid="3" name="KSOTemplateDocerSaveRecord">
    <vt:lpwstr>eyJoZGlkIjoiOWZiMDEzYjBjNjI4NWJlOGYwZDU4YWFlNDJhOTJkNWIiLCJ1c2VySWQiOiIxNjcxNDIxMDE1In0=</vt:lpwstr>
  </property>
  <property fmtid="{D5CDD505-2E9C-101B-9397-08002B2CF9AE}" pid="4" name="ICV">
    <vt:lpwstr>FA4758DF16AB415E96B65131FA85B578_12</vt:lpwstr>
  </property>
</Properties>
</file>