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44"/>
        <w:spacing w:line="560" w:lineRule="exact"/>
        <w:jc w:val="center"/>
        <w:rPr>
          <w:rFonts w:eastAsia="方正小标宋_GBK" w:cs="方正小标宋_GBK" w:hint="eastAsia"/>
          <w:sz w:val="44"/>
          <w:szCs w:val="44"/>
          <w:lang w:bidi="ar-SA"/>
        </w:rPr>
      </w:pPr>
      <w:r>
        <w:rPr>
          <w:rFonts w:eastAsia="方正小标宋_GBK" w:cs="方正小标宋_GBK" w:hint="eastAsia"/>
          <w:sz w:val="44"/>
          <w:szCs w:val="44"/>
          <w:lang w:bidi="ar-SA"/>
        </w:rPr>
        <w:t>海关政务服务事项办事指南</w:t>
      </w:r>
    </w:p>
    <w:p>
      <w:pPr>
        <w:pStyle w:val="44"/>
        <w:spacing w:line="560" w:lineRule="exact"/>
        <w:jc w:val="center"/>
        <w:outlineLvl w:val="0"/>
        <w:rPr>
          <w:rFonts w:eastAsia="方正小标宋_GBK" w:cs="方正小标宋_GBK"/>
          <w:sz w:val="32"/>
          <w:szCs w:val="32"/>
          <w:lang w:bidi="ar-SA"/>
        </w:rPr>
      </w:pPr>
      <w:r>
        <w:rPr>
          <w:rFonts w:eastAsia="方正小标宋_GBK" w:cs="方正小标宋_GBK"/>
          <w:sz w:val="32"/>
          <w:szCs w:val="32"/>
          <w:lang w:bidi="ar-SA"/>
        </w:rPr>
        <w:t>000629016000</w:t>
      </w:r>
    </w:p>
    <w:p>
      <w:pPr>
        <w:pStyle w:val="44"/>
        <w:spacing w:line="560" w:lineRule="exact"/>
        <w:jc w:val="center"/>
        <w:outlineLvl w:val="0"/>
        <w:rPr>
          <w:rFonts w:eastAsia="方正小标宋_GBK" w:cs="方正小标宋_GBK"/>
          <w:sz w:val="32"/>
          <w:szCs w:val="32"/>
          <w:lang w:bidi="ar-SA"/>
        </w:rPr>
      </w:pPr>
      <w:r>
        <w:rPr>
          <w:rFonts w:eastAsia="方正小标宋_GBK" w:cs="方正小标宋_GBK" w:hint="eastAsia"/>
          <w:sz w:val="32"/>
          <w:szCs w:val="32"/>
          <w:lang w:bidi="ar-SA"/>
        </w:rPr>
        <w:t>“留学人员购买免税国产汽车”政务服务事项办事指南</w:t>
      </w:r>
    </w:p>
    <w:p>
      <w:pPr>
        <w:pStyle w:val="45"/>
        <w:spacing w:line="560" w:lineRule="exact"/>
      </w:pPr>
    </w:p>
    <w:p>
      <w:pPr>
        <w:pStyle w:val="44"/>
        <w:spacing w:line="560" w:lineRule="exact"/>
        <w:ind w:firstLineChars="200" w:firstLine="640"/>
        <w:rPr>
          <w:rFonts w:cs="宋体" w:hint="eastAsia"/>
          <w:kern w:val="0"/>
          <w:sz w:val="24"/>
          <w:lang w:bidi="ar-SA"/>
        </w:rPr>
      </w:pPr>
      <w:r>
        <w:rPr>
          <w:rFonts w:eastAsia="方正黑体_GBK" w:hint="eastAsia"/>
          <w:sz w:val="32"/>
          <w:szCs w:val="32"/>
        </w:rPr>
        <w:t>一、事项名称：</w:t>
      </w:r>
      <w:r>
        <w:rPr>
          <w:rFonts w:eastAsia="方正仿宋_GBK" w:hint="eastAsia"/>
          <w:bCs/>
          <w:sz w:val="32"/>
          <w:szCs w:val="32"/>
        </w:rPr>
        <w:t>留学人员购买免税国产汽车</w:t>
      </w:r>
    </w:p>
    <w:p>
      <w:pPr>
        <w:pStyle w:val="44"/>
        <w:spacing w:line="560" w:lineRule="exact"/>
        <w:ind w:firstLineChars="200" w:firstLine="640"/>
        <w:rPr>
          <w:rFonts w:eastAsia="方正仿宋_GBK" w:hint="eastAsia"/>
          <w:bCs/>
          <w:kern w:val="0"/>
          <w:sz w:val="32"/>
          <w:szCs w:val="32"/>
        </w:rPr>
      </w:pPr>
      <w:r>
        <w:rPr>
          <w:rFonts w:eastAsia="方正黑体_GBK" w:hint="eastAsia"/>
          <w:bCs/>
          <w:sz w:val="32"/>
          <w:szCs w:val="32"/>
        </w:rPr>
        <w:t>二、事项类型：</w:t>
      </w:r>
      <w:r>
        <w:rPr>
          <w:rFonts w:eastAsia="方正仿宋_GBK" w:hint="eastAsia"/>
          <w:bCs/>
          <w:sz w:val="32"/>
          <w:szCs w:val="32"/>
        </w:rPr>
        <w:t>行政检查</w:t>
      </w:r>
    </w:p>
    <w:p>
      <w:pPr>
        <w:pStyle w:val="44"/>
        <w:spacing w:line="560" w:lineRule="exact"/>
        <w:ind w:firstLineChars="200" w:firstLine="640"/>
        <w:rPr>
          <w:rFonts w:eastAsia="方正黑体_GBK" w:hint="eastAsia"/>
          <w:bCs/>
          <w:sz w:val="32"/>
          <w:szCs w:val="32"/>
        </w:rPr>
      </w:pPr>
      <w:r>
        <w:rPr>
          <w:rFonts w:eastAsia="方正黑体_GBK" w:hint="eastAsia"/>
          <w:bCs/>
          <w:sz w:val="32"/>
          <w:szCs w:val="32"/>
        </w:rPr>
        <w:t>三、设定依据：</w:t>
      </w:r>
    </w:p>
    <w:p>
      <w:pPr>
        <w:pStyle w:val="44"/>
        <w:spacing w:line="560" w:lineRule="exact"/>
        <w:ind w:firstLineChars="200" w:firstLine="640"/>
        <w:rPr>
          <w:rFonts w:eastAsia="方正小标宋_GBK" w:hint="eastAsia"/>
          <w:bCs/>
          <w:sz w:val="32"/>
          <w:szCs w:val="32"/>
        </w:rPr>
      </w:pPr>
      <w:r>
        <w:rPr>
          <w:rFonts w:eastAsia="方正小标宋_GBK" w:hint="eastAsia"/>
          <w:bCs/>
          <w:sz w:val="32"/>
          <w:szCs w:val="32"/>
        </w:rPr>
        <w:t>(一）《海关总署等七部委关于回国服务的在外留学人员用现汇购买个人自用国产小汽车有关问题的通知》（署监二〔1992〕1600号）</w:t>
      </w:r>
    </w:p>
    <w:p>
      <w:pPr>
        <w:pStyle w:val="46"/>
        <w:spacing w:line="560" w:lineRule="exact"/>
        <w:ind w:firstLineChars="200" w:firstLine="640"/>
        <w:rPr>
          <w:rFonts w:eastAsia="方正仿宋_GBK" w:hint="eastAsia"/>
          <w:bCs/>
          <w:sz w:val="32"/>
          <w:szCs w:val="32"/>
        </w:rPr>
      </w:pPr>
      <w:r>
        <w:rPr>
          <w:rFonts w:eastAsia="方正仿宋_GBK" w:hint="eastAsia"/>
          <w:bCs/>
          <w:sz w:val="32"/>
          <w:szCs w:val="32"/>
        </w:rPr>
        <w:t>一、在国外正规大学（学院）注册学习毕（结）业的和进修（包括出国进修、合作研究）期限在一年以上的留学人员回国工作，凭我驻外使领馆出具的《留学人员证明》、聘用单位的上级主管部门出具的证明、公安部门出具的境内居留证明和有效的进境申报单证，持所在地海关核发的《回国人员购买国产汽车准购单》，在其免税限量和从境外带进的外汇（含现金和支票）额度内，可用现汇购买免税国产小汽车（包括小型轿车、旅行车、吉普车）一辆。</w:t>
      </w:r>
    </w:p>
    <w:p>
      <w:pPr>
        <w:pStyle w:val="46"/>
        <w:spacing w:line="560" w:lineRule="exact"/>
        <w:ind w:firstLineChars="200" w:firstLine="640"/>
        <w:rPr>
          <w:rFonts w:eastAsia="方正仿宋_GBK" w:hint="eastAsia"/>
          <w:bCs/>
          <w:sz w:val="32"/>
          <w:szCs w:val="32"/>
        </w:rPr>
      </w:pPr>
      <w:r>
        <w:rPr>
          <w:rFonts w:eastAsia="方正仿宋_GBK" w:hint="eastAsia"/>
          <w:bCs/>
          <w:sz w:val="32"/>
          <w:szCs w:val="32"/>
        </w:rPr>
        <w:t>二、购买汽车种类：北京吉普汽车有限公司的“切诺基”、上海大众汽车有限公司的“桑塔纳”、天津微型汽车厂的“夏利”、广州标致汽车有限公司的“标致</w:t>
      </w:r>
      <w:r>
        <w:rPr>
          <w:rFonts w:eastAsia="方正仿宋_GBK"/>
          <w:bCs/>
          <w:sz w:val="32"/>
          <w:szCs w:val="32"/>
        </w:rPr>
        <w:t>505</w:t>
      </w:r>
      <w:r>
        <w:rPr>
          <w:rFonts w:eastAsia="方正仿宋_GBK" w:hint="eastAsia"/>
          <w:bCs/>
          <w:sz w:val="32"/>
          <w:szCs w:val="32"/>
        </w:rPr>
        <w:t>”、第一汽车集团公司的“奥迪”、一汽大众汽车有限公司的“捷达”、“高尔夫”、神龙汽车有限公司的“雪铁龙”、国营长安机器厂的“奥拓”、贵州航空工业总公司的“斯芭鲁”及上述厂家生产的其它微型旅行车。</w:t>
      </w:r>
    </w:p>
    <w:p>
      <w:pPr>
        <w:pStyle w:val="46"/>
        <w:spacing w:line="560" w:lineRule="exact"/>
        <w:ind w:firstLineChars="200" w:firstLine="640"/>
        <w:rPr>
          <w:rFonts w:eastAsia="方正仿宋_GBK" w:hint="eastAsia"/>
          <w:bCs/>
          <w:sz w:val="32"/>
          <w:szCs w:val="32"/>
        </w:rPr>
      </w:pPr>
      <w:r>
        <w:rPr>
          <w:rFonts w:eastAsia="方正仿宋_GBK" w:hint="eastAsia"/>
          <w:bCs/>
          <w:sz w:val="32"/>
          <w:szCs w:val="32"/>
        </w:rPr>
        <w:t>三、回国工作的留学人员用现汇购买的国产小汽车，视同免税进口，免征其关键件或成套散件进口环节的关税、增值税（或工商统一税），以及待别消费税和横向配套费、车辆购置附加费。</w:t>
      </w:r>
    </w:p>
    <w:p>
      <w:pPr>
        <w:pStyle w:val="46"/>
        <w:spacing w:line="560" w:lineRule="exact"/>
        <w:ind w:firstLineChars="200" w:firstLine="640"/>
        <w:rPr>
          <w:rFonts w:eastAsia="方正仿宋_GBK" w:hint="eastAsia"/>
          <w:bCs/>
          <w:sz w:val="32"/>
          <w:szCs w:val="32"/>
        </w:rPr>
      </w:pPr>
      <w:r>
        <w:rPr>
          <w:rFonts w:eastAsia="方正仿宋_GBK" w:hint="eastAsia"/>
          <w:bCs/>
          <w:sz w:val="32"/>
          <w:szCs w:val="32"/>
        </w:rPr>
        <w:t>四、为了保障留学人员和企业的利益，加强对上述免税汽车生产和销售管理供回国的留学人员用现汇购买的汽车，不进入流通领域和商业环节。准予购买国产小汽车的留学人员，持海关核发的《回国人员购买国产汽车准购单》直接向上述生产厂家购车。各生产厂家应予以优先供货。</w:t>
      </w:r>
    </w:p>
    <w:p>
      <w:pPr>
        <w:pStyle w:val="46"/>
        <w:spacing w:line="560" w:lineRule="exact"/>
        <w:ind w:firstLineChars="200" w:firstLine="640"/>
      </w:pPr>
      <w:r>
        <w:rPr>
          <w:rFonts w:eastAsia="方正仿宋_GBK" w:hint="eastAsia"/>
          <w:bCs/>
          <w:sz w:val="32"/>
          <w:szCs w:val="32"/>
        </w:rPr>
        <w:t>五、供回国工作的留学人员自用的免税国产汽车，在海关监管年限内不得转让或非法倒卖。具体监管年限及备案、管理手续参照</w:t>
      </w:r>
      <w:r>
        <w:rPr>
          <w:rFonts w:eastAsia="方正仿宋_GBK"/>
          <w:bCs/>
          <w:sz w:val="32"/>
          <w:szCs w:val="32"/>
        </w:rPr>
        <w:t>海</w:t>
      </w:r>
      <w:r>
        <w:rPr>
          <w:rFonts w:eastAsia="方正仿宋_GBK" w:hint="eastAsia"/>
          <w:bCs/>
          <w:sz w:val="32"/>
          <w:szCs w:val="32"/>
        </w:rPr>
        <w:t>关对外商常驻机构及非居民长期旅客进口机动车辆的有关规定执行。经海关批准过户或转让的车辆，各地交通部门凭海关出具的证明，办理车辆购置附加费凭证的过户和转让手续，并向新车主补征车辆购置附加费。</w:t>
      </w:r>
    </w:p>
    <w:p>
      <w:pPr>
        <w:pStyle w:val="44"/>
        <w:spacing w:line="560" w:lineRule="exact"/>
        <w:ind w:firstLineChars="200" w:firstLine="640"/>
        <w:rPr>
          <w:rFonts w:eastAsia="方正小标宋_GBK" w:hint="eastAsia"/>
          <w:bCs/>
          <w:sz w:val="32"/>
          <w:szCs w:val="32"/>
        </w:rPr>
      </w:pPr>
      <w:r>
        <w:rPr>
          <w:rFonts w:eastAsia="方正小标宋_GBK" w:hint="eastAsia"/>
          <w:bCs/>
          <w:sz w:val="32"/>
          <w:szCs w:val="32"/>
        </w:rPr>
        <w:t>（二）《中华人民共和国海关对回国服务的留学人员购买免税国产汽车管理办法》（1992年10月27日海关总署署监二〔1992〕1678号文批准）</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第一条 为了加强对回国服务的留学人员购买个人自用免税国产汽车的管理，根据《中华人民共和国海关法》、《中华人民共和国海关对进出境旅客行李物品监管办法》和现行有关规定，特制定本办法。</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第二条 本办法适用于在国外正规大学（学院）注册学习毕（结）业和进修（包括出国进修、合作研究）期限在1年以上回国工作购买免税国产汽车的留学人员。</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第三条 上述人员购买免税国产汽车，应事先由本人到所在地海关（下称备案地海关）申请办理免税手续，并向海关交验下列证件及证明文件（正本）：</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1、本人有效护照；</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2、我驻外使领馆出具的《留学人员证明》；</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3、公安部门出具的境内居留证明；</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4、聘用单位上级主管部门出具的证明；</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5、进境时经海关签章的有效申报单证；</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6、备案地海关要求提供的其他证明文件。</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第四条 海关验核申请人提交的有关单证文件，对符合条件者签发《回国人员购买国产汽车准购单》（下称《准购单》），予以注册备案。</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第五条 申请人持海关签发的《准购单》直接到汽车生产厂家（或生产厂家设在备案海关所在地的销售门市部）购车。生产厂家凭申请人所持的《准购单》和海关通知，按免税外汇价格计价供货。并定期向海关报告销售情况，报请办理核销结案手续。</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第六条 上述人员购买的免税国产汽车，视同免税进口车辆，海关监管年限为六年。从提货之日起两年内不得过户转让。免税车辆在海关监管年限内过户转让，车辆所有人须事先报经海关批准并补税。</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第七条 经海关批准过户转让的车辆，交通部门凭海关出具的证明，办理车辆购置附加费凭证的过户转让手续。新车主须补缴车辆购置附加费。</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第八条 购买免税国产汽车的上述人员，每年应主动将其车辆报海关进行年审。其免税车辆已满监管年限，应向海关申请办理解除管理手续。</w:t>
      </w:r>
    </w:p>
    <w:p>
      <w:pPr>
        <w:pStyle w:val="47"/>
        <w:spacing w:line="560" w:lineRule="exact"/>
        <w:rPr>
          <w:rFonts w:ascii="Times New Roman" w:hAnsi="Times New Roman"/>
        </w:rPr>
      </w:pPr>
      <w:r>
        <w:rPr>
          <w:rFonts w:ascii="Times New Roman" w:eastAsia="方正仿宋_GBK" w:hAnsi="Times New Roman" w:hint="eastAsia"/>
          <w:bCs/>
          <w:sz w:val="32"/>
          <w:szCs w:val="32"/>
        </w:rPr>
        <w:t>第九条 在海关监管年限内，免税车辆无故不接受海关年审，未经批准私自转让或非法倒卖者，海关按《海关法》及有关规定予以处理。</w:t>
      </w:r>
    </w:p>
    <w:p>
      <w:pPr>
        <w:pStyle w:val="44"/>
        <w:spacing w:line="560" w:lineRule="exact"/>
        <w:ind w:firstLineChars="200" w:firstLine="640"/>
        <w:rPr>
          <w:rFonts w:eastAsia="方正小标宋_GBK" w:hint="eastAsia"/>
          <w:bCs/>
          <w:sz w:val="32"/>
          <w:szCs w:val="32"/>
        </w:rPr>
      </w:pPr>
      <w:r>
        <w:rPr>
          <w:rFonts w:eastAsia="方正小标宋_GBK" w:hint="eastAsia"/>
          <w:bCs/>
          <w:sz w:val="32"/>
          <w:szCs w:val="32"/>
        </w:rPr>
        <w:t>（三）《海关对回国服务的留学人员购买免税国产汽车管理办法〉操作说明》（署监二〔1992〕1703号）</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一、申请免税手续。回国服务的留学人员向所在地（长期居留或工作地，下称备案堆）海关提出购买免税国产汽车申请时，应由本人填写《自用物品申请表》（下称《申请表》）一式四份并签字后，连同规定须提供的证件及证明文件（正本）交海关验核。</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回国服务的留学人员范围由国家教委负责解释，其身份凭《留学人员证明》认定。“境内居留证明”指本人户口或者省级公安部门出具的长期居留证件。“聘用单位上级主管部门”指各级政府主管部门。经海关签章的有效进境申报单证应具有相应的免税限量和本人从境带进的外汇（含现金和支票）额度。</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海关应按七部委联合通知中指定的免税国产汽车种类范围（列名的生产厂家及汽车牌名型号）办理审批和免（退）税手续。为了给回国留学人员购车提供方便，对入境或在境内购买外汇商品时免税限量未使用完者，海关应该将其出示的《留学人员证明》交还本人妥善保管；对回国人员提出的购车申请，海关因故不能当场办结手续的，应于七日（不包括法定节假日）内予以明确答复。</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已回国的留学人员，其入境申报单证有效期，按署监二（1992）1480号文规定认定；其留学人员身份凭国家教委、我驻外使领馆补办或中央国家机关、省（自治区、直辖市）政府主管部门出具的证明确认。</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二、审批备案手续。海关经办人员对申请购车人提交的有关证件和证明文件与《申请表》填报内容审核无误，经主管处（关）长批准，将《申请表》第三联签注备案；签发《回国人员购买国产汽车准购单》（下称《准购单》）一式四联，以备海关对免税汽车办理准予销售、核销结案及在监管年限内的后续管理手续时使用。</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三、《申请表》与《准购单》同时使用时有效。《自用物品申请表》印发之前，暂以现行的《进出境自用物品申请表》（下称《申请表》）代用，其中各联作用及具体操作要求参照署监二（1991）555号文第五条和监二（一）（1992）770号文第二项要求办理。即，第二联作为监管地海关办理车辆免（退）税手续时使用；由监管地海关签注后退备案地海关的第一联，作为备案地海关对免税车辆实施后续管理的依据；备案地海关留存的第三联供其对免税车辆进行年审及审批过户转让或解除管理手续时使用。第四联交车辆所有人收存。</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《准购单》各联作用如下：</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第一联　系海关备案联。连同经海关签注的《申请表》（第三联）及海关规定须提供的证件复印件和证明文件正本由备案地海关立档备案；</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第二联　系海关存查联。连同加盖备案地海关印章的《申请表》第一、二联由备案地海关转给负责核销出售汽车的生产厂家进口料件的监管地海关（下称监管地海关），作为海关核签汽车销售发票（合同）免（退）税联及核销免税进口料件的依据；</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第三联　系供货凭据联。作为生产厂家出售免税汽车和向海关报请免（退）税的凭据。备案地海关将《准购单》第三、四联和签注的《申请表》第四联做关封，由申请购车人交付汽车生产厂家（或厂家销售部门）报当地海关拆验；</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第四联　系申请人收执联。供申请购车人办理其他有关手续时使用。厂家在海关拆验关封后应将此联连同《申请表》第四联，退还申请购车人。</w:t>
      </w:r>
    </w:p>
    <w:p>
      <w:pPr>
        <w:pStyle w:val="47"/>
        <w:spacing w:line="560" w:lineRule="exact"/>
        <w:rPr>
          <w:rFonts w:ascii="Times New Roman" w:eastAsia="方正仿宋_GBK" w:hAnsi="Times New Roman" w:hint="eastAsia"/>
          <w:bCs/>
          <w:sz w:val="32"/>
          <w:szCs w:val="32"/>
        </w:rPr>
      </w:pPr>
      <w:r>
        <w:rPr>
          <w:rFonts w:ascii="Times New Roman" w:eastAsia="方正仿宋_GBK" w:hAnsi="Times New Roman" w:hint="eastAsia"/>
          <w:bCs/>
          <w:sz w:val="32"/>
          <w:szCs w:val="32"/>
        </w:rPr>
        <w:t>四、购车及核销手续。申请购车人持装有《准购单》和《申请表》的海关关封直接到汽车生产厂家（或到生产厂家设在备案海关所在地的销售门市部）购买汽车。监管地海关应根据备案地海关转来的《准购单》和《申请表》，告知生产厂家准予出售免税汽车的数量及有关情况。生产厂家验凭购车申请人转交的备案地海关关封和监管地海关的通知，按免除各类税费后的外汇价格，以现汇计价供货；应定期向监管地海关报告销售情况，凭经海关签章确认的销售发票（合同）免（退）税联并申请购车人交验的《准购单》第三联原件，报请办理核销结案手续。监管地海关应将签章的销售发票（合同）免（退）退税联复印件和签注过的《申请表》第一联退备案地海关归档。</w:t>
      </w:r>
    </w:p>
    <w:p>
      <w:pPr>
        <w:pStyle w:val="47"/>
        <w:spacing w:line="560" w:lineRule="exact"/>
        <w:rPr>
          <w:rFonts w:ascii="Times New Roman" w:hAnsi="Times New Roman"/>
        </w:rPr>
      </w:pPr>
      <w:r>
        <w:rPr>
          <w:rFonts w:ascii="Times New Roman" w:eastAsia="方正仿宋_GBK" w:hAnsi="Times New Roman" w:hint="eastAsia"/>
          <w:bCs/>
          <w:sz w:val="32"/>
          <w:szCs w:val="32"/>
        </w:rPr>
        <w:t>五、免税车辆年审、过户审让和解除管理手续。经海关批准购买免税国产汽车的上述人员，每年第一季度应主动将其车辆报备案地海关进行年审。为了减少表格，可将年审情况同时记录于车辆所有人收存的《申请表》第四联和海关归档的第三联内，即在表中第二栏以下各栏依次签注年审记录（每次年审记录需有车辆所有人和经办人签字及日期并加盖年份章）。备案地海关对已满监管年限的免税车辆应予办理解除管理手续。海关批准免税车辆过户转让和解除管理的意见，可直接填写在第三、四联的“主管海关批注”栏中，并加盖海关印章，不再另纸行文</w:t>
      </w:r>
    </w:p>
    <w:p>
      <w:pPr>
        <w:pStyle w:val="44"/>
        <w:spacing w:line="560" w:lineRule="exact"/>
        <w:ind w:firstLineChars="200" w:firstLine="640"/>
        <w:rPr>
          <w:rFonts w:eastAsia="方正黑体_GBK" w:hint="eastAsia"/>
          <w:bCs/>
          <w:sz w:val="32"/>
          <w:szCs w:val="32"/>
        </w:rPr>
      </w:pPr>
      <w:r>
        <w:rPr>
          <w:rFonts w:eastAsia="方正黑体_GBK" w:hint="eastAsia"/>
          <w:bCs/>
          <w:sz w:val="32"/>
          <w:szCs w:val="32"/>
        </w:rPr>
        <w:t>四、实施机构：</w:t>
      </w:r>
      <w:r>
        <w:rPr>
          <w:rFonts w:eastAsia="方正仿宋_GBK" w:hint="eastAsia"/>
          <w:bCs/>
          <w:sz w:val="32"/>
          <w:szCs w:val="32"/>
        </w:rPr>
        <w:t>阿拉善海关。</w:t>
      </w:r>
    </w:p>
    <w:p>
      <w:pPr>
        <w:pStyle w:val="44"/>
        <w:spacing w:line="560" w:lineRule="exact"/>
        <w:ind w:firstLineChars="200" w:firstLine="640"/>
        <w:rPr>
          <w:rFonts w:eastAsia="方正黑体_GBK" w:hint="eastAsia"/>
          <w:bCs/>
          <w:sz w:val="32"/>
          <w:szCs w:val="32"/>
        </w:rPr>
      </w:pPr>
      <w:r>
        <w:rPr>
          <w:rFonts w:eastAsia="方正黑体_GBK" w:hint="eastAsia"/>
          <w:bCs/>
          <w:sz w:val="32"/>
          <w:szCs w:val="32"/>
        </w:rPr>
        <w:t>五、法定办结时限：</w:t>
      </w:r>
      <w:r>
        <w:rPr>
          <w:rFonts w:eastAsia="方正仿宋_GBK" w:hint="eastAsia"/>
          <w:bCs/>
          <w:sz w:val="32"/>
          <w:szCs w:val="32"/>
        </w:rPr>
        <w:t>无。</w:t>
      </w:r>
    </w:p>
    <w:p>
      <w:pPr>
        <w:pStyle w:val="44"/>
        <w:spacing w:line="560" w:lineRule="exact"/>
        <w:ind w:firstLineChars="200" w:firstLine="640"/>
        <w:rPr>
          <w:rFonts w:eastAsia="方正黑体_GBK" w:hint="eastAsia"/>
          <w:bCs/>
          <w:sz w:val="32"/>
          <w:szCs w:val="32"/>
        </w:rPr>
      </w:pPr>
      <w:r>
        <w:rPr>
          <w:rFonts w:eastAsia="方正黑体_GBK" w:hint="eastAsia"/>
          <w:bCs/>
          <w:sz w:val="32"/>
          <w:szCs w:val="32"/>
        </w:rPr>
        <w:t>六、承诺办结时限：</w:t>
      </w:r>
      <w:r>
        <w:rPr>
          <w:rFonts w:eastAsia="方正仿宋_GBK" w:hint="eastAsia"/>
          <w:bCs/>
          <w:sz w:val="32"/>
          <w:szCs w:val="32"/>
        </w:rPr>
        <w:t>自接受申请之日起5个工作日内。</w:t>
      </w:r>
    </w:p>
    <w:p>
      <w:pPr>
        <w:pStyle w:val="44"/>
        <w:spacing w:line="560" w:lineRule="exact"/>
        <w:ind w:firstLineChars="200" w:firstLine="640"/>
        <w:rPr>
          <w:rFonts w:eastAsia="方正仿宋_GBK" w:hint="eastAsia"/>
          <w:bCs/>
          <w:sz w:val="32"/>
          <w:szCs w:val="32"/>
        </w:rPr>
      </w:pPr>
      <w:r>
        <w:rPr>
          <w:rFonts w:eastAsia="方正黑体_GBK" w:hint="eastAsia"/>
          <w:bCs/>
          <w:sz w:val="32"/>
          <w:szCs w:val="32"/>
        </w:rPr>
        <w:t>七、结果名称：</w:t>
      </w:r>
      <w:r>
        <w:rPr>
          <w:rFonts w:eastAsia="方正仿宋_GBK" w:hint="eastAsia"/>
          <w:bCs/>
          <w:sz w:val="32"/>
          <w:szCs w:val="32"/>
        </w:rPr>
        <w:t>《中华人民共和国海关回国人员购买国产汽车准购单》。</w:t>
      </w:r>
    </w:p>
    <w:p>
      <w:pPr>
        <w:pStyle w:val="44"/>
        <w:spacing w:line="560" w:lineRule="exact"/>
        <w:ind w:firstLineChars="200" w:firstLine="640"/>
        <w:rPr>
          <w:rFonts w:eastAsia="方正黑体_GBK" w:hint="eastAsia"/>
          <w:bCs/>
          <w:sz w:val="32"/>
          <w:szCs w:val="32"/>
        </w:rPr>
      </w:pPr>
      <w:r>
        <w:rPr>
          <w:rFonts w:eastAsia="方正黑体_GBK" w:hint="eastAsia"/>
          <w:bCs/>
          <w:sz w:val="32"/>
          <w:szCs w:val="32"/>
        </w:rPr>
        <w:t>八、结果样本：</w:t>
      </w:r>
      <w:r>
        <w:rPr>
          <w:rFonts w:eastAsia="方正仿宋_GBK" w:hint="eastAsia"/>
          <w:bCs/>
          <w:sz w:val="32"/>
          <w:szCs w:val="32"/>
        </w:rPr>
        <w:t>见附件。</w:t>
      </w:r>
    </w:p>
    <w:p>
      <w:pPr>
        <w:pStyle w:val="44"/>
        <w:spacing w:line="560" w:lineRule="exact"/>
        <w:ind w:firstLineChars="200" w:firstLine="640"/>
        <w:rPr>
          <w:rFonts w:eastAsia="方正仿宋_GBK" w:hint="eastAsia"/>
          <w:bCs/>
          <w:sz w:val="32"/>
          <w:szCs w:val="32"/>
        </w:rPr>
      </w:pPr>
      <w:r>
        <w:rPr>
          <w:rFonts w:eastAsia="方正黑体_GBK" w:hint="eastAsia"/>
          <w:bCs/>
          <w:sz w:val="32"/>
          <w:szCs w:val="32"/>
        </w:rPr>
        <w:t>九、收费标准：</w:t>
      </w:r>
      <w:r>
        <w:rPr>
          <w:rFonts w:eastAsia="方正仿宋_GBK" w:hint="eastAsia"/>
          <w:bCs/>
          <w:sz w:val="32"/>
          <w:szCs w:val="32"/>
        </w:rPr>
        <w:t>无。</w:t>
      </w:r>
    </w:p>
    <w:p>
      <w:pPr>
        <w:pStyle w:val="44"/>
        <w:spacing w:line="560" w:lineRule="exact"/>
        <w:ind w:firstLineChars="200" w:firstLine="640"/>
        <w:rPr>
          <w:rFonts w:eastAsia="方正仿宋_GBK" w:hint="eastAsia"/>
          <w:bCs/>
          <w:sz w:val="32"/>
          <w:szCs w:val="32"/>
        </w:rPr>
      </w:pPr>
      <w:r>
        <w:rPr>
          <w:rFonts w:eastAsia="方正黑体_GBK" w:hint="eastAsia"/>
          <w:bCs/>
          <w:sz w:val="32"/>
          <w:szCs w:val="32"/>
        </w:rPr>
        <w:t>十、收费依据：</w:t>
      </w:r>
      <w:r>
        <w:rPr>
          <w:rFonts w:eastAsia="方正仿宋_GBK" w:hint="eastAsia"/>
          <w:bCs/>
          <w:sz w:val="32"/>
          <w:szCs w:val="32"/>
        </w:rPr>
        <w:t>无。</w:t>
      </w:r>
    </w:p>
    <w:p>
      <w:pPr>
        <w:pStyle w:val="48"/>
        <w:spacing w:line="560" w:lineRule="exact"/>
        <w:ind w:firstLineChars="200" w:firstLine="640"/>
        <w:rPr>
          <w:rFonts w:eastAsia="方正仿宋_GBK" w:hint="eastAsia"/>
          <w:bCs/>
          <w:sz w:val="32"/>
          <w:szCs w:val="32"/>
        </w:rPr>
      </w:pPr>
      <w:r>
        <w:rPr>
          <w:rFonts w:eastAsia="方正黑体_GBK" w:hint="eastAsia"/>
          <w:bCs/>
          <w:sz w:val="32"/>
          <w:szCs w:val="32"/>
        </w:rPr>
        <w:t>十</w:t>
      </w:r>
      <w:r>
        <w:rPr>
          <w:rFonts w:eastAsia="方正黑体_GBK"/>
          <w:bCs/>
          <w:sz w:val="32"/>
          <w:szCs w:val="32"/>
        </w:rPr>
        <w:t>一</w:t>
      </w:r>
      <w:r>
        <w:rPr>
          <w:rFonts w:eastAsia="方正黑体_GBK" w:hint="eastAsia"/>
          <w:bCs/>
          <w:sz w:val="32"/>
          <w:szCs w:val="32"/>
        </w:rPr>
        <w:t>、申请条件：</w:t>
      </w:r>
      <w:r>
        <w:rPr>
          <w:rFonts w:eastAsia="方正仿宋_GBK" w:hint="eastAsia"/>
          <w:bCs/>
          <w:sz w:val="32"/>
          <w:szCs w:val="32"/>
        </w:rPr>
        <w:t>在境外正规大学（学院）注册学习或进修不少于1学年（9个月），学成后在外停留时间不超过2年，且需自入境之日起1年内提出购买国产免税小汽车的申请，提交《进出境自用物品申请表》、本人有效出入境证件正本和复印件、《留学回国人员证明》、公安部门出具的境内居留证明等证明文件。</w:t>
      </w:r>
    </w:p>
    <w:p>
      <w:pPr>
        <w:pStyle w:val="44"/>
        <w:spacing w:line="560" w:lineRule="exact"/>
        <w:ind w:firstLineChars="200" w:firstLine="640"/>
        <w:rPr>
          <w:rFonts w:eastAsia="方正黑体_GBK" w:hint="eastAsia"/>
          <w:bCs/>
          <w:sz w:val="32"/>
          <w:szCs w:val="32"/>
        </w:rPr>
      </w:pPr>
      <w:r>
        <w:rPr>
          <w:rFonts w:eastAsia="方正黑体_GBK" w:hint="eastAsia"/>
          <w:bCs/>
          <w:sz w:val="32"/>
          <w:szCs w:val="32"/>
        </w:rPr>
        <w:t>十二、申请材料：</w:t>
      </w:r>
    </w:p>
    <w:tbl>
      <w:tblPr>
        <w:jc w:val="cente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58"/>
        <w:gridCol w:w="4402"/>
        <w:gridCol w:w="1258"/>
        <w:gridCol w:w="1079"/>
        <w:gridCol w:w="1078"/>
        <w:gridCol w:w="1079"/>
      </w:tblGrid>
      <w:tr>
        <w:tc>
          <w:tcPr>
            <w:tcW w:w="458" w:type="dxa"/>
            <w:tcBorders>
              <w:tl2br w:val="nil"/>
              <w:tr2bl w:val="nil"/>
            </w:tcBorders>
          </w:tcPr>
          <w:p>
            <w:pPr>
              <w:pStyle w:val="49"/>
              <w:jc w:val="center"/>
              <w:rPr>
                <w:rFonts w:eastAsia="方正黑体_GBK" w:hint="eastAsia"/>
                <w:bCs/>
                <w:sz w:val="28"/>
                <w:szCs w:val="28"/>
              </w:rPr>
            </w:pPr>
            <w:r>
              <w:rPr>
                <w:rFonts w:eastAsia="方正黑体_GBK" w:hint="eastAsia"/>
                <w:bCs/>
                <w:sz w:val="28"/>
                <w:szCs w:val="28"/>
              </w:rPr>
              <w:t>序号</w:t>
            </w:r>
          </w:p>
        </w:tc>
        <w:tc>
          <w:tcPr>
            <w:tcW w:w="4402" w:type="dxa"/>
            <w:tcBorders>
              <w:tl2br w:val="nil"/>
              <w:tr2bl w:val="nil"/>
            </w:tcBorders>
          </w:tcPr>
          <w:p>
            <w:pPr>
              <w:pStyle w:val="50"/>
              <w:jc w:val="center"/>
              <w:rPr>
                <w:rFonts w:eastAsia="方正黑体_GBK" w:hint="eastAsia"/>
                <w:bCs/>
                <w:sz w:val="28"/>
                <w:szCs w:val="28"/>
              </w:rPr>
            </w:pPr>
            <w:r>
              <w:rPr>
                <w:rFonts w:eastAsia="方正黑体_GBK" w:hint="eastAsia"/>
                <w:bCs/>
                <w:sz w:val="28"/>
                <w:szCs w:val="28"/>
              </w:rPr>
              <w:t>材料</w:t>
            </w:r>
          </w:p>
          <w:p>
            <w:pPr>
              <w:pStyle w:val="50"/>
              <w:jc w:val="center"/>
              <w:rPr>
                <w:rFonts w:eastAsia="方正黑体_GBK" w:hint="eastAsia"/>
                <w:bCs/>
                <w:sz w:val="28"/>
                <w:szCs w:val="28"/>
              </w:rPr>
            </w:pPr>
            <w:r>
              <w:rPr>
                <w:rFonts w:eastAsia="方正黑体_GBK" w:hint="eastAsia"/>
                <w:bCs/>
                <w:sz w:val="28"/>
                <w:szCs w:val="28"/>
              </w:rPr>
              <w:t>名录</w:t>
            </w:r>
          </w:p>
        </w:tc>
        <w:tc>
          <w:tcPr>
            <w:tcW w:w="1258" w:type="dxa"/>
            <w:tcBorders>
              <w:tl2br w:val="nil"/>
              <w:tr2bl w:val="nil"/>
            </w:tcBorders>
          </w:tcPr>
          <w:p>
            <w:pPr>
              <w:pStyle w:val="51"/>
              <w:jc w:val="center"/>
              <w:rPr>
                <w:rFonts w:eastAsia="方正黑体_GBK" w:hint="eastAsia"/>
                <w:bCs/>
                <w:sz w:val="28"/>
                <w:szCs w:val="28"/>
              </w:rPr>
            </w:pPr>
            <w:r>
              <w:rPr>
                <w:rFonts w:eastAsia="方正黑体_GBK" w:hint="eastAsia"/>
                <w:bCs/>
                <w:sz w:val="28"/>
                <w:szCs w:val="28"/>
              </w:rPr>
              <w:t>原件</w:t>
            </w:r>
          </w:p>
          <w:p>
            <w:pPr>
              <w:pStyle w:val="51"/>
              <w:jc w:val="center"/>
              <w:rPr>
                <w:rFonts w:eastAsia="方正黑体_GBK" w:hint="eastAsia"/>
                <w:bCs/>
                <w:sz w:val="28"/>
                <w:szCs w:val="28"/>
              </w:rPr>
            </w:pPr>
            <w:r>
              <w:rPr>
                <w:rFonts w:eastAsia="方正黑体_GBK" w:hint="eastAsia"/>
                <w:bCs/>
                <w:sz w:val="28"/>
                <w:szCs w:val="28"/>
              </w:rPr>
              <w:t>/复印件</w:t>
            </w:r>
          </w:p>
        </w:tc>
        <w:tc>
          <w:tcPr>
            <w:tcW w:w="1079" w:type="dxa"/>
            <w:tcBorders>
              <w:tl2br w:val="nil"/>
              <w:tr2bl w:val="nil"/>
            </w:tcBorders>
          </w:tcPr>
          <w:p>
            <w:pPr>
              <w:pStyle w:val="52"/>
              <w:jc w:val="center"/>
              <w:rPr>
                <w:rFonts w:eastAsia="方正黑体_GBK" w:hint="eastAsia"/>
                <w:bCs/>
                <w:sz w:val="28"/>
                <w:szCs w:val="28"/>
              </w:rPr>
            </w:pPr>
            <w:r>
              <w:rPr>
                <w:rFonts w:eastAsia="方正黑体_GBK" w:hint="eastAsia"/>
                <w:bCs/>
                <w:sz w:val="28"/>
                <w:szCs w:val="28"/>
              </w:rPr>
              <w:t>份数</w:t>
            </w:r>
          </w:p>
          <w:p>
            <w:pPr>
              <w:pStyle w:val="52"/>
              <w:jc w:val="center"/>
              <w:rPr>
                <w:rFonts w:eastAsia="方正黑体_GBK" w:hint="eastAsia"/>
                <w:bCs/>
                <w:sz w:val="28"/>
                <w:szCs w:val="28"/>
              </w:rPr>
            </w:pPr>
            <w:r>
              <w:rPr>
                <w:rFonts w:eastAsia="方正黑体_GBK" w:hint="eastAsia"/>
                <w:bCs/>
                <w:sz w:val="28"/>
                <w:szCs w:val="28"/>
              </w:rPr>
              <w:t>（份）</w:t>
            </w:r>
          </w:p>
        </w:tc>
        <w:tc>
          <w:tcPr>
            <w:tcW w:w="1078" w:type="dxa"/>
            <w:tcBorders>
              <w:tl2br w:val="nil"/>
              <w:tr2bl w:val="nil"/>
            </w:tcBorders>
          </w:tcPr>
          <w:p>
            <w:pPr>
              <w:pStyle w:val="53"/>
              <w:jc w:val="center"/>
              <w:rPr>
                <w:rFonts w:eastAsia="方正黑体_GBK" w:hint="eastAsia"/>
                <w:bCs/>
                <w:sz w:val="28"/>
                <w:szCs w:val="28"/>
              </w:rPr>
            </w:pPr>
            <w:r>
              <w:rPr>
                <w:rFonts w:eastAsia="方正黑体_GBK" w:hint="eastAsia"/>
                <w:bCs/>
                <w:sz w:val="28"/>
                <w:szCs w:val="28"/>
              </w:rPr>
              <w:t>纸质</w:t>
            </w:r>
          </w:p>
          <w:p>
            <w:pPr>
              <w:pStyle w:val="53"/>
              <w:jc w:val="center"/>
              <w:rPr>
                <w:rFonts w:eastAsia="方正黑体_GBK" w:hint="eastAsia"/>
                <w:bCs/>
                <w:sz w:val="28"/>
                <w:szCs w:val="28"/>
              </w:rPr>
            </w:pPr>
            <w:r>
              <w:rPr>
                <w:rFonts w:eastAsia="方正黑体_GBK" w:hint="eastAsia"/>
                <w:bCs/>
                <w:sz w:val="28"/>
                <w:szCs w:val="28"/>
              </w:rPr>
              <w:t>/电子</w:t>
            </w:r>
          </w:p>
        </w:tc>
        <w:tc>
          <w:tcPr>
            <w:tcW w:w="1079" w:type="dxa"/>
            <w:tcBorders>
              <w:tl2br w:val="nil"/>
              <w:tr2bl w:val="nil"/>
            </w:tcBorders>
          </w:tcPr>
          <w:p>
            <w:pPr>
              <w:pStyle w:val="54"/>
              <w:spacing w:line="960" w:lineRule="auto"/>
              <w:jc w:val="center"/>
              <w:rPr>
                <w:rFonts w:eastAsia="方正黑体_GBK" w:hint="eastAsia"/>
                <w:bCs/>
                <w:sz w:val="28"/>
                <w:szCs w:val="28"/>
              </w:rPr>
            </w:pPr>
            <w:r>
              <w:rPr>
                <w:rFonts w:eastAsia="方正黑体_GBK" w:hint="eastAsia"/>
                <w:bCs/>
                <w:sz w:val="28"/>
                <w:szCs w:val="28"/>
              </w:rPr>
              <w:t>要求</w:t>
            </w:r>
          </w:p>
        </w:tc>
      </w:tr>
      <w:tr>
        <w:trPr>
          <w:trHeight w:val="604"/>
        </w:trPr>
        <w:tc>
          <w:tcPr>
            <w:tcW w:w="458" w:type="dxa"/>
            <w:tcBorders>
              <w:tl2br w:val="nil"/>
              <w:tr2bl w:val="nil"/>
            </w:tcBorders>
          </w:tcPr>
          <w:p>
            <w:pPr>
              <w:pStyle w:val="55"/>
              <w:spacing w:line="320" w:lineRule="exact"/>
              <w:jc w:val="center"/>
              <w:rPr>
                <w:rFonts w:eastAsia="方正仿宋_GBK" w:hint="eastAsia"/>
                <w:bCs/>
                <w:sz w:val="24"/>
              </w:rPr>
            </w:pPr>
            <w:r>
              <w:rPr>
                <w:rFonts w:eastAsia="方正仿宋_GBK" w:hint="eastAsia"/>
                <w:bCs/>
                <w:sz w:val="24"/>
              </w:rPr>
              <w:t>1</w:t>
            </w:r>
          </w:p>
        </w:tc>
        <w:tc>
          <w:tcPr>
            <w:tcW w:w="4402" w:type="dxa"/>
            <w:tcBorders>
              <w:tl2br w:val="nil"/>
              <w:tr2bl w:val="nil"/>
            </w:tcBorders>
          </w:tcPr>
          <w:p>
            <w:pPr>
              <w:pStyle w:val="56"/>
              <w:spacing w:line="320" w:lineRule="exact"/>
              <w:jc w:val="center"/>
              <w:rPr>
                <w:rFonts w:eastAsia="方正仿宋_GBK" w:hint="eastAsia"/>
                <w:bCs/>
                <w:sz w:val="24"/>
              </w:rPr>
            </w:pPr>
            <w:r>
              <w:rPr>
                <w:rFonts w:eastAsia="方正仿宋_GBK" w:hint="eastAsia"/>
                <w:bCs/>
                <w:sz w:val="24"/>
              </w:rPr>
              <w:t>《中华人民共和国进出境自用物品申请表》</w:t>
            </w:r>
          </w:p>
        </w:tc>
        <w:tc>
          <w:tcPr>
            <w:tcW w:w="1258" w:type="dxa"/>
            <w:tcBorders>
              <w:tl2br w:val="nil"/>
              <w:tr2bl w:val="nil"/>
            </w:tcBorders>
          </w:tcPr>
          <w:p>
            <w:pPr>
              <w:pStyle w:val="57"/>
              <w:spacing w:line="320" w:lineRule="exact"/>
              <w:jc w:val="center"/>
              <w:rPr>
                <w:rFonts w:eastAsia="方正仿宋_GBK" w:hint="eastAsia"/>
                <w:bCs/>
                <w:sz w:val="24"/>
              </w:rPr>
            </w:pPr>
            <w:r>
              <w:rPr>
                <w:rFonts w:eastAsia="方正仿宋_GBK" w:hint="eastAsia"/>
                <w:bCs/>
                <w:sz w:val="24"/>
              </w:rPr>
              <w:t>原件</w:t>
            </w:r>
          </w:p>
        </w:tc>
        <w:tc>
          <w:tcPr>
            <w:tcW w:w="1079" w:type="dxa"/>
            <w:tcBorders>
              <w:tl2br w:val="nil"/>
              <w:tr2bl w:val="nil"/>
            </w:tcBorders>
          </w:tcPr>
          <w:p>
            <w:pPr>
              <w:pStyle w:val="58"/>
              <w:spacing w:line="320" w:lineRule="exact"/>
              <w:jc w:val="center"/>
              <w:rPr>
                <w:rFonts w:eastAsia="方正仿宋_GBK" w:hint="eastAsia"/>
                <w:bCs/>
                <w:sz w:val="24"/>
              </w:rPr>
            </w:pPr>
            <w:r>
              <w:rPr>
                <w:rFonts w:eastAsia="方正仿宋_GBK" w:hint="eastAsia"/>
                <w:bCs/>
                <w:sz w:val="24"/>
              </w:rPr>
              <w:t>1</w:t>
            </w:r>
          </w:p>
        </w:tc>
        <w:tc>
          <w:tcPr>
            <w:tcW w:w="1078" w:type="dxa"/>
            <w:tcBorders>
              <w:tl2br w:val="nil"/>
              <w:tr2bl w:val="nil"/>
            </w:tcBorders>
          </w:tcPr>
          <w:p>
            <w:pPr>
              <w:pStyle w:val="59"/>
              <w:spacing w:line="320" w:lineRule="exact"/>
              <w:jc w:val="center"/>
              <w:rPr>
                <w:rFonts w:eastAsia="方正仿宋_GBK" w:hint="eastAsia"/>
                <w:bCs/>
                <w:sz w:val="24"/>
              </w:rPr>
            </w:pPr>
            <w:r>
              <w:rPr>
                <w:rFonts w:eastAsia="方正仿宋_GBK" w:hint="eastAsia"/>
                <w:bCs/>
                <w:sz w:val="24"/>
              </w:rPr>
              <w:t>纸质</w:t>
            </w:r>
          </w:p>
        </w:tc>
        <w:tc>
          <w:tcPr>
            <w:tcW w:w="1079" w:type="dxa"/>
            <w:tcBorders>
              <w:tl2br w:val="nil"/>
              <w:tr2bl w:val="nil"/>
            </w:tcBorders>
          </w:tcPr>
          <w:p>
            <w:pPr>
              <w:pStyle w:val="60"/>
              <w:spacing w:line="320" w:lineRule="exact"/>
              <w:jc w:val="center"/>
              <w:rPr>
                <w:rFonts w:eastAsia="方正仿宋_GBK" w:hint="eastAsia"/>
                <w:bCs/>
                <w:sz w:val="24"/>
              </w:rPr>
            </w:pPr>
          </w:p>
        </w:tc>
      </w:tr>
      <w:tr>
        <w:trPr>
          <w:trHeight w:val="310"/>
        </w:trPr>
        <w:tc>
          <w:tcPr>
            <w:tcW w:w="458" w:type="dxa"/>
            <w:tcBorders>
              <w:tl2br w:val="nil"/>
              <w:tr2bl w:val="nil"/>
            </w:tcBorders>
          </w:tcPr>
          <w:p>
            <w:pPr>
              <w:pStyle w:val="61"/>
              <w:spacing w:line="320" w:lineRule="exact"/>
              <w:jc w:val="center"/>
              <w:rPr>
                <w:rFonts w:eastAsia="方正仿宋_GBK" w:hint="eastAsia"/>
                <w:bCs/>
                <w:sz w:val="24"/>
              </w:rPr>
            </w:pPr>
            <w:r>
              <w:rPr>
                <w:rFonts w:eastAsia="方正仿宋_GBK" w:hint="eastAsia"/>
                <w:bCs/>
                <w:sz w:val="24"/>
              </w:rPr>
              <w:t>2</w:t>
            </w:r>
          </w:p>
        </w:tc>
        <w:tc>
          <w:tcPr>
            <w:tcW w:w="4402" w:type="dxa"/>
            <w:tcBorders>
              <w:tl2br w:val="nil"/>
              <w:tr2bl w:val="nil"/>
            </w:tcBorders>
          </w:tcPr>
          <w:p>
            <w:pPr>
              <w:pStyle w:val="56"/>
              <w:spacing w:line="320" w:lineRule="exact"/>
              <w:jc w:val="center"/>
              <w:rPr>
                <w:rFonts w:eastAsia="方正仿宋_GBK" w:hint="eastAsia"/>
                <w:bCs/>
                <w:sz w:val="24"/>
              </w:rPr>
            </w:pPr>
            <w:r>
              <w:rPr>
                <w:rFonts w:eastAsia="方正仿宋_GBK" w:hint="eastAsia"/>
                <w:bCs/>
                <w:sz w:val="24"/>
              </w:rPr>
              <w:t>《留学回国人员证明》、《在港澳学习证明》或《大陆居民在台湾地区学习证明</w:t>
            </w:r>
          </w:p>
        </w:tc>
        <w:tc>
          <w:tcPr>
            <w:tcW w:w="1258" w:type="dxa"/>
            <w:tcBorders>
              <w:tl2br w:val="nil"/>
              <w:tr2bl w:val="nil"/>
            </w:tcBorders>
          </w:tcPr>
          <w:p>
            <w:pPr>
              <w:pStyle w:val="62"/>
              <w:spacing w:line="320" w:lineRule="exact"/>
              <w:jc w:val="center"/>
              <w:rPr>
                <w:rFonts w:eastAsia="方正仿宋_GBK" w:hint="eastAsia"/>
                <w:bCs/>
                <w:sz w:val="24"/>
              </w:rPr>
            </w:pPr>
            <w:r>
              <w:rPr>
                <w:rFonts w:eastAsia="方正仿宋_GBK" w:hint="eastAsia"/>
                <w:bCs/>
                <w:sz w:val="24"/>
              </w:rPr>
              <w:t>原件</w:t>
            </w:r>
          </w:p>
        </w:tc>
        <w:tc>
          <w:tcPr>
            <w:tcW w:w="1079" w:type="dxa"/>
            <w:tcBorders>
              <w:tl2br w:val="nil"/>
              <w:tr2bl w:val="nil"/>
            </w:tcBorders>
          </w:tcPr>
          <w:p>
            <w:pPr>
              <w:pStyle w:val="63"/>
              <w:spacing w:line="320" w:lineRule="exact"/>
              <w:jc w:val="center"/>
              <w:rPr>
                <w:rFonts w:eastAsia="方正仿宋_GBK" w:hint="eastAsia"/>
                <w:bCs/>
                <w:sz w:val="24"/>
              </w:rPr>
            </w:pPr>
            <w:r>
              <w:rPr>
                <w:rFonts w:eastAsia="方正仿宋_GBK" w:hint="eastAsia"/>
                <w:bCs/>
                <w:sz w:val="24"/>
              </w:rPr>
              <w:t>1</w:t>
            </w:r>
          </w:p>
        </w:tc>
        <w:tc>
          <w:tcPr>
            <w:tcW w:w="1078" w:type="dxa"/>
            <w:tcBorders>
              <w:tl2br w:val="nil"/>
              <w:tr2bl w:val="nil"/>
            </w:tcBorders>
          </w:tcPr>
          <w:p>
            <w:pPr>
              <w:pStyle w:val="64"/>
              <w:spacing w:line="320" w:lineRule="exact"/>
              <w:jc w:val="center"/>
              <w:rPr>
                <w:rFonts w:eastAsia="方正仿宋_GBK" w:hint="eastAsia"/>
                <w:bCs/>
                <w:sz w:val="24"/>
              </w:rPr>
            </w:pPr>
            <w:r>
              <w:rPr>
                <w:rFonts w:eastAsia="方正仿宋_GBK" w:hint="eastAsia"/>
                <w:bCs/>
                <w:sz w:val="24"/>
              </w:rPr>
              <w:t>纸质</w:t>
            </w:r>
          </w:p>
        </w:tc>
        <w:tc>
          <w:tcPr>
            <w:tcW w:w="1079" w:type="dxa"/>
            <w:tcBorders>
              <w:tl2br w:val="nil"/>
              <w:tr2bl w:val="nil"/>
            </w:tcBorders>
          </w:tcPr>
          <w:p>
            <w:pPr>
              <w:pStyle w:val="65"/>
              <w:spacing w:line="320" w:lineRule="exact"/>
              <w:jc w:val="center"/>
              <w:rPr>
                <w:rFonts w:eastAsia="方正仿宋_GBK" w:hint="eastAsia"/>
                <w:bCs/>
                <w:sz w:val="24"/>
              </w:rPr>
            </w:pPr>
          </w:p>
        </w:tc>
      </w:tr>
      <w:tr>
        <w:tc>
          <w:tcPr>
            <w:tcW w:w="458" w:type="dxa"/>
            <w:tcBorders>
              <w:tl2br w:val="nil"/>
              <w:tr2bl w:val="nil"/>
            </w:tcBorders>
          </w:tcPr>
          <w:p>
            <w:pPr>
              <w:pStyle w:val="66"/>
              <w:spacing w:line="320" w:lineRule="exact"/>
              <w:jc w:val="center"/>
              <w:rPr>
                <w:rFonts w:eastAsia="方正仿宋_GBK" w:hint="eastAsia"/>
                <w:bCs/>
                <w:sz w:val="24"/>
              </w:rPr>
            </w:pPr>
            <w:r>
              <w:rPr>
                <w:rFonts w:eastAsia="方正仿宋_GBK" w:hint="eastAsia"/>
                <w:bCs/>
                <w:sz w:val="24"/>
              </w:rPr>
              <w:t>3</w:t>
            </w:r>
          </w:p>
        </w:tc>
        <w:tc>
          <w:tcPr>
            <w:tcW w:w="4402" w:type="dxa"/>
            <w:tcBorders>
              <w:tl2br w:val="nil"/>
              <w:tr2bl w:val="nil"/>
            </w:tcBorders>
          </w:tcPr>
          <w:p>
            <w:pPr>
              <w:pStyle w:val="56"/>
              <w:spacing w:line="320" w:lineRule="exact"/>
              <w:jc w:val="center"/>
              <w:rPr>
                <w:rFonts w:eastAsia="方正仿宋_GBK" w:hint="eastAsia"/>
                <w:bCs/>
                <w:sz w:val="24"/>
              </w:rPr>
            </w:pPr>
            <w:r>
              <w:rPr>
                <w:rFonts w:eastAsia="方正仿宋_GBK" w:hint="eastAsia"/>
                <w:bCs/>
                <w:sz w:val="24"/>
              </w:rPr>
              <w:t>学历（学位）证书</w:t>
            </w:r>
          </w:p>
        </w:tc>
        <w:tc>
          <w:tcPr>
            <w:tcW w:w="1258" w:type="dxa"/>
            <w:tcBorders>
              <w:tl2br w:val="nil"/>
              <w:tr2bl w:val="nil"/>
            </w:tcBorders>
          </w:tcPr>
          <w:p>
            <w:pPr>
              <w:pStyle w:val="67"/>
              <w:spacing w:line="320" w:lineRule="exact"/>
              <w:jc w:val="center"/>
              <w:rPr>
                <w:rFonts w:eastAsia="方正仿宋_GBK" w:hint="eastAsia"/>
                <w:bCs/>
                <w:sz w:val="24"/>
              </w:rPr>
            </w:pPr>
            <w:r>
              <w:rPr>
                <w:rFonts w:eastAsia="方正仿宋_GBK" w:hint="eastAsia"/>
                <w:bCs/>
                <w:sz w:val="24"/>
              </w:rPr>
              <w:t>皆可</w:t>
            </w:r>
          </w:p>
        </w:tc>
        <w:tc>
          <w:tcPr>
            <w:tcW w:w="1079" w:type="dxa"/>
            <w:tcBorders>
              <w:tl2br w:val="nil"/>
              <w:tr2bl w:val="nil"/>
            </w:tcBorders>
          </w:tcPr>
          <w:p>
            <w:pPr>
              <w:pStyle w:val="68"/>
              <w:spacing w:line="320" w:lineRule="exact"/>
              <w:jc w:val="center"/>
              <w:rPr>
                <w:rFonts w:eastAsia="方正仿宋_GBK" w:hint="eastAsia"/>
                <w:bCs/>
                <w:sz w:val="24"/>
              </w:rPr>
            </w:pPr>
            <w:r>
              <w:rPr>
                <w:rFonts w:eastAsia="方正仿宋_GBK" w:hint="eastAsia"/>
                <w:bCs/>
                <w:sz w:val="24"/>
              </w:rPr>
              <w:t>1</w:t>
            </w:r>
          </w:p>
        </w:tc>
        <w:tc>
          <w:tcPr>
            <w:tcW w:w="1078" w:type="dxa"/>
            <w:tcBorders>
              <w:tl2br w:val="nil"/>
              <w:tr2bl w:val="nil"/>
            </w:tcBorders>
          </w:tcPr>
          <w:p>
            <w:pPr>
              <w:pStyle w:val="69"/>
              <w:spacing w:line="320" w:lineRule="exact"/>
              <w:jc w:val="center"/>
              <w:rPr>
                <w:rFonts w:eastAsia="方正仿宋_GBK" w:hint="eastAsia"/>
                <w:bCs/>
                <w:sz w:val="24"/>
              </w:rPr>
            </w:pPr>
            <w:r>
              <w:rPr>
                <w:rFonts w:eastAsia="方正仿宋_GBK" w:hint="eastAsia"/>
                <w:bCs/>
                <w:sz w:val="24"/>
              </w:rPr>
              <w:t>纸质</w:t>
            </w:r>
          </w:p>
        </w:tc>
        <w:tc>
          <w:tcPr>
            <w:tcW w:w="1079" w:type="dxa"/>
            <w:tcBorders>
              <w:tl2br w:val="nil"/>
              <w:tr2bl w:val="nil"/>
            </w:tcBorders>
          </w:tcPr>
          <w:p>
            <w:pPr>
              <w:pStyle w:val="70"/>
              <w:spacing w:line="320" w:lineRule="exact"/>
              <w:jc w:val="center"/>
              <w:rPr>
                <w:rFonts w:eastAsia="方正仿宋_GBK" w:hint="eastAsia"/>
                <w:bCs/>
                <w:sz w:val="24"/>
              </w:rPr>
            </w:pPr>
          </w:p>
        </w:tc>
      </w:tr>
      <w:tr>
        <w:tc>
          <w:tcPr>
            <w:tcW w:w="458" w:type="dxa"/>
            <w:tcBorders>
              <w:tl2br w:val="nil"/>
              <w:tr2bl w:val="nil"/>
            </w:tcBorders>
          </w:tcPr>
          <w:p>
            <w:pPr>
              <w:pStyle w:val="71"/>
              <w:spacing w:line="320" w:lineRule="exact"/>
              <w:jc w:val="center"/>
              <w:rPr>
                <w:rFonts w:eastAsia="方正仿宋_GBK" w:hint="eastAsia"/>
                <w:bCs/>
                <w:sz w:val="24"/>
              </w:rPr>
            </w:pPr>
            <w:r>
              <w:rPr>
                <w:rFonts w:eastAsia="方正仿宋_GBK" w:hint="eastAsia"/>
                <w:bCs/>
                <w:sz w:val="24"/>
              </w:rPr>
              <w:t>4</w:t>
            </w:r>
          </w:p>
        </w:tc>
        <w:tc>
          <w:tcPr>
            <w:tcW w:w="4402" w:type="dxa"/>
            <w:tcBorders>
              <w:tl2br w:val="nil"/>
              <w:tr2bl w:val="nil"/>
            </w:tcBorders>
          </w:tcPr>
          <w:p>
            <w:pPr>
              <w:pStyle w:val="56"/>
              <w:spacing w:line="320" w:lineRule="exact"/>
              <w:jc w:val="center"/>
              <w:rPr>
                <w:rFonts w:eastAsia="方正仿宋_GBK" w:hint="eastAsia"/>
                <w:bCs/>
                <w:sz w:val="24"/>
              </w:rPr>
            </w:pPr>
            <w:r>
              <w:rPr>
                <w:rFonts w:eastAsia="方正仿宋_GBK" w:hint="eastAsia"/>
                <w:bCs/>
                <w:sz w:val="24"/>
              </w:rPr>
              <w:t>护照、往来港澳通行证或大陆居民往来台湾通行证</w:t>
            </w:r>
            <w:r>
              <w:rPr>
                <w:rFonts w:eastAsia="方正仿宋_GBK"/>
                <w:bCs/>
                <w:sz w:val="24"/>
              </w:rPr>
              <w:t>？</w:t>
            </w:r>
          </w:p>
        </w:tc>
        <w:tc>
          <w:tcPr>
            <w:tcW w:w="1258" w:type="dxa"/>
            <w:tcBorders>
              <w:tl2br w:val="nil"/>
              <w:tr2bl w:val="nil"/>
            </w:tcBorders>
          </w:tcPr>
          <w:p>
            <w:pPr>
              <w:pStyle w:val="56"/>
              <w:spacing w:line="320" w:lineRule="exact"/>
              <w:jc w:val="center"/>
              <w:rPr>
                <w:rFonts w:eastAsia="方正仿宋_GBK" w:hint="eastAsia"/>
                <w:bCs/>
                <w:sz w:val="24"/>
              </w:rPr>
            </w:pPr>
            <w:r>
              <w:rPr>
                <w:rFonts w:eastAsia="方正仿宋_GBK" w:hint="eastAsia"/>
                <w:bCs/>
                <w:sz w:val="24"/>
              </w:rPr>
              <w:t>原件和复印件</w:t>
            </w:r>
          </w:p>
        </w:tc>
        <w:tc>
          <w:tcPr>
            <w:tcW w:w="1079" w:type="dxa"/>
            <w:tcBorders>
              <w:tl2br w:val="nil"/>
              <w:tr2bl w:val="nil"/>
            </w:tcBorders>
          </w:tcPr>
          <w:p>
            <w:pPr>
              <w:pStyle w:val="72"/>
              <w:spacing w:line="320" w:lineRule="exact"/>
              <w:jc w:val="center"/>
              <w:rPr>
                <w:rFonts w:eastAsia="方正仿宋_GBK" w:hint="eastAsia"/>
                <w:bCs/>
                <w:sz w:val="24"/>
              </w:rPr>
            </w:pPr>
            <w:r>
              <w:rPr>
                <w:rFonts w:eastAsia="方正仿宋_GBK" w:hint="eastAsia"/>
                <w:bCs/>
                <w:sz w:val="24"/>
              </w:rPr>
              <w:t>1</w:t>
            </w:r>
          </w:p>
        </w:tc>
        <w:tc>
          <w:tcPr>
            <w:tcW w:w="1078" w:type="dxa"/>
            <w:tcBorders>
              <w:tl2br w:val="nil"/>
              <w:tr2bl w:val="nil"/>
            </w:tcBorders>
          </w:tcPr>
          <w:p>
            <w:pPr>
              <w:pStyle w:val="73"/>
              <w:spacing w:line="320" w:lineRule="exact"/>
              <w:jc w:val="center"/>
              <w:rPr>
                <w:rFonts w:eastAsia="方正仿宋_GBK" w:hint="eastAsia"/>
                <w:bCs/>
                <w:sz w:val="24"/>
              </w:rPr>
            </w:pPr>
            <w:r>
              <w:rPr>
                <w:rFonts w:eastAsia="方正仿宋_GBK" w:hint="eastAsia"/>
                <w:bCs/>
                <w:sz w:val="24"/>
              </w:rPr>
              <w:t>纸质</w:t>
            </w:r>
          </w:p>
        </w:tc>
        <w:tc>
          <w:tcPr>
            <w:tcW w:w="1079" w:type="dxa"/>
            <w:tcBorders>
              <w:tl2br w:val="nil"/>
              <w:tr2bl w:val="nil"/>
            </w:tcBorders>
          </w:tcPr>
          <w:p>
            <w:pPr>
              <w:pStyle w:val="45"/>
              <w:spacing w:line="320" w:lineRule="exact"/>
              <w:jc w:val="center"/>
              <w:rPr>
                <w:rFonts w:eastAsia="方正仿宋_GBK" w:hint="eastAsia"/>
                <w:bCs/>
                <w:sz w:val="24"/>
              </w:rPr>
            </w:pPr>
          </w:p>
        </w:tc>
      </w:tr>
      <w:tr>
        <w:trPr>
          <w:trHeight w:val="408"/>
        </w:trPr>
        <w:tc>
          <w:tcPr>
            <w:tcW w:w="458" w:type="dxa"/>
            <w:tcBorders>
              <w:tl2br w:val="nil"/>
              <w:tr2bl w:val="nil"/>
            </w:tcBorders>
          </w:tcPr>
          <w:p>
            <w:pPr>
              <w:pStyle w:val="71"/>
              <w:spacing w:line="320" w:lineRule="exact"/>
              <w:jc w:val="center"/>
              <w:rPr>
                <w:rFonts w:eastAsia="方正仿宋_GBK" w:hint="eastAsia"/>
                <w:bCs/>
                <w:sz w:val="24"/>
              </w:rPr>
            </w:pPr>
            <w:r>
              <w:rPr>
                <w:rFonts w:eastAsia="方正仿宋_GBK" w:hint="eastAsia"/>
                <w:bCs/>
                <w:sz w:val="24"/>
              </w:rPr>
              <w:t>5</w:t>
            </w:r>
          </w:p>
        </w:tc>
        <w:tc>
          <w:tcPr>
            <w:tcW w:w="4402" w:type="dxa"/>
            <w:tcBorders>
              <w:tl2br w:val="nil"/>
              <w:tr2bl w:val="nil"/>
            </w:tcBorders>
          </w:tcPr>
          <w:p>
            <w:pPr>
              <w:pStyle w:val="56"/>
              <w:spacing w:line="320" w:lineRule="exact"/>
              <w:jc w:val="center"/>
              <w:rPr>
                <w:rFonts w:eastAsia="方正仿宋_GBK" w:hint="eastAsia"/>
                <w:bCs/>
                <w:szCs w:val="21"/>
              </w:rPr>
            </w:pPr>
            <w:r>
              <w:rPr>
                <w:rFonts w:eastAsia="方正仿宋_GBK" w:hint="eastAsia"/>
                <w:bCs/>
                <w:szCs w:val="21"/>
              </w:rPr>
              <w:t>公安部门出具的境内居留证明</w:t>
            </w:r>
          </w:p>
        </w:tc>
        <w:tc>
          <w:tcPr>
            <w:tcW w:w="1258" w:type="dxa"/>
            <w:tcBorders>
              <w:tl2br w:val="nil"/>
              <w:tr2bl w:val="nil"/>
            </w:tcBorders>
          </w:tcPr>
          <w:p>
            <w:pPr>
              <w:pStyle w:val="56"/>
              <w:spacing w:line="320" w:lineRule="exact"/>
              <w:jc w:val="center"/>
              <w:rPr>
                <w:rFonts w:eastAsia="方正仿宋_GBK" w:hint="eastAsia"/>
                <w:bCs/>
                <w:sz w:val="24"/>
              </w:rPr>
            </w:pPr>
            <w:r>
              <w:rPr>
                <w:rFonts w:eastAsia="方正仿宋_GBK" w:hint="eastAsia"/>
                <w:bCs/>
                <w:sz w:val="24"/>
              </w:rPr>
              <w:t>原件</w:t>
            </w:r>
          </w:p>
        </w:tc>
        <w:tc>
          <w:tcPr>
            <w:tcW w:w="1079" w:type="dxa"/>
            <w:tcBorders>
              <w:tl2br w:val="nil"/>
              <w:tr2bl w:val="nil"/>
            </w:tcBorders>
          </w:tcPr>
          <w:p>
            <w:pPr>
              <w:pStyle w:val="74"/>
              <w:spacing w:line="320" w:lineRule="exact"/>
              <w:jc w:val="center"/>
              <w:rPr>
                <w:rFonts w:eastAsia="方正仿宋_GBK" w:hint="eastAsia"/>
                <w:bCs/>
                <w:sz w:val="24"/>
              </w:rPr>
            </w:pPr>
            <w:r>
              <w:rPr>
                <w:rFonts w:eastAsia="方正仿宋_GBK" w:hint="eastAsia"/>
                <w:bCs/>
                <w:sz w:val="24"/>
              </w:rPr>
              <w:t>1</w:t>
            </w:r>
          </w:p>
        </w:tc>
        <w:tc>
          <w:tcPr>
            <w:tcW w:w="1078" w:type="dxa"/>
            <w:tcBorders>
              <w:tl2br w:val="nil"/>
              <w:tr2bl w:val="nil"/>
            </w:tcBorders>
          </w:tcPr>
          <w:p>
            <w:pPr>
              <w:pStyle w:val="75"/>
              <w:spacing w:line="320" w:lineRule="exact"/>
              <w:jc w:val="center"/>
              <w:rPr>
                <w:rFonts w:eastAsia="方正仿宋_GBK" w:hint="eastAsia"/>
                <w:bCs/>
                <w:sz w:val="24"/>
              </w:rPr>
            </w:pPr>
            <w:r>
              <w:rPr>
                <w:rFonts w:eastAsia="方正仿宋_GBK" w:hint="eastAsia"/>
                <w:bCs/>
                <w:sz w:val="24"/>
              </w:rPr>
              <w:t>纸质</w:t>
            </w:r>
          </w:p>
        </w:tc>
        <w:tc>
          <w:tcPr>
            <w:tcW w:w="1079" w:type="dxa"/>
            <w:tcBorders>
              <w:tl2br w:val="nil"/>
              <w:tr2bl w:val="nil"/>
            </w:tcBorders>
          </w:tcPr>
          <w:p>
            <w:pPr>
              <w:pStyle w:val="45"/>
              <w:spacing w:line="320" w:lineRule="exact"/>
              <w:jc w:val="center"/>
              <w:rPr>
                <w:rFonts w:eastAsia="方正仿宋_GBK" w:hint="eastAsia"/>
                <w:bCs/>
                <w:sz w:val="24"/>
              </w:rPr>
            </w:pPr>
          </w:p>
        </w:tc>
      </w:tr>
      <w:tr>
        <w:tc>
          <w:tcPr>
            <w:tcW w:w="458" w:type="dxa"/>
            <w:tcBorders>
              <w:tl2br w:val="nil"/>
              <w:tr2bl w:val="nil"/>
            </w:tcBorders>
          </w:tcPr>
          <w:p>
            <w:pPr>
              <w:pStyle w:val="71"/>
              <w:spacing w:line="320" w:lineRule="exact"/>
              <w:jc w:val="center"/>
              <w:rPr>
                <w:rFonts w:eastAsia="方正仿宋_GBK" w:hint="eastAsia"/>
                <w:bCs/>
                <w:sz w:val="24"/>
              </w:rPr>
            </w:pPr>
            <w:r>
              <w:rPr>
                <w:rFonts w:eastAsia="方正仿宋_GBK" w:hint="eastAsia"/>
                <w:bCs/>
                <w:sz w:val="24"/>
              </w:rPr>
              <w:t>6</w:t>
            </w:r>
          </w:p>
        </w:tc>
        <w:tc>
          <w:tcPr>
            <w:tcW w:w="4402" w:type="dxa"/>
            <w:tcBorders>
              <w:tl2br w:val="nil"/>
              <w:tr2bl w:val="nil"/>
            </w:tcBorders>
          </w:tcPr>
          <w:p>
            <w:pPr>
              <w:pStyle w:val="56"/>
              <w:spacing w:line="320" w:lineRule="exact"/>
              <w:jc w:val="center"/>
              <w:rPr>
                <w:rFonts w:eastAsia="方正仿宋_GBK" w:hint="eastAsia"/>
                <w:bCs/>
                <w:sz w:val="24"/>
              </w:rPr>
            </w:pPr>
            <w:r>
              <w:rPr>
                <w:rFonts w:eastAsia="方正仿宋_GBK" w:hint="eastAsia"/>
                <w:bCs/>
                <w:sz w:val="24"/>
              </w:rPr>
              <w:t>在学期间出入境章或出入境记录</w:t>
            </w:r>
          </w:p>
        </w:tc>
        <w:tc>
          <w:tcPr>
            <w:tcW w:w="1258" w:type="dxa"/>
            <w:tcBorders>
              <w:tl2br w:val="nil"/>
              <w:tr2bl w:val="nil"/>
            </w:tcBorders>
          </w:tcPr>
          <w:p>
            <w:pPr>
              <w:pStyle w:val="56"/>
              <w:spacing w:line="320" w:lineRule="exact"/>
              <w:jc w:val="center"/>
              <w:rPr>
                <w:rFonts w:eastAsia="方正仿宋_GBK" w:hint="eastAsia"/>
                <w:bCs/>
                <w:sz w:val="24"/>
              </w:rPr>
            </w:pPr>
            <w:r>
              <w:rPr>
                <w:rFonts w:eastAsia="方正仿宋_GBK" w:hint="eastAsia"/>
                <w:bCs/>
                <w:sz w:val="24"/>
              </w:rPr>
              <w:t>皆可</w:t>
            </w:r>
          </w:p>
        </w:tc>
        <w:tc>
          <w:tcPr>
            <w:tcW w:w="1079" w:type="dxa"/>
            <w:tcBorders>
              <w:tl2br w:val="nil"/>
              <w:tr2bl w:val="nil"/>
            </w:tcBorders>
          </w:tcPr>
          <w:p>
            <w:pPr>
              <w:pStyle w:val="76"/>
              <w:spacing w:line="320" w:lineRule="exact"/>
              <w:jc w:val="center"/>
              <w:rPr>
                <w:rFonts w:eastAsia="方正仿宋_GBK" w:hint="eastAsia"/>
                <w:bCs/>
                <w:sz w:val="24"/>
              </w:rPr>
            </w:pPr>
            <w:r>
              <w:rPr>
                <w:rFonts w:eastAsia="方正仿宋_GBK" w:hint="eastAsia"/>
                <w:bCs/>
                <w:sz w:val="24"/>
              </w:rPr>
              <w:t>1</w:t>
            </w:r>
          </w:p>
        </w:tc>
        <w:tc>
          <w:tcPr>
            <w:tcW w:w="1078" w:type="dxa"/>
            <w:tcBorders>
              <w:tl2br w:val="nil"/>
              <w:tr2bl w:val="nil"/>
            </w:tcBorders>
          </w:tcPr>
          <w:p>
            <w:pPr>
              <w:pStyle w:val="77"/>
              <w:spacing w:line="320" w:lineRule="exact"/>
              <w:jc w:val="center"/>
              <w:rPr>
                <w:rFonts w:eastAsia="方正仿宋_GBK" w:hint="eastAsia"/>
                <w:bCs/>
                <w:sz w:val="24"/>
              </w:rPr>
            </w:pPr>
            <w:r>
              <w:rPr>
                <w:rFonts w:eastAsia="方正仿宋_GBK" w:hint="eastAsia"/>
                <w:bCs/>
                <w:sz w:val="24"/>
              </w:rPr>
              <w:t>纸质</w:t>
            </w:r>
          </w:p>
        </w:tc>
        <w:tc>
          <w:tcPr>
            <w:tcW w:w="1079" w:type="dxa"/>
            <w:tcBorders>
              <w:tl2br w:val="nil"/>
              <w:tr2bl w:val="nil"/>
            </w:tcBorders>
          </w:tcPr>
          <w:p>
            <w:pPr>
              <w:pStyle w:val="45"/>
              <w:spacing w:line="320" w:lineRule="exact"/>
              <w:jc w:val="center"/>
              <w:rPr>
                <w:rFonts w:eastAsia="方正仿宋_GBK" w:hint="eastAsia"/>
                <w:bCs/>
                <w:sz w:val="24"/>
              </w:rPr>
            </w:pPr>
          </w:p>
        </w:tc>
      </w:tr>
    </w:tbl>
    <w:p>
      <w:pPr>
        <w:pStyle w:val="44"/>
        <w:spacing w:line="560" w:lineRule="exact"/>
        <w:ind w:firstLineChars="200" w:firstLine="640"/>
        <w:rPr>
          <w:rFonts w:eastAsia="方正黑体_GBK" w:hint="eastAsia"/>
          <w:sz w:val="32"/>
          <w:szCs w:val="32"/>
        </w:rPr>
      </w:pPr>
      <w:r>
        <w:rPr>
          <w:rFonts w:eastAsia="方正黑体_GBK" w:hint="eastAsia"/>
          <w:bCs/>
          <w:sz w:val="32"/>
          <w:szCs w:val="32"/>
        </w:rPr>
        <w:t>十三、</w:t>
      </w:r>
      <w:r>
        <w:rPr>
          <w:rFonts w:eastAsia="方正黑体_GBK" w:hint="eastAsia"/>
          <w:sz w:val="32"/>
          <w:szCs w:val="32"/>
        </w:rPr>
        <w:t>办理流程：</w:t>
      </w:r>
    </w:p>
    <w:p>
      <w:pPr>
        <w:pStyle w:val="44"/>
        <w:spacing w:line="560" w:lineRule="exact"/>
        <w:ind w:firstLineChars="200" w:firstLine="640"/>
        <w:rPr>
          <w:rFonts w:eastAsia="方正仿宋_GBK" w:hint="eastAsia"/>
          <w:bCs/>
          <w:sz w:val="32"/>
          <w:szCs w:val="32"/>
        </w:rPr>
      </w:pPr>
      <w:r>
        <w:rPr>
          <w:rFonts w:eastAsia="方正仿宋_GBK" w:hint="eastAsia"/>
          <w:bCs/>
          <w:sz w:val="32"/>
          <w:szCs w:val="32"/>
        </w:rPr>
        <w:t>（一）回国服务的留学人员向阿拉善（长期居留或工作地）海关提出购买免税国产汽车申请时，应由本人填写《自用物品申请表》一式四份并签字，通过中国国际贸易单一窗口或“海关</w:t>
      </w:r>
      <w:r>
        <w:rPr>
          <w:rFonts w:eastAsia="方正仿宋_GBK"/>
          <w:bCs/>
          <w:sz w:val="32"/>
          <w:szCs w:val="32"/>
        </w:rPr>
        <w:t>政务服务</w:t>
      </w:r>
      <w:r>
        <w:rPr>
          <w:rFonts w:eastAsia="方正仿宋_GBK" w:hint="eastAsia"/>
          <w:bCs/>
          <w:sz w:val="32"/>
          <w:szCs w:val="32"/>
        </w:rPr>
        <w:t>”平台录入电子数据并向主管海关发送数据，后将规定中须提供的证件及证明文件（正本）交阿拉善海关验核。</w:t>
      </w:r>
    </w:p>
    <w:p>
      <w:pPr>
        <w:pStyle w:val="44"/>
        <w:spacing w:line="560" w:lineRule="exact"/>
        <w:ind w:firstLineChars="200" w:firstLine="640"/>
        <w:rPr>
          <w:rFonts w:eastAsia="方正仿宋_GBK" w:hint="eastAsia"/>
          <w:bCs/>
          <w:sz w:val="32"/>
          <w:szCs w:val="32"/>
        </w:rPr>
      </w:pPr>
      <w:r>
        <w:rPr>
          <w:rFonts w:eastAsia="方正仿宋_GBK" w:hint="eastAsia"/>
          <w:bCs/>
          <w:sz w:val="32"/>
          <w:szCs w:val="32"/>
        </w:rPr>
        <w:t>（二）阿拉善海关审核通过后，制作关封交留学人员到监管地海关办理签注手续。</w:t>
      </w:r>
    </w:p>
    <w:p>
      <w:pPr>
        <w:pStyle w:val="44"/>
        <w:spacing w:line="560" w:lineRule="exact"/>
        <w:ind w:firstLineChars="200" w:firstLine="640"/>
        <w:rPr>
          <w:rFonts w:eastAsia="方正仿宋_GBK" w:hint="eastAsia"/>
          <w:bCs/>
          <w:sz w:val="32"/>
          <w:szCs w:val="32"/>
        </w:rPr>
      </w:pPr>
      <w:r>
        <w:rPr>
          <w:rFonts w:eastAsia="方正仿宋_GBK" w:hint="eastAsia"/>
          <w:bCs/>
          <w:sz w:val="32"/>
          <w:szCs w:val="32"/>
        </w:rPr>
        <w:t>（三）留学生凭签注后的资料到汽车生产厂家办理有关手续，购车后凭厂家购销发票到主管海关领取《准购单》第四联，凭准购单在税务部门办理免购置车辆附加税手续。</w:t>
      </w:r>
    </w:p>
    <w:p>
      <w:pPr>
        <w:pStyle w:val="44"/>
        <w:spacing w:line="560" w:lineRule="exact"/>
        <w:ind w:firstLineChars="200" w:firstLine="640"/>
        <w:rPr>
          <w:rFonts w:eastAsia="方正仿宋_GBK" w:hint="eastAsia"/>
          <w:bCs/>
          <w:sz w:val="32"/>
          <w:szCs w:val="32"/>
        </w:rPr>
      </w:pPr>
      <w:r>
        <w:rPr>
          <w:rFonts w:eastAsia="方正仿宋_GBK" w:hint="eastAsia"/>
          <w:bCs/>
          <w:sz w:val="32"/>
          <w:szCs w:val="32"/>
        </w:rPr>
        <w:t>（四）办理流程图：</w:t>
      </w:r>
    </w:p>
    <w:p>
      <w:pPr>
        <w:pStyle w:val="44"/>
        <w:jc w:val="center"/>
        <w:rPr>
          <w:rFonts w:eastAsia="方正仿宋_GBK" w:hint="eastAsia"/>
          <w:bCs/>
          <w:sz w:val="32"/>
          <w:szCs w:val="32"/>
        </w:rPr>
      </w:pPr>
    </w:p>
    <w:p>
      <w:pPr>
        <w:pStyle w:val="44"/>
        <w:spacing w:line="560" w:lineRule="exact"/>
        <w:ind w:firstLineChars="200" w:firstLine="640"/>
        <w:rPr>
          <w:rFonts w:eastAsia="方正黑体_GBK"/>
          <w:bCs/>
          <w:sz w:val="32"/>
          <w:szCs w:val="32"/>
        </w:rPr>
      </w:pPr>
    </w:p>
    <w:p>
      <w:pPr>
        <w:pStyle w:val="44"/>
        <w:spacing w:line="560" w:lineRule="exact"/>
        <w:ind w:firstLineChars="200" w:firstLine="420"/>
        <w:rPr>
          <w:rFonts w:eastAsia="方正黑体_GBK"/>
          <w:bCs/>
          <w:sz w:val="32"/>
          <w:szCs w:val="32"/>
        </w:rPr>
      </w:pPr>
      <w:r>
        <w:rPr>
          <w:lang w:val="en-US" w:eastAsia="zh-CN"/>
        </w:rP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position:absolute;margin-left:-1.0pt;margin-top:1.45pt;width:423.9pt;height:266.50003pt;z-index:-5;mso-position-horizontal:absolute;mso-position-vertical:absolute;mso-wrap-distance-left:8.999863pt;mso-wrap-distance-right:8.999863pt;" o:ole="">
            <v:stroke color="#000000"/>
            <v:imagedata r:id="rId2" o:title="909477361781517711382"/>
            <o:lock aspectratio="t"/>
          </v:shape>
          <o:OLEObject Type="Embed" ProgID="Package" ShapeID="_x0000_i1" DrawAspect="Content" ObjectID="_1393063351" r:id="rId3"/>
        </w:object>
      </w:r>
    </w:p>
    <w:p>
      <w:pPr>
        <w:pStyle w:val="44"/>
        <w:spacing w:line="560" w:lineRule="exact"/>
        <w:ind w:firstLineChars="200" w:firstLine="640"/>
        <w:rPr>
          <w:rFonts w:eastAsia="方正黑体_GBK"/>
          <w:bCs/>
          <w:sz w:val="32"/>
          <w:szCs w:val="32"/>
        </w:rPr>
      </w:pPr>
    </w:p>
    <w:p>
      <w:pPr>
        <w:pStyle w:val="44"/>
        <w:spacing w:line="560" w:lineRule="exact"/>
        <w:ind w:firstLineChars="200" w:firstLine="640"/>
        <w:rPr>
          <w:rFonts w:eastAsia="方正黑体_GBK"/>
          <w:bCs/>
          <w:sz w:val="32"/>
          <w:szCs w:val="32"/>
        </w:rPr>
      </w:pPr>
    </w:p>
    <w:p>
      <w:pPr>
        <w:pStyle w:val="44"/>
        <w:spacing w:line="560" w:lineRule="exact"/>
        <w:ind w:firstLineChars="200" w:firstLine="640"/>
        <w:rPr>
          <w:rFonts w:eastAsia="方正黑体_GBK"/>
          <w:bCs/>
          <w:sz w:val="32"/>
          <w:szCs w:val="32"/>
        </w:rPr>
      </w:pPr>
    </w:p>
    <w:p>
      <w:pPr>
        <w:pStyle w:val="44"/>
        <w:spacing w:line="560" w:lineRule="exact"/>
        <w:ind w:firstLineChars="200" w:firstLine="640"/>
        <w:rPr>
          <w:rFonts w:eastAsia="方正黑体_GBK"/>
          <w:bCs/>
          <w:sz w:val="32"/>
          <w:szCs w:val="32"/>
        </w:rPr>
      </w:pPr>
    </w:p>
    <w:p>
      <w:pPr>
        <w:pStyle w:val="44"/>
        <w:spacing w:line="560" w:lineRule="exact"/>
        <w:ind w:firstLineChars="200" w:firstLine="640"/>
        <w:rPr>
          <w:rFonts w:eastAsia="方正黑体_GBK"/>
          <w:bCs/>
          <w:sz w:val="32"/>
          <w:szCs w:val="32"/>
        </w:rPr>
      </w:pPr>
    </w:p>
    <w:p>
      <w:pPr>
        <w:pStyle w:val="44"/>
        <w:spacing w:line="560" w:lineRule="exact"/>
        <w:ind w:firstLineChars="200" w:firstLine="640"/>
        <w:rPr>
          <w:rFonts w:eastAsia="方正黑体_GBK"/>
          <w:bCs/>
          <w:sz w:val="32"/>
          <w:szCs w:val="32"/>
        </w:rPr>
      </w:pPr>
    </w:p>
    <w:p>
      <w:pPr>
        <w:pStyle w:val="44"/>
        <w:spacing w:line="560" w:lineRule="exact"/>
        <w:ind w:firstLineChars="200" w:firstLine="640"/>
        <w:rPr>
          <w:rFonts w:eastAsia="方正黑体_GBK"/>
          <w:bCs/>
          <w:sz w:val="32"/>
          <w:szCs w:val="32"/>
        </w:rPr>
      </w:pPr>
    </w:p>
    <w:p>
      <w:pPr>
        <w:pStyle w:val="44"/>
        <w:spacing w:line="560" w:lineRule="exact"/>
        <w:ind w:firstLineChars="200" w:firstLine="640"/>
        <w:rPr>
          <w:rFonts w:eastAsia="方正黑体_GBK"/>
          <w:bCs/>
          <w:sz w:val="32"/>
          <w:szCs w:val="32"/>
        </w:rPr>
      </w:pPr>
    </w:p>
    <w:p>
      <w:pPr>
        <w:pStyle w:val="44"/>
        <w:spacing w:line="560" w:lineRule="exact"/>
        <w:ind w:firstLineChars="200" w:firstLine="640"/>
        <w:rPr>
          <w:rFonts w:eastAsia="方正黑体_GBK"/>
          <w:bCs/>
          <w:sz w:val="32"/>
          <w:szCs w:val="32"/>
        </w:rPr>
      </w:pPr>
    </w:p>
    <w:p>
      <w:pPr>
        <w:pStyle w:val="44"/>
        <w:spacing w:line="560" w:lineRule="exact"/>
        <w:ind w:firstLineChars="200" w:firstLine="640"/>
        <w:rPr>
          <w:rFonts w:eastAsia="方正仿宋_GBK" w:cs="宋体" w:hint="eastAsia"/>
          <w:bCs/>
          <w:kern w:val="0"/>
          <w:sz w:val="32"/>
          <w:szCs w:val="32"/>
          <w:lang w:bidi="ar-SA"/>
        </w:rPr>
      </w:pPr>
      <w:r>
        <w:rPr>
          <w:rFonts w:eastAsia="方正黑体_GBK" w:hint="eastAsia"/>
          <w:bCs/>
          <w:sz w:val="32"/>
          <w:szCs w:val="32"/>
        </w:rPr>
        <w:t>十四、办理形式：</w:t>
      </w:r>
      <w:r>
        <w:rPr>
          <w:rFonts w:eastAsia="方正仿宋_GBK" w:cs="宋体" w:hint="eastAsia"/>
          <w:bCs/>
          <w:kern w:val="0"/>
          <w:sz w:val="32"/>
          <w:szCs w:val="32"/>
          <w:lang w:bidi="ar-SA"/>
        </w:rPr>
        <w:t>窗口、网上办理</w:t>
      </w:r>
      <w:r>
        <w:rPr>
          <w:rFonts w:eastAsia="方正仿宋_GBK" w:hint="eastAsia"/>
          <w:bCs/>
          <w:sz w:val="32"/>
          <w:szCs w:val="32"/>
        </w:rPr>
        <w:t>。</w:t>
      </w:r>
    </w:p>
    <w:p>
      <w:pPr>
        <w:pStyle w:val="78"/>
        <w:spacing w:line="560" w:lineRule="exact"/>
        <w:ind w:firstLineChars="200" w:firstLine="640"/>
        <w:rPr>
          <w:rFonts w:eastAsia="方正仿宋_GBK" w:hint="eastAsia"/>
          <w:bCs/>
          <w:sz w:val="32"/>
          <w:szCs w:val="32"/>
        </w:rPr>
      </w:pPr>
      <w:r>
        <w:rPr>
          <w:rFonts w:eastAsia="方正黑体_GBK" w:hint="eastAsia"/>
          <w:bCs/>
          <w:sz w:val="32"/>
          <w:szCs w:val="32"/>
        </w:rPr>
        <w:t>十五、到办理现场次数：</w:t>
      </w:r>
      <w:r>
        <w:rPr>
          <w:rFonts w:eastAsia="方正仿宋_GBK" w:hint="eastAsia"/>
          <w:bCs/>
          <w:sz w:val="32"/>
          <w:szCs w:val="32"/>
        </w:rPr>
        <w:t>3次。</w:t>
      </w:r>
    </w:p>
    <w:p>
      <w:pPr>
        <w:pStyle w:val="44"/>
        <w:spacing w:line="560" w:lineRule="exact"/>
        <w:ind w:firstLineChars="200" w:firstLine="640"/>
        <w:rPr>
          <w:rFonts w:eastAsia="方正黑体_GBK" w:hint="eastAsia"/>
          <w:bCs/>
          <w:sz w:val="32"/>
          <w:szCs w:val="32"/>
        </w:rPr>
      </w:pPr>
      <w:r>
        <w:rPr>
          <w:rFonts w:eastAsia="方正黑体_GBK" w:hint="eastAsia"/>
          <w:bCs/>
          <w:sz w:val="32"/>
          <w:szCs w:val="32"/>
        </w:rPr>
        <w:t>十六、审查标准：</w:t>
      </w:r>
    </w:p>
    <w:p>
      <w:pPr>
        <w:pStyle w:val="44"/>
        <w:spacing w:line="560" w:lineRule="exact"/>
        <w:ind w:firstLineChars="200" w:firstLine="640"/>
        <w:rPr>
          <w:rFonts w:eastAsia="方正仿宋_GBK" w:hint="eastAsia"/>
          <w:bCs/>
          <w:sz w:val="32"/>
          <w:szCs w:val="32"/>
        </w:rPr>
      </w:pPr>
      <w:r>
        <w:rPr>
          <w:rFonts w:eastAsia="方正仿宋_GBK" w:hint="eastAsia"/>
          <w:bCs/>
          <w:sz w:val="32"/>
          <w:szCs w:val="32"/>
        </w:rPr>
        <w:t>（一）留学生在国外留学一学年（九个月）以上；</w:t>
      </w:r>
    </w:p>
    <w:p>
      <w:pPr>
        <w:pStyle w:val="44"/>
        <w:spacing w:line="560" w:lineRule="exact"/>
        <w:ind w:firstLineChars="200" w:firstLine="640"/>
        <w:rPr>
          <w:rFonts w:eastAsia="方正仿宋_GBK" w:hint="eastAsia"/>
          <w:bCs/>
          <w:sz w:val="32"/>
          <w:szCs w:val="32"/>
        </w:rPr>
      </w:pPr>
      <w:r>
        <w:rPr>
          <w:rFonts w:eastAsia="方正仿宋_GBK" w:hint="eastAsia"/>
          <w:bCs/>
          <w:sz w:val="32"/>
          <w:szCs w:val="32"/>
        </w:rPr>
        <w:t>（二）学习期间连续在外停留不少于180天；</w:t>
      </w:r>
    </w:p>
    <w:p>
      <w:pPr>
        <w:pStyle w:val="44"/>
        <w:spacing w:line="560" w:lineRule="exact"/>
        <w:ind w:firstLineChars="200" w:firstLine="640"/>
        <w:rPr>
          <w:rFonts w:eastAsia="方正仿宋_GBK" w:hint="eastAsia"/>
          <w:bCs/>
          <w:sz w:val="32"/>
          <w:szCs w:val="32"/>
        </w:rPr>
      </w:pPr>
      <w:r>
        <w:rPr>
          <w:rFonts w:eastAsia="方正仿宋_GBK" w:hint="eastAsia"/>
          <w:bCs/>
          <w:sz w:val="32"/>
          <w:szCs w:val="32"/>
        </w:rPr>
        <w:t>（三）学习结束两年之内回国；</w:t>
      </w:r>
    </w:p>
    <w:p>
      <w:pPr>
        <w:pStyle w:val="44"/>
        <w:spacing w:line="560" w:lineRule="exact"/>
        <w:ind w:firstLineChars="200" w:firstLine="640"/>
        <w:rPr>
          <w:rFonts w:eastAsia="方正仿宋_GBK" w:hint="eastAsia"/>
          <w:bCs/>
          <w:sz w:val="32"/>
          <w:szCs w:val="32"/>
        </w:rPr>
      </w:pPr>
      <w:r>
        <w:rPr>
          <w:rFonts w:eastAsia="方正仿宋_GBK" w:hint="eastAsia"/>
          <w:bCs/>
          <w:sz w:val="32"/>
          <w:szCs w:val="32"/>
        </w:rPr>
        <w:t>（四）毕结业后首次入境一年内提出申请。</w:t>
      </w:r>
    </w:p>
    <w:p>
      <w:pPr>
        <w:pStyle w:val="44"/>
        <w:spacing w:line="560" w:lineRule="exact"/>
        <w:ind w:firstLineChars="200" w:firstLine="640"/>
        <w:rPr>
          <w:rFonts w:eastAsia="方正黑体_GBK" w:hint="eastAsia"/>
          <w:bCs/>
          <w:sz w:val="32"/>
          <w:szCs w:val="32"/>
        </w:rPr>
      </w:pPr>
      <w:r>
        <w:rPr>
          <w:rFonts w:eastAsia="方正黑体_GBK" w:hint="eastAsia"/>
          <w:bCs/>
          <w:sz w:val="32"/>
          <w:szCs w:val="32"/>
        </w:rPr>
        <w:t>十七、通办范围：</w:t>
      </w:r>
      <w:r>
        <w:rPr>
          <w:rFonts w:eastAsia="方正仿宋_GBK" w:hint="eastAsia"/>
          <w:bCs/>
          <w:sz w:val="32"/>
          <w:szCs w:val="32"/>
        </w:rPr>
        <w:t>关区。</w:t>
      </w:r>
    </w:p>
    <w:p>
      <w:pPr>
        <w:pStyle w:val="44"/>
        <w:spacing w:line="560" w:lineRule="exact"/>
        <w:ind w:firstLineChars="200" w:firstLine="640"/>
        <w:rPr>
          <w:rFonts w:eastAsia="方正仿宋_GBK" w:hint="eastAsia"/>
          <w:bCs/>
          <w:sz w:val="32"/>
          <w:szCs w:val="32"/>
        </w:rPr>
      </w:pPr>
      <w:r>
        <w:rPr>
          <w:rFonts w:eastAsia="方正黑体_GBK" w:hint="eastAsia"/>
          <w:bCs/>
          <w:sz w:val="32"/>
          <w:szCs w:val="32"/>
        </w:rPr>
        <w:t>十八、预约办理：</w:t>
      </w:r>
      <w:r>
        <w:rPr>
          <w:rFonts w:eastAsia="方正仿宋_GBK" w:cs="宋体" w:hint="eastAsia"/>
          <w:bCs/>
          <w:kern w:val="0"/>
          <w:sz w:val="32"/>
          <w:szCs w:val="32"/>
          <w:lang w:bidi="ar-SA"/>
        </w:rPr>
        <w:t>否</w:t>
      </w:r>
      <w:r>
        <w:rPr>
          <w:rFonts w:eastAsia="方正仿宋_GBK" w:hint="eastAsia"/>
          <w:bCs/>
          <w:sz w:val="32"/>
          <w:szCs w:val="32"/>
        </w:rPr>
        <w:t>。</w:t>
      </w:r>
    </w:p>
    <w:p>
      <w:pPr>
        <w:pStyle w:val="79"/>
        <w:spacing w:line="560" w:lineRule="exact"/>
        <w:ind w:firstLineChars="200" w:firstLine="640"/>
        <w:rPr>
          <w:rFonts w:eastAsia="方正仿宋_GBK"/>
          <w:bCs/>
          <w:sz w:val="32"/>
          <w:szCs w:val="32"/>
        </w:rPr>
      </w:pPr>
      <w:r>
        <w:rPr>
          <w:rFonts w:eastAsia="方正黑体_GBK" w:hint="eastAsia"/>
          <w:bCs/>
          <w:sz w:val="32"/>
          <w:szCs w:val="32"/>
        </w:rPr>
        <w:t>十九、网上支付：</w:t>
      </w:r>
      <w:r>
        <w:rPr>
          <w:rFonts w:eastAsia="方正仿宋_GBK" w:cs="宋体" w:hint="eastAsia"/>
          <w:bCs/>
          <w:kern w:val="0"/>
          <w:sz w:val="32"/>
          <w:szCs w:val="32"/>
          <w:lang w:bidi="ar-SA"/>
        </w:rPr>
        <w:t>否</w:t>
      </w:r>
      <w:r>
        <w:rPr>
          <w:rFonts w:eastAsia="方正仿宋_GBK" w:hint="eastAsia"/>
          <w:bCs/>
          <w:sz w:val="32"/>
          <w:szCs w:val="32"/>
        </w:rPr>
        <w:t>。</w:t>
      </w:r>
    </w:p>
    <w:p>
      <w:pPr>
        <w:pStyle w:val="79"/>
        <w:spacing w:line="560" w:lineRule="exact"/>
        <w:ind w:firstLineChars="200" w:firstLine="640"/>
        <w:rPr>
          <w:rFonts w:eastAsia="方正黑体_GBK"/>
          <w:bCs/>
          <w:sz w:val="32"/>
          <w:szCs w:val="32"/>
        </w:rPr>
      </w:pPr>
      <w:r>
        <w:rPr>
          <w:rFonts w:eastAsia="方正黑体_GBK" w:hint="eastAsia"/>
          <w:bCs/>
          <w:sz w:val="32"/>
          <w:szCs w:val="32"/>
        </w:rPr>
        <w:t>二十、物流快递：</w:t>
      </w:r>
      <w:r>
        <w:rPr>
          <w:rFonts w:eastAsia="方正仿宋_GBK" w:cs="宋体" w:hint="eastAsia"/>
          <w:bCs/>
          <w:kern w:val="0"/>
          <w:sz w:val="32"/>
          <w:szCs w:val="32"/>
          <w:lang w:bidi="ar-SA"/>
        </w:rPr>
        <w:t>否</w:t>
      </w:r>
      <w:r>
        <w:rPr>
          <w:rFonts w:eastAsia="方正仿宋_GBK" w:hint="eastAsia"/>
          <w:bCs/>
          <w:sz w:val="32"/>
          <w:szCs w:val="32"/>
        </w:rPr>
        <w:t>。</w:t>
      </w:r>
    </w:p>
    <w:p>
      <w:pPr>
        <w:pStyle w:val="79"/>
        <w:spacing w:line="560" w:lineRule="exact"/>
        <w:ind w:firstLineChars="200" w:firstLine="640"/>
        <w:rPr>
          <w:rFonts w:eastAsia="方正仿宋_GBK"/>
          <w:bCs/>
          <w:sz w:val="32"/>
          <w:szCs w:val="32"/>
        </w:rPr>
      </w:pPr>
      <w:r>
        <w:rPr>
          <w:rFonts w:eastAsia="方正黑体_GBK" w:hint="eastAsia"/>
          <w:bCs/>
          <w:sz w:val="32"/>
          <w:szCs w:val="32"/>
        </w:rPr>
        <w:t>二十一、办理地点：</w:t>
      </w:r>
    </w:p>
    <w:p>
      <w:pPr>
        <w:pStyle w:val="79"/>
        <w:spacing w:line="560" w:lineRule="exact"/>
        <w:ind w:firstLineChars="200" w:firstLine="640"/>
        <w:rPr>
          <w:rFonts w:eastAsia="方正仿宋_GBK"/>
          <w:bCs/>
          <w:sz w:val="32"/>
          <w:szCs w:val="32"/>
        </w:rPr>
      </w:pPr>
      <w:r>
        <w:rPr>
          <w:rFonts w:eastAsia="方正仿宋_GBK" w:hint="eastAsia"/>
          <w:bCs/>
          <w:sz w:val="32"/>
          <w:szCs w:val="32"/>
        </w:rPr>
        <w:t>（一）网上办理：登录“</w:t>
      </w:r>
      <w:r>
        <w:rPr>
          <w:rFonts w:eastAsia="方正仿宋_GBK"/>
          <w:bCs/>
          <w:sz w:val="32"/>
          <w:szCs w:val="32"/>
        </w:rPr>
        <w:t>海关政务服务</w:t>
      </w:r>
      <w:bookmarkStart w:id="0" w:name="_GoBack"/>
      <w:bookmarkEnd w:id="0"/>
      <w:r>
        <w:rPr>
          <w:rFonts w:eastAsia="方正仿宋_GBK" w:hint="eastAsia"/>
          <w:bCs/>
          <w:sz w:val="32"/>
          <w:szCs w:val="32"/>
        </w:rPr>
        <w:t>”一体化平台（</w:t>
      </w:r>
      <w:r>
        <w:rPr>
          <w:rStyle w:val="34"/>
          <w:rFonts w:eastAsia="方正仿宋_GBK" w:hint="eastAsia"/>
          <w:bCs/>
          <w:sz w:val="32"/>
          <w:szCs w:val="32"/>
        </w:rPr>
        <w:fldChar w:fldCharType="begin"/>
      </w:r>
      <w:r>
        <w:instrText>HYPERLINK "http://online.customs.gov.cn），进入“物品通关”板块办理"</w:instrText>
      </w:r>
      <w:r>
        <w:rPr>
          <w:rStyle w:val="34"/>
          <w:rFonts w:eastAsia="方正仿宋_GBK" w:hint="eastAsia"/>
          <w:bCs/>
          <w:sz w:val="32"/>
          <w:szCs w:val="32"/>
        </w:rPr>
        <w:fldChar w:fldCharType="separate"/>
      </w:r>
      <w:r>
        <w:rPr>
          <w:rStyle w:val="34"/>
          <w:rFonts w:eastAsia="方正仿宋_GBK" w:hint="eastAsia"/>
          <w:bCs/>
          <w:sz w:val="32"/>
          <w:szCs w:val="32"/>
        </w:rPr>
        <w:t>http://online.customs.gov.cn），进入“物品通关”板块办理</w:t>
      </w:r>
      <w:r>
        <w:rPr>
          <w:rStyle w:val="34"/>
          <w:rFonts w:eastAsia="方正仿宋_GBK" w:hint="eastAsia"/>
          <w:bCs/>
          <w:sz w:val="32"/>
          <w:szCs w:val="32"/>
        </w:rPr>
        <w:fldChar w:fldCharType="end"/>
      </w:r>
      <w:r>
        <w:rPr>
          <w:rFonts w:eastAsia="方正仿宋_GBK" w:hint="eastAsia"/>
          <w:bCs/>
          <w:sz w:val="32"/>
          <w:szCs w:val="32"/>
        </w:rPr>
        <w:t>。</w:t>
      </w:r>
    </w:p>
    <w:p>
      <w:pPr>
        <w:pStyle w:val="79"/>
        <w:spacing w:line="560" w:lineRule="exact"/>
        <w:ind w:firstLineChars="200" w:firstLine="640"/>
        <w:rPr>
          <w:rFonts w:eastAsia="方正黑体_GBK"/>
          <w:bCs/>
          <w:sz w:val="32"/>
          <w:szCs w:val="32"/>
        </w:rPr>
      </w:pPr>
      <w:r>
        <w:rPr>
          <w:rFonts w:eastAsia="方正仿宋_GBK" w:hint="eastAsia"/>
          <w:bCs/>
          <w:sz w:val="32"/>
          <w:szCs w:val="32"/>
        </w:rPr>
        <w:t>（二）窗口办理：</w:t>
      </w:r>
      <w:r>
        <w:rPr>
          <w:rFonts w:eastAsia="方正仿宋_GBK"/>
          <w:bCs/>
          <w:sz w:val="32"/>
          <w:szCs w:val="32"/>
        </w:rPr>
        <w:t>主管</w:t>
      </w:r>
      <w:r>
        <w:rPr>
          <w:rFonts w:eastAsia="方正仿宋_GBK" w:hint="eastAsia"/>
          <w:bCs/>
          <w:sz w:val="32"/>
          <w:szCs w:val="32"/>
        </w:rPr>
        <w:t>海关业务现场。</w:t>
      </w:r>
    </w:p>
    <w:p>
      <w:pPr>
        <w:pStyle w:val="79"/>
        <w:spacing w:line="560" w:lineRule="exact"/>
        <w:ind w:firstLineChars="200" w:firstLine="640"/>
        <w:rPr>
          <w:rFonts w:eastAsia="方正仿宋_GBK"/>
          <w:bCs/>
          <w:sz w:val="32"/>
          <w:szCs w:val="32"/>
        </w:rPr>
      </w:pPr>
      <w:r>
        <w:rPr>
          <w:rFonts w:eastAsia="方正黑体_GBK" w:hint="eastAsia"/>
          <w:bCs/>
          <w:sz w:val="32"/>
          <w:szCs w:val="32"/>
        </w:rPr>
        <w:t>二十二、办理时间：</w:t>
      </w:r>
    </w:p>
    <w:p>
      <w:pPr>
        <w:pStyle w:val="79"/>
        <w:spacing w:line="560" w:lineRule="exact"/>
        <w:ind w:firstLineChars="200" w:firstLine="640"/>
        <w:rPr>
          <w:rFonts w:eastAsia="方正仿宋_GBK"/>
          <w:bCs/>
          <w:sz w:val="32"/>
          <w:szCs w:val="32"/>
        </w:rPr>
      </w:pPr>
      <w:r>
        <w:rPr>
          <w:rFonts w:eastAsia="方正仿宋_GBK" w:hint="eastAsia"/>
          <w:bCs/>
          <w:sz w:val="32"/>
          <w:szCs w:val="32"/>
        </w:rPr>
        <w:t>（一）网上办理时间：24小时；</w:t>
      </w:r>
    </w:p>
    <w:p>
      <w:pPr>
        <w:pStyle w:val="79"/>
        <w:spacing w:line="560" w:lineRule="exact"/>
        <w:ind w:firstLineChars="200" w:firstLine="640"/>
        <w:rPr>
          <w:rFonts w:eastAsia="方正仿宋_GBK" w:hint="eastAsia"/>
          <w:bCs/>
          <w:sz w:val="32"/>
          <w:szCs w:val="32"/>
        </w:rPr>
      </w:pPr>
      <w:r>
        <w:rPr>
          <w:rFonts w:eastAsia="方正仿宋_GBK" w:hint="eastAsia"/>
          <w:bCs/>
          <w:sz w:val="32"/>
          <w:szCs w:val="32"/>
        </w:rPr>
        <w:t>（二）窗口办理时间：</w:t>
      </w:r>
      <w:r>
        <w:rPr>
          <w:rFonts w:eastAsia="方正仿宋_GBK"/>
          <w:bCs/>
          <w:sz w:val="32"/>
          <w:szCs w:val="32"/>
        </w:rPr>
        <w:t>主管</w:t>
      </w:r>
      <w:r>
        <w:rPr>
          <w:rFonts w:eastAsia="方正仿宋_GBK" w:hint="eastAsia"/>
          <w:bCs/>
          <w:sz w:val="32"/>
          <w:szCs w:val="32"/>
        </w:rPr>
        <w:t>海关工作时间。</w:t>
      </w:r>
    </w:p>
    <w:p>
      <w:pPr>
        <w:pStyle w:val="80"/>
        <w:spacing w:line="560" w:lineRule="exact"/>
        <w:ind w:firstLineChars="200" w:firstLine="640"/>
        <w:rPr>
          <w:rFonts w:eastAsia="方正黑体_GBK"/>
          <w:bCs/>
          <w:sz w:val="32"/>
          <w:szCs w:val="32"/>
        </w:rPr>
      </w:pPr>
      <w:r>
        <w:rPr>
          <w:rFonts w:eastAsia="方正黑体_GBK"/>
          <w:bCs/>
          <w:sz w:val="32"/>
          <w:szCs w:val="32"/>
        </w:rPr>
        <w:t>二十三、咨询电话：</w:t>
      </w:r>
    </w:p>
    <w:p>
      <w:pPr>
        <w:pStyle w:val="80"/>
        <w:spacing w:line="560" w:lineRule="exact"/>
        <w:ind w:firstLineChars="200" w:firstLine="640"/>
        <w:rPr>
          <w:rFonts w:eastAsia="方正仿宋_GBK" w:hint="eastAsia"/>
          <w:bCs/>
          <w:color w:val="000000"/>
          <w:sz w:val="32"/>
          <w:szCs w:val="32"/>
        </w:rPr>
      </w:pPr>
      <w:r>
        <w:rPr>
          <w:rFonts w:eastAsia="方正黑体_GBK"/>
          <w:bCs/>
          <w:color w:val="000000"/>
          <w:sz w:val="32"/>
          <w:szCs w:val="32"/>
        </w:rPr>
        <w:t>0471-69923</w:t>
      </w:r>
      <w:r>
        <w:rPr>
          <w:rFonts w:eastAsia="方正黑体_GBK" w:hint="eastAsia"/>
          <w:bCs/>
          <w:color w:val="000000"/>
          <w:sz w:val="32"/>
          <w:szCs w:val="32"/>
          <w:lang w:val="en-US" w:eastAsia="zh-CN"/>
        </w:rPr>
        <w:t>89</w:t>
      </w:r>
      <w:r>
        <w:rPr>
          <w:rFonts w:eastAsia="方正仿宋_GBK" w:hint="eastAsia"/>
          <w:bCs/>
          <w:color w:val="000000"/>
          <w:sz w:val="32"/>
          <w:szCs w:val="32"/>
        </w:rPr>
        <w:t>或</w:t>
      </w:r>
      <w:r>
        <w:rPr>
          <w:rFonts w:eastAsia="方正仿宋_GBK"/>
          <w:bCs/>
          <w:color w:val="000000"/>
          <w:sz w:val="32"/>
          <w:szCs w:val="32"/>
        </w:rPr>
        <w:t>0471-</w:t>
      </w:r>
      <w:r>
        <w:rPr>
          <w:rFonts w:eastAsia="方正仿宋_GBK" w:hint="eastAsia"/>
          <w:bCs/>
          <w:color w:val="000000"/>
          <w:sz w:val="32"/>
          <w:szCs w:val="32"/>
        </w:rPr>
        <w:t>12360海关服务热线。</w:t>
      </w:r>
    </w:p>
    <w:p>
      <w:pPr>
        <w:pStyle w:val="80"/>
        <w:spacing w:line="560" w:lineRule="exact"/>
        <w:ind w:firstLineChars="200" w:firstLine="640"/>
        <w:rPr>
          <w:rFonts w:eastAsia="方正黑体_GBK"/>
          <w:bCs/>
          <w:sz w:val="32"/>
          <w:szCs w:val="32"/>
        </w:rPr>
      </w:pPr>
      <w:r>
        <w:rPr>
          <w:rFonts w:eastAsia="方正黑体_GBK"/>
          <w:bCs/>
          <w:sz w:val="32"/>
          <w:szCs w:val="32"/>
        </w:rPr>
        <w:t>二十四、监督电话：</w:t>
      </w:r>
    </w:p>
    <w:p>
      <w:pPr>
        <w:pStyle w:val="80"/>
        <w:spacing w:line="560" w:lineRule="exact"/>
        <w:ind w:firstLineChars="200" w:firstLine="640"/>
        <w:rPr>
          <w:rFonts w:eastAsia="方正仿宋_GBK" w:hint="eastAsia"/>
          <w:bCs/>
          <w:sz w:val="32"/>
          <w:szCs w:val="32"/>
        </w:rPr>
      </w:pPr>
      <w:r>
        <w:rPr>
          <w:rFonts w:eastAsia="方正仿宋_GBK"/>
          <w:bCs/>
          <w:sz w:val="32"/>
          <w:szCs w:val="32"/>
        </w:rPr>
        <w:t>0471-6992378或0471-</w:t>
      </w:r>
      <w:r>
        <w:rPr>
          <w:rFonts w:eastAsia="方正仿宋_GBK" w:hint="eastAsia"/>
          <w:bCs/>
          <w:sz w:val="32"/>
          <w:szCs w:val="32"/>
        </w:rPr>
        <w:t>12360海关服务热线。</w:t>
      </w:r>
    </w:p>
    <w:p>
      <w:pPr>
        <w:jc w:val="left"/>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2000000000000000000"/>
    <w:charset w:val="86"/>
    <w:family w:val="script"/>
    <w:pitch w:val="variable"/>
    <w:sig w:usb0="A00002BF" w:usb1="38CF7CFA" w:usb2="00082016" w:usb3="00000000" w:csb0="00040001" w:csb1="00000000"/>
  </w:font>
  <w:font w:name="方正黑体_GBK">
    <w:altName w:val="微软雅黑"/>
    <w:panose1 w:val="03000509000000000000"/>
    <w:charset w:val="86"/>
    <w:family w:val="script"/>
    <w:pitch w:val="variable"/>
    <w:sig w:usb0="00000000" w:usb1="00000000" w:usb2="00000000" w:usb3="00000000" w:csb0="00040000" w:csb1="00000000"/>
  </w:font>
  <w:font w:name="方正仿宋_GBK">
    <w:panose1 w:val="02000000000000000000"/>
    <w:charset w:val="86"/>
    <w:family w:val="script"/>
    <w:pitch w:val="variable"/>
    <w:sig w:usb0="A00002BF" w:usb1="38CF7CFA" w:usb2="00082016" w:usb3="00000000" w:csb0="00040001" w:csb1="00000000"/>
  </w:font>
  <w:font w:name="宋体">
    <w:panose1 w:val="02010600030101010101"/>
    <w:charset w:val="86"/>
    <w:family w:val="auto"/>
    <w:pitch w:val="variable"/>
    <w:sig w:usb0="00000203" w:usb1="288F0000" w:usb2="00000006" w:usb3="00000000" w:csb0="00040001" w:csb1="00000000"/>
  </w:font>
  <w:font w:name="Times New Roman">
    <w:panose1 w:val="02020603050405020304"/>
    <w:charset w:val="00"/>
    <w:family w:val="roman"/>
    <w:pitch w:val="variable"/>
    <w:sig w:usb0="20007A87" w:usb1="80000000" w:usb2="00000008" w:usb3="00000000" w:csb0="000001FF"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4002EFF" w:usb1="C200247B" w:usb2="00000009" w:usb3="00000000" w:csb0="200001F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0FFFFF7C"/>
    <w:multiLevelType w:val="singleLevel"/>
    <w:tmpl w:val="00000000"/>
    <w:lvl w:ilvl="0">
      <w:start w:val="1"/>
      <w:numFmt w:val="decimal"/>
      <w:lvlRestart w:val="0"/>
      <w:lvlText w:val="%1."/>
      <w:lvlJc w:val="left"/>
      <w:pPr>
        <w:tabs>
          <w:tab w:val="num" w:pos="2040"/>
        </w:tabs>
        <w:ind w:left="2040" w:hanging="36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96"/>
  <w:doNotDisplayPageBoundaries/>
  <w:displayBackgroundShape/>
  <w:bordersDoNotSurroundHeader/>
  <w:bordersDoNotSurroundFooter/>
  <w:trackRevisions/>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table of authorities"/>
    <w:next w:val="0"/>
    <w:pPr>
      <w:widowControl w:val="0"/>
      <w:ind w:left="420"/>
      <w:jc w:val="both"/>
    </w:pPr>
    <w:rPr>
      <w:rFonts w:ascii="Times New Roman" w:eastAsia="宋体" w:cs="Times New Roman" w:hAnsi="Times New Roman"/>
      <w:kern w:val="2"/>
      <w:sz w:val="21"/>
      <w:szCs w:val="24"/>
      <w:lang w:val="en-US" w:eastAsia="zh-CN" w:bidi="ar-SA"/>
    </w:rPr>
  </w:style>
  <w:style w:type="paragraph" w:styleId="16">
    <w:name w:val="index 8"/>
    <w:basedOn w:val="0"/>
    <w:autoRedefine/>
    <w:next w:val="0"/>
    <w:pPr>
      <w:ind w:left="2940"/>
    </w:pPr>
  </w:style>
  <w:style w:type="paragraph" w:styleId="17">
    <w:name w:val="toc 3"/>
    <w:basedOn w:val="0"/>
    <w:autoRedefine/>
    <w:next w:val="0"/>
    <w:pPr>
      <w:ind w:left="840"/>
    </w:pPr>
  </w:style>
  <w:style w:type="paragraph" w:styleId="18">
    <w:name w:val="footer"/>
    <w:basedOn w:val="0"/>
    <w:pPr>
      <w:tabs>
        <w:tab w:val="center" w:pos="4153"/>
        <w:tab w:val="right" w:pos="8307"/>
      </w:tabs>
      <w:snapToGrid w:val="0"/>
      <w:jc w:val="left"/>
    </w:pPr>
    <w:rPr>
      <w:sz w:val="18"/>
    </w:rPr>
  </w:style>
  <w:style w:type="paragraph" w:styleId="19">
    <w:name w:val="header"/>
    <w:basedOn w:val="0"/>
    <w:pPr>
      <w:pBdr>
        <w:bottom w:val="single" w:sz="6" w:space="1" w:color="auto"/>
      </w:pBdr>
      <w:tabs>
        <w:tab w:val="center" w:pos="4153"/>
        <w:tab w:val="right" w:pos="8307"/>
      </w:tabs>
      <w:snapToGrid w:val="0"/>
      <w:jc w:val="center"/>
    </w:pPr>
    <w:rPr>
      <w:sz w:val="18"/>
    </w:rPr>
  </w:style>
  <w:style w:type="paragraph" w:styleId="20">
    <w:name w:val="toc 1"/>
    <w:basedOn w:val="0"/>
    <w:autoRedefine/>
    <w:next w:val="0"/>
  </w:style>
  <w:style w:type="paragraph" w:styleId="21">
    <w:name w:val="toc 4"/>
    <w:basedOn w:val="0"/>
    <w:autoRedefine/>
    <w:next w:val="0"/>
    <w:pPr>
      <w:ind w:left="1260"/>
    </w:pPr>
  </w:style>
  <w:style w:type="paragraph" w:styleId="22">
    <w:name w:val="toc 6"/>
    <w:basedOn w:val="0"/>
    <w:autoRedefine/>
    <w:next w:val="0"/>
    <w:pPr>
      <w:ind w:left="2100"/>
    </w:pPr>
  </w:style>
  <w:style w:type="paragraph" w:styleId="23">
    <w:name w:val="toc 2"/>
    <w:basedOn w:val="0"/>
    <w:autoRedefine/>
    <w:next w:val="0"/>
    <w:pPr>
      <w:ind w:left="420"/>
    </w:pPr>
  </w:style>
  <w:style w:type="paragraph" w:customStyle="1" w:styleId="24">
    <w:name w:val="样式 10 磅"/>
    <w:next w:val="20"/>
    <w:pPr>
      <w:widowControl w:val="0"/>
      <w:jc w:val="both"/>
    </w:pPr>
    <w:rPr>
      <w:rFonts w:ascii="Times New Roman" w:eastAsia="宋体" w:cs="Times New Roman" w:hAnsi="Times New Roman"/>
      <w:kern w:val="2"/>
      <w:sz w:val="21"/>
      <w:szCs w:val="24"/>
      <w:lang w:val="en-US" w:eastAsia="zh-CN" w:bidi="ar-SA"/>
    </w:rPr>
  </w:style>
  <w:style w:type="paragraph" w:customStyle="1" w:styleId="25">
    <w:name w:val="样式 1 10 磅"/>
    <w:next w:val="22"/>
    <w:pPr>
      <w:widowControl w:val="0"/>
      <w:jc w:val="both"/>
    </w:pPr>
    <w:rPr>
      <w:rFonts w:ascii="Times New Roman" w:eastAsia="宋体" w:cs="Times New Roman" w:hAnsi="Times New Roman"/>
      <w:kern w:val="2"/>
      <w:sz w:val="21"/>
      <w:szCs w:val="24"/>
      <w:lang w:val="en-US" w:eastAsia="zh-CN" w:bidi="ar-SA"/>
    </w:rPr>
  </w:style>
  <w:style w:type="paragraph" w:customStyle="1" w:styleId="26">
    <w:name w:val="列出段落"/>
    <w:next w:val="23"/>
    <w:pPr>
      <w:widowControl w:val="0"/>
      <w:ind w:firstLineChars="200" w:firstLine="200"/>
      <w:jc w:val="both"/>
    </w:pPr>
    <w:rPr>
      <w:rFonts w:ascii="Calibri" w:eastAsia="宋体" w:cs="Times New Roman" w:hAnsi="Calibri"/>
      <w:kern w:val="2"/>
      <w:sz w:val="21"/>
      <w:szCs w:val="22"/>
      <w:lang w:val="en-US" w:eastAsia="zh-CN" w:bidi="ar-SA"/>
    </w:rPr>
  </w:style>
  <w:style w:type="character" w:customStyle="1" w:styleId="27">
    <w:name w:val="labelstyle"/>
  </w:style>
  <w:style w:type="paragraph" w:customStyle="1" w:styleId="28">
    <w:name w:val="样式 18 10 磅"/>
    <w:next w:val="21"/>
    <w:pPr>
      <w:widowControl w:val="0"/>
      <w:jc w:val="both"/>
    </w:pPr>
    <w:rPr>
      <w:rFonts w:ascii="Times New Roman" w:eastAsia="宋体" w:cs="Times New Roman" w:hAnsi="Times New Roman"/>
      <w:kern w:val="2"/>
      <w:sz w:val="21"/>
      <w:szCs w:val="24"/>
      <w:lang w:val="en-US" w:eastAsia="zh-CN" w:bidi="ar-SA"/>
    </w:rPr>
  </w:style>
  <w:style w:type="paragraph" w:customStyle="1" w:styleId="29">
    <w:name w:val="样式 30 10 磅"/>
    <w:next w:val="16"/>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30">
    <w:name w:val="样式 2 10 磅"/>
    <w:pPr>
      <w:widowControl w:val="0"/>
      <w:jc w:val="both"/>
    </w:pPr>
    <w:rPr>
      <w:rFonts w:ascii="Times New Roman" w:eastAsia="宋体" w:cs="Times New Roman" w:hAnsi="Times New Roman"/>
      <w:kern w:val="2"/>
      <w:sz w:val="21"/>
      <w:szCs w:val="21"/>
      <w:lang w:val="en-US" w:eastAsia="zh-CN" w:bidi="ar-SA"/>
    </w:rPr>
  </w:style>
  <w:style w:type="paragraph" w:customStyle="1" w:styleId="31">
    <w:name w:val="样式 3 10 磅"/>
    <w:pPr>
      <w:widowControl w:val="0"/>
      <w:jc w:val="both"/>
    </w:pPr>
    <w:rPr>
      <w:rFonts w:ascii="Calibri" w:eastAsia="宋体" w:cs="Arial" w:hAnsi="Calibri"/>
      <w:kern w:val="2"/>
      <w:sz w:val="21"/>
      <w:szCs w:val="22"/>
      <w:lang w:val="en-US" w:eastAsia="zh-CN" w:bidi="ar-SA"/>
    </w:rPr>
  </w:style>
  <w:style w:type="paragraph" w:styleId="32">
    <w:name w:val="List Number 5"/>
    <w:basedOn w:val="0"/>
    <w:pPr>
      <w:numPr>
        <w:ilvl w:val="0"/>
        <w:numId w:val="1"/>
      </w:numPr>
    </w:pPr>
  </w:style>
  <w:style w:type="paragraph" w:styleId="33">
    <w:name w:val="Body Text 2"/>
    <w:basedOn w:val="0"/>
    <w:pPr>
      <w:spacing w:after="120" w:line="480" w:lineRule="auto"/>
    </w:pPr>
  </w:style>
  <w:style w:type="character" w:styleId="34">
    <w:name w:val="Hyperlink"/>
    <w:rPr>
      <w:color w:val="0000FF"/>
      <w:u w:val="single"/>
    </w:rPr>
  </w:style>
  <w:style w:type="paragraph" w:customStyle="1" w:styleId="35">
    <w:name w:val="正文文字 6"/>
    <w:basedOn w:val="0"/>
    <w:autoRedefine/>
    <w:next w:val="0"/>
    <w:pPr>
      <w:ind w:left="240"/>
    </w:pPr>
    <w:rPr>
      <w:sz w:val="20"/>
      <w:szCs w:val="20"/>
    </w:rPr>
  </w:style>
  <w:style w:type="paragraph" w:customStyle="1" w:styleId="36">
    <w:name w:val="正文文字 7"/>
    <w:basedOn w:val="0"/>
    <w:autoRedefine/>
    <w:next w:val="0"/>
    <w:pPr>
      <w:ind w:left="240"/>
    </w:pPr>
    <w:rPr>
      <w:sz w:val="20"/>
      <w:szCs w:val="20"/>
    </w:rPr>
  </w:style>
  <w:style w:type="paragraph" w:customStyle="1" w:styleId="37">
    <w:name w:val="公式样式 文本"/>
    <w:autoRedefine/>
    <w:rPr>
      <w:rFonts w:ascii="Times New Roman" w:eastAsia="宋体" w:cs="Times New Roman" w:hAnsi="Times New Roman"/>
      <w:b w:val="0"/>
      <w:i w:val="0"/>
      <w:lang w:val="en-US" w:eastAsia="zh-CN" w:bidi="ar-SA"/>
    </w:rPr>
  </w:style>
  <w:style w:type="paragraph" w:customStyle="1" w:styleId="38">
    <w:name w:val="公式样式 函数"/>
    <w:autoRedefine/>
    <w:rPr>
      <w:rFonts w:ascii="Times New Roman" w:eastAsia="宋体" w:cs="Times New Roman" w:hAnsi="Times New Roman"/>
      <w:b w:val="0"/>
      <w:i w:val="0"/>
      <w:lang w:val="en-US" w:eastAsia="zh-CN" w:bidi="ar-SA"/>
    </w:rPr>
  </w:style>
  <w:style w:type="paragraph" w:customStyle="1" w:styleId="39">
    <w:name w:val="公式样式 变量"/>
    <w:autoRedefine/>
    <w:rPr>
      <w:rFonts w:ascii="Times New Roman" w:eastAsia="宋体" w:cs="Times New Roman" w:hAnsi="Times New Roman"/>
      <w:b w:val="0"/>
      <w:i/>
      <w:lang w:val="en-US" w:eastAsia="zh-CN" w:bidi="ar-SA"/>
    </w:rPr>
  </w:style>
  <w:style w:type="paragraph" w:customStyle="1" w:styleId="40">
    <w:name w:val="公式样式 大写希腊字母"/>
    <w:autoRedefine/>
    <w:rPr>
      <w:rFonts w:ascii="Times New Roman" w:eastAsia="宋体" w:cs="Times New Roman" w:hAnsi="Times New Roman"/>
      <w:b w:val="0"/>
      <w:i w:val="0"/>
      <w:lang w:val="en-US" w:eastAsia="zh-CN" w:bidi="ar-SA"/>
    </w:rPr>
  </w:style>
  <w:style w:type="paragraph" w:customStyle="1" w:styleId="41">
    <w:name w:val="公式样式 符号"/>
    <w:autoRedefine/>
    <w:rPr>
      <w:rFonts w:ascii="Times New Roman" w:eastAsia="宋体" w:cs="Times New Roman" w:hAnsi="Times New Roman"/>
      <w:b w:val="0"/>
      <w:i w:val="0"/>
      <w:lang w:val="en-US" w:eastAsia="zh-CN" w:bidi="ar-SA"/>
    </w:rPr>
  </w:style>
  <w:style w:type="paragraph" w:customStyle="1" w:styleId="42">
    <w:name w:val="公式样式 矢量矩阵"/>
    <w:autoRedefine/>
    <w:rPr>
      <w:rFonts w:ascii="Times New Roman" w:eastAsia="宋体" w:cs="Times New Roman" w:hAnsi="Times New Roman"/>
      <w:b/>
      <w:i w:val="0"/>
      <w:lang w:val="en-US" w:eastAsia="zh-CN" w:bidi="ar-SA"/>
    </w:rPr>
  </w:style>
  <w:style w:type="paragraph" w:customStyle="1" w:styleId="43">
    <w:name w:val="公式样式 数字"/>
    <w:autoRedefine/>
    <w:rPr>
      <w:rFonts w:ascii="Times New Roman" w:eastAsia="宋体" w:cs="Times New Roman" w:hAnsi="Times New Roman"/>
      <w:b w:val="0"/>
      <w:i w:val="0"/>
      <w:lang w:val="en-US" w:eastAsia="zh-CN" w:bidi="ar-SA"/>
    </w:rPr>
  </w:style>
  <w:style w:type="paragraph" w:customStyle="1" w:styleId="44">
    <w:name w:val="样式 4 10 磅"/>
    <w:pPr>
      <w:widowControl w:val="0"/>
      <w:jc w:val="both"/>
    </w:pPr>
    <w:rPr>
      <w:rFonts w:ascii="Times New Roman" w:eastAsia="宋体" w:cs="Times New Roman" w:hAnsi="Times New Roman"/>
      <w:kern w:val="2"/>
      <w:sz w:val="21"/>
      <w:szCs w:val="24"/>
      <w:lang w:val="en-US" w:eastAsia="zh-CN" w:bidi="ar-SA"/>
    </w:rPr>
  </w:style>
  <w:style w:type="paragraph" w:customStyle="1" w:styleId="45">
    <w:name w:val="样式 10 磅16"/>
    <w:next w:val="16"/>
    <w:pPr>
      <w:widowControl w:val="0"/>
      <w:jc w:val="both"/>
    </w:pPr>
    <w:rPr>
      <w:rFonts w:ascii="Times New Roman" w:eastAsia="宋体" w:cs="Times New Roman" w:hAnsi="Times New Roman"/>
      <w:kern w:val="2"/>
      <w:sz w:val="21"/>
      <w:szCs w:val="24"/>
      <w:lang w:val="en-US" w:eastAsia="zh-CN" w:bidi="ar-SA"/>
    </w:rPr>
  </w:style>
  <w:style w:type="paragraph" w:customStyle="1" w:styleId="46">
    <w:name w:val="样式 5 10 磅"/>
    <w:pPr>
      <w:widowControl w:val="0"/>
      <w:jc w:val="both"/>
    </w:pPr>
    <w:rPr>
      <w:rFonts w:ascii="Times New Roman" w:eastAsia="宋体" w:cs="Times New Roman" w:hAnsi="Times New Roman"/>
      <w:kern w:val="2"/>
      <w:sz w:val="21"/>
      <w:szCs w:val="24"/>
      <w:lang w:val="en-US" w:eastAsia="zh-CN" w:bidi="ar-SA"/>
    </w:rPr>
  </w:style>
  <w:style w:type="paragraph" w:customStyle="1" w:styleId="47">
    <w:name w:val="正文71"/>
    <w:next w:val="36"/>
    <w:pPr>
      <w:ind w:firstLineChars="200" w:firstLine="200"/>
    </w:pPr>
    <w:rPr>
      <w:rFonts w:ascii="宋体" w:eastAsia="宋体" w:cs="宋体"/>
      <w:sz w:val="21"/>
      <w:szCs w:val="24"/>
      <w:lang w:val="en-US" w:eastAsia="zh-CN" w:bidi="ar-SA"/>
    </w:rPr>
  </w:style>
  <w:style w:type="paragraph" w:customStyle="1" w:styleId="48">
    <w:name w:val="样式 10 磅15"/>
    <w:next w:val="33"/>
    <w:pPr>
      <w:widowControl w:val="0"/>
      <w:jc w:val="both"/>
    </w:pPr>
    <w:rPr>
      <w:rFonts w:ascii="Times New Roman" w:eastAsia="宋体" w:cs="Times New Roman" w:hAnsi="Times New Roman"/>
      <w:kern w:val="2"/>
      <w:sz w:val="21"/>
      <w:szCs w:val="21"/>
      <w:lang w:val="en-US" w:eastAsia="zh-CN" w:bidi="ar-SA"/>
    </w:rPr>
  </w:style>
  <w:style w:type="paragraph" w:customStyle="1" w:styleId="49">
    <w:name w:val="样式 29 10 磅"/>
    <w:next w:val="64"/>
    <w:pPr>
      <w:widowControl w:val="0"/>
      <w:jc w:val="both"/>
    </w:pPr>
    <w:rPr>
      <w:rFonts w:ascii="Times New Roman" w:eastAsia="宋体" w:cs="Times New Roman" w:hAnsi="Times New Roman"/>
      <w:kern w:val="2"/>
      <w:sz w:val="21"/>
      <w:szCs w:val="24"/>
      <w:lang w:val="en-US" w:eastAsia="zh-CN" w:bidi="ar-SA"/>
    </w:rPr>
  </w:style>
  <w:style w:type="paragraph" w:customStyle="1" w:styleId="50">
    <w:name w:val="样式 28 10 磅"/>
    <w:next w:val="63"/>
    <w:pPr>
      <w:widowControl w:val="0"/>
      <w:jc w:val="both"/>
    </w:pPr>
    <w:rPr>
      <w:rFonts w:ascii="Times New Roman" w:eastAsia="宋体" w:cs="Times New Roman" w:hAnsi="Times New Roman"/>
      <w:kern w:val="2"/>
      <w:sz w:val="21"/>
      <w:szCs w:val="24"/>
      <w:lang w:val="en-US" w:eastAsia="zh-CN" w:bidi="ar-SA"/>
    </w:rPr>
  </w:style>
  <w:style w:type="paragraph" w:customStyle="1" w:styleId="51">
    <w:name w:val="样式 27 10 磅"/>
    <w:next w:val="62"/>
    <w:pPr>
      <w:widowControl w:val="0"/>
      <w:jc w:val="both"/>
    </w:pPr>
    <w:rPr>
      <w:rFonts w:ascii="Times New Roman" w:eastAsia="宋体" w:cs="Times New Roman" w:hAnsi="Times New Roman"/>
      <w:kern w:val="2"/>
      <w:sz w:val="21"/>
      <w:szCs w:val="24"/>
      <w:lang w:val="en-US" w:eastAsia="zh-CN" w:bidi="ar-SA"/>
    </w:rPr>
  </w:style>
  <w:style w:type="paragraph" w:customStyle="1" w:styleId="52">
    <w:name w:val="样式 26 10 磅"/>
    <w:next w:val="61"/>
    <w:pPr>
      <w:widowControl w:val="0"/>
      <w:jc w:val="both"/>
    </w:pPr>
    <w:rPr>
      <w:rFonts w:ascii="Times New Roman" w:eastAsia="宋体" w:cs="Times New Roman" w:hAnsi="Times New Roman"/>
      <w:kern w:val="2"/>
      <w:sz w:val="21"/>
      <w:szCs w:val="24"/>
      <w:lang w:val="en-US" w:eastAsia="zh-CN" w:bidi="ar-SA"/>
    </w:rPr>
  </w:style>
  <w:style w:type="paragraph" w:customStyle="1" w:styleId="53">
    <w:name w:val="样式 25 10 磅"/>
    <w:next w:val="60"/>
    <w:pPr>
      <w:widowControl w:val="0"/>
      <w:jc w:val="both"/>
    </w:pPr>
    <w:rPr>
      <w:rFonts w:ascii="Times New Roman" w:eastAsia="宋体" w:cs="Times New Roman" w:hAnsi="Times New Roman"/>
      <w:kern w:val="2"/>
      <w:sz w:val="21"/>
      <w:szCs w:val="24"/>
      <w:lang w:val="en-US" w:eastAsia="zh-CN" w:bidi="ar-SA"/>
    </w:rPr>
  </w:style>
  <w:style w:type="paragraph" w:customStyle="1" w:styleId="54">
    <w:name w:val="样式 24 10 磅"/>
    <w:next w:val="59"/>
    <w:pPr>
      <w:widowControl w:val="0"/>
      <w:jc w:val="both"/>
    </w:pPr>
    <w:rPr>
      <w:rFonts w:ascii="Times New Roman" w:eastAsia="宋体" w:cs="Times New Roman" w:hAnsi="Times New Roman"/>
      <w:kern w:val="2"/>
      <w:sz w:val="21"/>
      <w:szCs w:val="24"/>
      <w:lang w:val="en-US" w:eastAsia="zh-CN" w:bidi="ar-SA"/>
    </w:rPr>
  </w:style>
  <w:style w:type="paragraph" w:customStyle="1" w:styleId="55">
    <w:name w:val="样式 23 10 磅"/>
    <w:next w:val="58"/>
    <w:pPr>
      <w:widowControl w:val="0"/>
      <w:jc w:val="both"/>
    </w:pPr>
    <w:rPr>
      <w:rFonts w:ascii="Times New Roman" w:eastAsia="宋体" w:cs="Times New Roman" w:hAnsi="Times New Roman"/>
      <w:kern w:val="2"/>
      <w:sz w:val="21"/>
      <w:szCs w:val="24"/>
      <w:lang w:val="en-US" w:eastAsia="zh-CN" w:bidi="ar-SA"/>
    </w:rPr>
  </w:style>
  <w:style w:type="paragraph" w:customStyle="1" w:styleId="56">
    <w:name w:val="样式 6 10 磅"/>
    <w:pPr>
      <w:widowControl w:val="0"/>
      <w:jc w:val="both"/>
    </w:pPr>
    <w:rPr>
      <w:rFonts w:ascii="Times New Roman" w:eastAsia="宋体" w:cs="Times New Roman" w:hAnsi="Times New Roman"/>
      <w:kern w:val="2"/>
      <w:sz w:val="21"/>
      <w:szCs w:val="24"/>
      <w:lang w:val="en-US" w:eastAsia="zh-CN" w:bidi="ar-SA"/>
    </w:rPr>
  </w:style>
  <w:style w:type="paragraph" w:customStyle="1" w:styleId="57">
    <w:name w:val="样式 21 10 磅"/>
    <w:next w:val="56"/>
    <w:pPr>
      <w:widowControl w:val="0"/>
      <w:jc w:val="both"/>
    </w:pPr>
    <w:rPr>
      <w:rFonts w:ascii="Times New Roman" w:eastAsia="宋体" w:cs="Times New Roman" w:hAnsi="Times New Roman"/>
      <w:kern w:val="2"/>
      <w:sz w:val="21"/>
      <w:szCs w:val="24"/>
      <w:lang w:val="en-US" w:eastAsia="zh-CN" w:bidi="ar-SA"/>
    </w:rPr>
  </w:style>
  <w:style w:type="paragraph" w:customStyle="1" w:styleId="58">
    <w:name w:val="样式 20 10 磅"/>
    <w:next w:val="55"/>
    <w:pPr>
      <w:widowControl w:val="0"/>
      <w:jc w:val="both"/>
    </w:pPr>
    <w:rPr>
      <w:rFonts w:ascii="Times New Roman" w:eastAsia="宋体" w:cs="Times New Roman" w:hAnsi="Times New Roman"/>
      <w:kern w:val="2"/>
      <w:sz w:val="21"/>
      <w:szCs w:val="24"/>
      <w:lang w:val="en-US" w:eastAsia="zh-CN" w:bidi="ar-SA"/>
    </w:rPr>
  </w:style>
  <w:style w:type="paragraph" w:customStyle="1" w:styleId="59">
    <w:name w:val="样式 19 10 磅"/>
    <w:next w:val="54"/>
    <w:pPr>
      <w:widowControl w:val="0"/>
      <w:jc w:val="both"/>
    </w:pPr>
    <w:rPr>
      <w:rFonts w:ascii="Times New Roman" w:eastAsia="宋体" w:cs="Times New Roman" w:hAnsi="Times New Roman"/>
      <w:kern w:val="2"/>
      <w:sz w:val="21"/>
      <w:szCs w:val="24"/>
      <w:lang w:val="en-US" w:eastAsia="zh-CN" w:bidi="ar-SA"/>
    </w:rPr>
  </w:style>
  <w:style w:type="paragraph" w:customStyle="1" w:styleId="60">
    <w:name w:val="样式 7 10 磅"/>
    <w:pPr>
      <w:widowControl w:val="0"/>
      <w:jc w:val="both"/>
    </w:pPr>
    <w:rPr>
      <w:rFonts w:ascii="Times New Roman" w:eastAsia="宋体" w:cs="Times New Roman" w:hAnsi="Times New Roman"/>
      <w:kern w:val="2"/>
      <w:sz w:val="21"/>
      <w:szCs w:val="24"/>
      <w:lang w:val="en-US" w:eastAsia="zh-CN" w:bidi="ar-SA"/>
    </w:rPr>
  </w:style>
  <w:style w:type="paragraph" w:customStyle="1" w:styleId="61">
    <w:name w:val="样式 17 10 磅"/>
    <w:next w:val="52"/>
    <w:pPr>
      <w:widowControl w:val="0"/>
      <w:jc w:val="both"/>
    </w:pPr>
    <w:rPr>
      <w:rFonts w:ascii="Times New Roman" w:eastAsia="宋体" w:cs="Times New Roman" w:hAnsi="Times New Roman"/>
      <w:kern w:val="2"/>
      <w:sz w:val="21"/>
      <w:szCs w:val="24"/>
      <w:lang w:val="en-US" w:eastAsia="zh-CN" w:bidi="ar-SA"/>
    </w:rPr>
  </w:style>
  <w:style w:type="paragraph" w:customStyle="1" w:styleId="62">
    <w:name w:val="样式 15 10 磅"/>
    <w:next w:val="50"/>
    <w:pPr>
      <w:widowControl w:val="0"/>
      <w:jc w:val="both"/>
    </w:pPr>
    <w:rPr>
      <w:rFonts w:ascii="Times New Roman" w:eastAsia="宋体" w:cs="Times New Roman" w:hAnsi="Times New Roman"/>
      <w:kern w:val="2"/>
      <w:sz w:val="21"/>
      <w:szCs w:val="24"/>
      <w:lang w:val="en-US" w:eastAsia="zh-CN" w:bidi="ar-SA"/>
    </w:rPr>
  </w:style>
  <w:style w:type="paragraph" w:customStyle="1" w:styleId="63">
    <w:name w:val="样式 14 10 磅"/>
    <w:next w:val="49"/>
    <w:pPr>
      <w:widowControl w:val="0"/>
      <w:jc w:val="both"/>
    </w:pPr>
    <w:rPr>
      <w:rFonts w:ascii="Times New Roman" w:eastAsia="宋体" w:cs="Times New Roman" w:hAnsi="Times New Roman"/>
      <w:kern w:val="2"/>
      <w:sz w:val="21"/>
      <w:szCs w:val="24"/>
      <w:lang w:val="en-US" w:eastAsia="zh-CN" w:bidi="ar-SA"/>
    </w:rPr>
  </w:style>
  <w:style w:type="paragraph" w:customStyle="1" w:styleId="64">
    <w:name w:val="样式 13 10 磅"/>
    <w:next w:val="48"/>
    <w:pPr>
      <w:widowControl w:val="0"/>
      <w:jc w:val="both"/>
    </w:pPr>
    <w:rPr>
      <w:rFonts w:ascii="Times New Roman" w:eastAsia="宋体" w:cs="Times New Roman" w:hAnsi="Times New Roman"/>
      <w:kern w:val="2"/>
      <w:sz w:val="21"/>
      <w:szCs w:val="24"/>
      <w:lang w:val="en-US" w:eastAsia="zh-CN" w:bidi="ar-SA"/>
    </w:rPr>
  </w:style>
  <w:style w:type="paragraph" w:customStyle="1" w:styleId="65">
    <w:name w:val="样式 12 10 磅"/>
    <w:next w:val="47"/>
    <w:pPr>
      <w:widowControl w:val="0"/>
      <w:jc w:val="both"/>
    </w:pPr>
    <w:rPr>
      <w:rFonts w:ascii="Times New Roman" w:eastAsia="宋体" w:cs="Times New Roman" w:hAnsi="Times New Roman"/>
      <w:kern w:val="2"/>
      <w:sz w:val="21"/>
      <w:szCs w:val="24"/>
      <w:lang w:val="en-US" w:eastAsia="zh-CN" w:bidi="ar-SA"/>
    </w:rPr>
  </w:style>
  <w:style w:type="paragraph" w:customStyle="1" w:styleId="66">
    <w:name w:val="样式 11 10 磅"/>
    <w:next w:val="46"/>
    <w:pPr>
      <w:widowControl w:val="0"/>
      <w:jc w:val="both"/>
    </w:pPr>
    <w:rPr>
      <w:rFonts w:ascii="Times New Roman" w:eastAsia="宋体" w:cs="Times New Roman" w:hAnsi="Times New Roman"/>
      <w:kern w:val="2"/>
      <w:sz w:val="21"/>
      <w:szCs w:val="24"/>
      <w:lang w:val="en-US" w:eastAsia="zh-CN" w:bidi="ar-SA"/>
    </w:rPr>
  </w:style>
  <w:style w:type="paragraph" w:customStyle="1" w:styleId="67">
    <w:name w:val="样式 9 10 磅"/>
    <w:next w:val="44"/>
    <w:pPr>
      <w:widowControl w:val="0"/>
      <w:jc w:val="both"/>
    </w:pPr>
    <w:rPr>
      <w:rFonts w:ascii="Times New Roman" w:eastAsia="宋体" w:cs="Times New Roman" w:hAnsi="Times New Roman"/>
      <w:kern w:val="2"/>
      <w:sz w:val="21"/>
      <w:szCs w:val="24"/>
      <w:lang w:val="en-US" w:eastAsia="zh-CN" w:bidi="ar-SA"/>
    </w:rPr>
  </w:style>
  <w:style w:type="paragraph" w:customStyle="1" w:styleId="68">
    <w:name w:val="样式 8 10 磅"/>
    <w:next w:val="43"/>
    <w:pPr>
      <w:widowControl w:val="0"/>
      <w:jc w:val="both"/>
    </w:pPr>
    <w:rPr>
      <w:rFonts w:ascii="Times New Roman" w:eastAsia="宋体" w:cs="Times New Roman" w:hAnsi="Times New Roman"/>
      <w:kern w:val="2"/>
      <w:sz w:val="21"/>
      <w:szCs w:val="24"/>
      <w:lang w:val="en-US" w:eastAsia="zh-CN" w:bidi="ar-SA"/>
    </w:rPr>
  </w:style>
  <w:style w:type="paragraph" w:customStyle="1" w:styleId="69">
    <w:name w:val="样式 10 10 磅"/>
    <w:pPr>
      <w:widowControl w:val="0"/>
      <w:jc w:val="both"/>
    </w:pPr>
    <w:rPr>
      <w:rFonts w:ascii="Times New Roman" w:eastAsia="宋体" w:cs="Times New Roman" w:hAnsi="Times New Roman"/>
      <w:kern w:val="2"/>
      <w:sz w:val="21"/>
      <w:szCs w:val="24"/>
      <w:lang w:val="en-US" w:eastAsia="zh-CN" w:bidi="ar-SA"/>
    </w:rPr>
  </w:style>
  <w:style w:type="paragraph" w:customStyle="1" w:styleId="70">
    <w:name w:val="样式 16 10 磅"/>
    <w:pPr>
      <w:widowControl w:val="0"/>
      <w:jc w:val="both"/>
    </w:pPr>
    <w:rPr>
      <w:rFonts w:ascii="Times New Roman" w:eastAsia="宋体" w:cs="Times New Roman" w:hAnsi="Times New Roman"/>
      <w:kern w:val="2"/>
      <w:sz w:val="21"/>
      <w:szCs w:val="24"/>
      <w:lang w:val="en-US" w:eastAsia="zh-CN" w:bidi="ar-SA"/>
    </w:rPr>
  </w:style>
  <w:style w:type="paragraph" w:customStyle="1" w:styleId="71">
    <w:name w:val="样式 22 10 磅"/>
    <w:pPr>
      <w:widowControl w:val="0"/>
      <w:jc w:val="both"/>
    </w:pPr>
    <w:rPr>
      <w:rFonts w:ascii="Times New Roman" w:eastAsia="宋体" w:cs="Times New Roman" w:hAnsi="Times New Roman"/>
      <w:kern w:val="2"/>
      <w:sz w:val="21"/>
      <w:szCs w:val="24"/>
      <w:lang w:val="en-US" w:eastAsia="zh-CN" w:bidi="ar-SA"/>
    </w:rPr>
  </w:style>
  <w:style w:type="paragraph" w:customStyle="1" w:styleId="72">
    <w:name w:val="样式 31 10 磅"/>
    <w:pPr>
      <w:widowControl w:val="0"/>
      <w:jc w:val="both"/>
    </w:pPr>
    <w:rPr>
      <w:rFonts w:ascii="Times New Roman" w:eastAsia="宋体" w:cs="Times New Roman" w:hAnsi="Times New Roman"/>
      <w:kern w:val="2"/>
      <w:sz w:val="21"/>
      <w:szCs w:val="24"/>
      <w:lang w:val="en-US" w:eastAsia="zh-CN" w:bidi="ar-SA"/>
    </w:rPr>
  </w:style>
  <w:style w:type="paragraph" w:customStyle="1" w:styleId="73">
    <w:name w:val="样式 1 10 磅1"/>
    <w:next w:val="35"/>
    <w:pPr>
      <w:widowControl w:val="0"/>
      <w:jc w:val="both"/>
    </w:pPr>
    <w:rPr>
      <w:rFonts w:ascii="Times New Roman" w:eastAsia="宋体" w:cs="Times New Roman" w:hAnsi="Times New Roman"/>
      <w:kern w:val="2"/>
      <w:sz w:val="21"/>
      <w:szCs w:val="24"/>
      <w:lang w:val="en-US" w:eastAsia="zh-CN" w:bidi="ar-SA"/>
    </w:rPr>
  </w:style>
  <w:style w:type="paragraph" w:customStyle="1" w:styleId="74">
    <w:name w:val="样式 33 10 磅"/>
    <w:pPr>
      <w:widowControl w:val="0"/>
      <w:jc w:val="both"/>
    </w:pPr>
    <w:rPr>
      <w:rFonts w:ascii="Times New Roman" w:eastAsia="宋体" w:cs="Times New Roman" w:hAnsi="Times New Roman"/>
      <w:kern w:val="2"/>
      <w:sz w:val="21"/>
      <w:szCs w:val="24"/>
      <w:lang w:val="en-US" w:eastAsia="zh-CN" w:bidi="ar-SA"/>
    </w:rPr>
  </w:style>
  <w:style w:type="paragraph" w:customStyle="1" w:styleId="75">
    <w:name w:val="样式 34 10 磅"/>
    <w:pPr>
      <w:widowControl w:val="0"/>
      <w:jc w:val="both"/>
    </w:pPr>
    <w:rPr>
      <w:rFonts w:ascii="Times New Roman" w:eastAsia="宋体" w:cs="Times New Roman" w:hAnsi="Times New Roman"/>
      <w:kern w:val="2"/>
      <w:sz w:val="21"/>
      <w:szCs w:val="24"/>
      <w:lang w:val="en-US" w:eastAsia="zh-CN" w:bidi="ar-SA"/>
    </w:rPr>
  </w:style>
  <w:style w:type="paragraph" w:customStyle="1" w:styleId="76">
    <w:name w:val="样式 35 10 磅"/>
    <w:pPr>
      <w:widowControl w:val="0"/>
      <w:jc w:val="both"/>
    </w:pPr>
    <w:rPr>
      <w:rFonts w:ascii="Times New Roman" w:eastAsia="宋体" w:cs="Times New Roman" w:hAnsi="Times New Roman"/>
      <w:kern w:val="2"/>
      <w:sz w:val="21"/>
      <w:szCs w:val="24"/>
      <w:lang w:val="en-US" w:eastAsia="zh-CN" w:bidi="ar-SA"/>
    </w:rPr>
  </w:style>
  <w:style w:type="paragraph" w:customStyle="1" w:styleId="77">
    <w:name w:val="样式 36 10 磅"/>
    <w:pPr>
      <w:widowControl w:val="0"/>
      <w:jc w:val="both"/>
    </w:pPr>
    <w:rPr>
      <w:rFonts w:ascii="Times New Roman" w:eastAsia="宋体" w:cs="Times New Roman" w:hAnsi="Times New Roman"/>
      <w:kern w:val="2"/>
      <w:sz w:val="21"/>
      <w:szCs w:val="24"/>
      <w:lang w:val="en-US" w:eastAsia="zh-CN" w:bidi="ar-SA"/>
    </w:rPr>
  </w:style>
  <w:style w:type="paragraph" w:customStyle="1" w:styleId="78">
    <w:name w:val="正文74"/>
    <w:next w:val="37"/>
    <w:pPr>
      <w:widowControl w:val="0"/>
      <w:jc w:val="both"/>
    </w:pPr>
    <w:rPr>
      <w:rFonts w:ascii="Times New Roman" w:eastAsia="宋体" w:cs="Times New Roman" w:hAnsi="Times New Roman"/>
      <w:kern w:val="2"/>
      <w:sz w:val="21"/>
      <w:szCs w:val="21"/>
      <w:lang w:val="en-US" w:eastAsia="zh-CN" w:bidi="ar-SA"/>
    </w:rPr>
  </w:style>
  <w:style w:type="paragraph" w:customStyle="1" w:styleId="79">
    <w:name w:val="正文49"/>
    <w:next w:val="32"/>
    <w:pPr>
      <w:widowControl w:val="0"/>
      <w:jc w:val="both"/>
    </w:pPr>
    <w:rPr>
      <w:rFonts w:ascii="Times New Roman" w:eastAsia="宋体" w:cs="Times New Roman" w:hAnsi="Times New Roman"/>
      <w:kern w:val="2"/>
      <w:sz w:val="21"/>
      <w:szCs w:val="24"/>
      <w:lang w:val="en-US" w:eastAsia="zh-CN" w:bidi="ar-SA"/>
    </w:rPr>
  </w:style>
  <w:style w:type="paragraph" w:customStyle="1" w:styleId="80">
    <w:name w:val="样式 39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oleObject" Target="embeddings/oleObject1.bin"/><Relationship Id="rId4" Type="http://schemas.openxmlformats.org/officeDocument/2006/relationships/styles" Target="styles.xml"/><Relationship Id="rId5" Type="http://schemas.openxmlformats.org/officeDocument/2006/relationships/numbering" Target="numbering.xml"/><Relationship Id="rId6" Type="http://schemas.openxmlformats.org/officeDocument/2006/relationships/fontTable" Target="fontTable.xml"/></Relationships>
</file>

<file path=docProps/app.xml><?xml version="1.0" encoding="utf-8"?>
<Properties xmlns="http://schemas.openxmlformats.org/officeDocument/2006/extended-properties">
  <Template>Normal.eit</Template>
  <TotalTime>29</TotalTime>
  <Application>Yozo_Office</Application>
  <Pages>10</Pages>
  <Words>4475</Words>
  <Characters>4597</Characters>
  <Lines>271</Lines>
  <Paragraphs>117</Paragraphs>
  <CharactersWithSpaces>4610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张耀媛</cp:lastModifiedBy>
  <cp:revision>1</cp:revision>
  <dcterms:created xsi:type="dcterms:W3CDTF">2022-04-19T02:39:00Z</dcterms:created>
  <dcterms:modified xsi:type="dcterms:W3CDTF">2026-06-15T10:04:18Z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TemplateDocerSaveRecord">
    <vt:lpwstr>eyJoZGlkIjoiOGZmMGJjOGU1ZWMzYmRiOGJhYWFmNDhjMjNkOTE3Y2IiLCJ1c2VySWQiOiIyOTI1MzIyMTkifQ==</vt:lpwstr>
  </property>
  <property fmtid="{D5CDD505-2E9C-101B-9397-08002B2CF9AE}" pid="3" name="KSOProductBuildVer">
    <vt:lpwstr>2052-12.1.0.25225</vt:lpwstr>
  </property>
  <property fmtid="{D5CDD505-2E9C-101B-9397-08002B2CF9AE}" pid="4" name="ICV">
    <vt:lpwstr>E428A50CBE6947EBAAE614A8584438F0_13</vt:lpwstr>
  </property>
</Properties>
</file>