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jc w:val="center"/>
        <w:rPr>
          <w:rFonts w:ascii="Times New Roman" w:hAnsi="Times New Roman"/>
          <w:sz w:val="48"/>
          <w:szCs w:val="48"/>
        </w:rPr>
      </w:pPr>
      <w:r>
        <w:rPr>
          <w:rFonts w:ascii="Times New Roman" w:hAnsi="Times New Roman" w:hint="eastAsia"/>
          <w:sz w:val="48"/>
          <w:szCs w:val="48"/>
        </w:rPr>
        <w:t xml:space="preserve">       </w:t>
      </w:r>
    </w:p>
    <w:p>
      <w:pPr>
        <w:jc w:val="center"/>
        <w:rPr>
          <w:rFonts w:ascii="Times New Roman" w:hAnsi="Times New Roman"/>
          <w:sz w:val="48"/>
          <w:szCs w:val="48"/>
        </w:rPr>
      </w:pPr>
    </w:p>
    <w:p>
      <w:pPr>
        <w:jc w:val="center"/>
        <w:rPr>
          <w:rFonts w:ascii="Times New Roman" w:hAnsi="Times New Roman"/>
          <w:sz w:val="48"/>
          <w:szCs w:val="48"/>
        </w:rPr>
      </w:pPr>
    </w:p>
    <w:p>
      <w:pPr>
        <w:jc w:val="center"/>
        <w:rPr>
          <w:rFonts w:ascii="Times New Roman" w:hAnsi="Times New Roman"/>
          <w:sz w:val="48"/>
          <w:szCs w:val="48"/>
        </w:rPr>
      </w:pPr>
    </w:p>
    <w:p>
      <w:pPr>
        <w:jc w:val="center"/>
        <w:rPr>
          <w:rFonts w:ascii="Times New Roman" w:hAnsi="Times New Roman"/>
          <w:sz w:val="48"/>
          <w:szCs w:val="48"/>
        </w:rPr>
      </w:pPr>
      <w:r>
        <w:rPr>
          <w:rFonts w:ascii="Times New Roman" w:hAnsi="Times New Roman" w:hint="eastAsia"/>
          <w:sz w:val="48"/>
          <w:szCs w:val="48"/>
        </w:rPr>
        <w:t xml:space="preserve">                 </w:t>
      </w:r>
      <w:r>
        <w:rPr>
          <w:rFonts w:ascii="Times New Roman" w:hAnsi="Times New Roman"/>
          <w:lang w:bidi="mn-Mong-CN"/>
        </w:rPr>
        <w:drawing>
          <wp:inline distT="0" distB="0" distL="0" distR="0">
            <wp:extent cx="3067050" cy="3067050"/>
            <wp:effectExtent l="0" t="0" r="0" b="0"/>
            <wp:docPr id="1" name="图片 1" descr="C:\Users\lenovo\AppData\Local\Temp\ksohtml11336\wps1.jpg"/>
            <wp:cNvGraphicFramePr>
              <a:graphicFrameLocks noChangeAspect="1"/>
            </wp:cNvGraphicFramePr>
            <a:graphic>
              <a:graphicData uri="http://schemas.openxmlformats.org/drawingml/2006/picture">
                <pic:pic>
                  <pic:nvPicPr>
                    <pic:cNvPr id="3" name="图片 3"/>
                    <pic:cNvPicPr/>
                  </pic:nvPicPr>
                  <pic:blipFill>
                    <a:blip r:embed="rId2"/>
                    <a:stretch>
                      <a:fillRect/>
                    </a:stretch>
                  </pic:blipFill>
                  <pic:spPr>
                    <a:xfrm rot="0">
                      <a:off x="0" y="0"/>
                      <a:ext cx="3067050" cy="3067050"/>
                    </a:xfrm>
                    <a:prstGeom prst="rect"/>
                    <a:noFill/>
                    <a:ln w="9525" cmpd="sng" cap="flat">
                      <a:noFill/>
                      <a:prstDash val="solid"/>
                      <a:round/>
                    </a:ln>
                  </pic:spPr>
                </pic:pic>
              </a:graphicData>
            </a:graphic>
          </wp:inline>
        </w:drawing>
      </w:r>
    </w:p>
    <w:p>
      <w:pPr>
        <w:jc w:val="center"/>
        <w:rPr>
          <w:rFonts w:ascii="Times New Roman" w:hAnsi="Times New Roman"/>
          <w:sz w:val="48"/>
          <w:szCs w:val="48"/>
        </w:rPr>
      </w:pPr>
      <w:r>
        <w:rPr>
          <w:rFonts w:ascii="Times New Roman" w:hAnsi="Times New Roman" w:hint="eastAsia"/>
          <w:sz w:val="48"/>
          <w:szCs w:val="48"/>
        </w:rPr>
        <w:t xml:space="preserve">                   </w:t>
      </w:r>
    </w:p>
    <w:p>
      <w:pPr>
        <w:jc w:val="center"/>
        <w:rPr>
          <w:rFonts w:ascii="Times New Roman" w:hAnsi="Times New Roman"/>
          <w:sz w:val="84"/>
          <w:szCs w:val="84"/>
        </w:rPr>
      </w:pPr>
      <w:r>
        <w:rPr>
          <w:rFonts w:ascii="Times New Roman" w:hAnsi="Times New Roman" w:hint="eastAsia"/>
          <w:sz w:val="84"/>
          <w:szCs w:val="84"/>
        </w:rPr>
        <w:t>呼和浩特海关</w:t>
      </w:r>
    </w:p>
    <w:p>
      <w:pPr>
        <w:jc w:val="center"/>
        <w:rPr>
          <w:rFonts w:ascii="Times New Roman" w:hAnsi="Times New Roman"/>
          <w:sz w:val="84"/>
          <w:szCs w:val="84"/>
        </w:rPr>
      </w:pPr>
      <w:r>
        <w:rPr>
          <w:rFonts w:ascii="Times New Roman" w:hAnsi="Times New Roman" w:hint="eastAsia"/>
          <w:sz w:val="84"/>
          <w:szCs w:val="84"/>
        </w:rPr>
        <w:t>部门预算</w:t>
      </w:r>
    </w:p>
    <w:p>
      <w:pPr>
        <w:jc w:val="center"/>
        <w:rPr>
          <w:rFonts w:ascii="Times New Roman" w:hAnsi="Times New Roman"/>
          <w:sz w:val="44"/>
          <w:szCs w:val="44"/>
        </w:rPr>
      </w:pPr>
      <w:r>
        <w:rPr>
          <w:rFonts w:ascii="Times New Roman" w:hAnsi="Times New Roman" w:hint="eastAsia"/>
          <w:sz w:val="44"/>
          <w:szCs w:val="44"/>
        </w:rPr>
        <w:t>202</w:t>
      </w:r>
      <w:r>
        <w:rPr>
          <w:rFonts w:ascii="Times New Roman" w:hAnsi="Times New Roman"/>
          <w:sz w:val="44"/>
          <w:szCs w:val="44"/>
        </w:rPr>
        <w:t>3</w:t>
      </w:r>
      <w:r>
        <w:rPr>
          <w:rFonts w:ascii="Times New Roman" w:hAnsi="Times New Roman" w:hint="eastAsia"/>
          <w:sz w:val="44"/>
          <w:szCs w:val="44"/>
        </w:rPr>
        <w:t>年</w:t>
      </w:r>
    </w:p>
    <w:p>
      <w:pPr>
        <w:jc w:val="center"/>
        <w:rPr>
          <w:rFonts w:ascii="Times New Roman" w:hAnsi="Times New Roman"/>
          <w:sz w:val="44"/>
          <w:szCs w:val="44"/>
        </w:rPr>
      </w:pPr>
      <w:r>
        <w:rPr>
          <w:rFonts w:ascii="Times New Roman" w:hAnsi="Times New Roman" w:hint="eastAsia"/>
          <w:sz w:val="44"/>
          <w:szCs w:val="44"/>
        </w:rPr>
        <w:t xml:space="preserve"> </w:t>
      </w: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sectPr>
          <w:pgSz w:w="11906" w:h="16838"/>
          <w:pgMar w:top="1440" w:right="1800" w:bottom="1440" w:left="1800" w:header="851" w:footer="992" w:gutter="0"/>
          <w:pgNumType w:start="0"/>
          <w:docGrid w:type="lines" w:linePitch="312" w:charSpace="0"/>
        </w:sectPr>
      </w:pPr>
    </w:p>
    <w:p>
      <w:pPr>
        <w:jc w:val="center"/>
        <w:rPr>
          <w:rFonts w:ascii="Times New Roman" w:cs="Times New Roman" w:hAnsi="Times New Roman"/>
          <w:b/>
          <w:sz w:val="84"/>
          <w:szCs w:val="84"/>
        </w:rPr>
      </w:pPr>
      <w:r>
        <w:rPr>
          <w:rFonts w:ascii="Times New Roman" w:eastAsia="方正仿宋_GBK" w:hAnsi="Times New Roman"/>
          <w:sz w:val="84"/>
          <w:szCs w:val="84"/>
        </w:rPr>
        <w:tab/>
      </w:r>
      <w:r>
        <w:rPr>
          <w:rFonts w:ascii="宋体" w:hint="eastAsia"/>
          <w:b/>
          <w:sz w:val="84"/>
          <w:szCs w:val="84"/>
        </w:rPr>
        <w:t>目</w:t>
      </w:r>
      <w:r>
        <w:rPr>
          <w:b/>
          <w:sz w:val="84"/>
          <w:szCs w:val="84"/>
        </w:rPr>
        <w:t xml:space="preserve">  </w:t>
      </w:r>
      <w:r>
        <w:rPr>
          <w:rFonts w:ascii="宋体" w:hint="eastAsia"/>
          <w:b/>
          <w:sz w:val="84"/>
          <w:szCs w:val="84"/>
        </w:rPr>
        <w:t>录</w:t>
      </w:r>
    </w:p>
    <w:p>
      <w:pPr>
        <w:jc w:val="center"/>
        <w:rPr>
          <w:b/>
          <w:sz w:val="84"/>
          <w:szCs w:val="84"/>
        </w:rPr>
      </w:pPr>
      <w:r>
        <w:rPr>
          <w:b/>
          <w:sz w:val="84"/>
          <w:szCs w:val="84"/>
        </w:rPr>
        <w:t xml:space="preserve"> </w:t>
      </w:r>
    </w:p>
    <w:p>
      <w:pPr>
        <w:rPr>
          <w:b/>
          <w:sz w:val="44"/>
          <w:szCs w:val="44"/>
        </w:rPr>
      </w:pPr>
      <w:r>
        <w:rPr>
          <w:rFonts w:ascii="宋体" w:hint="eastAsia"/>
          <w:b/>
          <w:sz w:val="44"/>
          <w:szCs w:val="44"/>
        </w:rPr>
        <w:t>第一部分</w:t>
      </w:r>
      <w:r>
        <w:rPr>
          <w:rFonts w:hint="eastAsia"/>
          <w:b/>
          <w:sz w:val="44"/>
          <w:szCs w:val="44"/>
        </w:rPr>
        <w:t xml:space="preserve">  呼和浩特</w:t>
      </w:r>
      <w:r>
        <w:rPr>
          <w:rFonts w:ascii="宋体" w:hint="eastAsia"/>
          <w:b/>
          <w:sz w:val="44"/>
          <w:szCs w:val="44"/>
        </w:rPr>
        <w:t>海关</w:t>
      </w:r>
      <w:r>
        <w:rPr>
          <w:rFonts w:ascii="宋体"/>
          <w:b/>
          <w:sz w:val="44"/>
          <w:szCs w:val="44"/>
        </w:rPr>
        <w:t>单位</w:t>
      </w:r>
      <w:r>
        <w:rPr>
          <w:rFonts w:ascii="宋体" w:hint="eastAsia"/>
          <w:b/>
          <w:sz w:val="44"/>
          <w:szCs w:val="44"/>
        </w:rPr>
        <w:t>概况</w:t>
      </w:r>
    </w:p>
    <w:p>
      <w:pPr>
        <w:rPr>
          <w:sz w:val="36"/>
          <w:szCs w:val="36"/>
        </w:rPr>
      </w:pPr>
      <w:r>
        <w:rPr>
          <w:rFonts w:ascii="宋体" w:hint="eastAsia"/>
          <w:sz w:val="36"/>
          <w:szCs w:val="36"/>
        </w:rPr>
        <w:t>一、主要职能</w:t>
      </w:r>
    </w:p>
    <w:p>
      <w:pPr>
        <w:rPr>
          <w:sz w:val="36"/>
          <w:szCs w:val="36"/>
        </w:rPr>
      </w:pPr>
      <w:r>
        <w:rPr>
          <w:rFonts w:ascii="宋体" w:hint="eastAsia"/>
          <w:sz w:val="36"/>
          <w:szCs w:val="36"/>
        </w:rPr>
        <w:t>二、呼和浩特海关单位构成情况</w:t>
      </w:r>
      <w:r>
        <w:rPr>
          <w:rFonts w:hint="eastAsia"/>
          <w:sz w:val="36"/>
          <w:szCs w:val="36"/>
        </w:rPr>
        <w:t xml:space="preserve"> </w:t>
      </w:r>
    </w:p>
    <w:p>
      <w:pPr>
        <w:rPr>
          <w:b/>
          <w:sz w:val="44"/>
          <w:szCs w:val="44"/>
        </w:rPr>
      </w:pPr>
      <w:r>
        <w:rPr>
          <w:rFonts w:ascii="宋体" w:hint="eastAsia"/>
          <w:b/>
          <w:sz w:val="44"/>
          <w:szCs w:val="44"/>
        </w:rPr>
        <w:t>第二部分</w:t>
      </w:r>
      <w:r>
        <w:rPr>
          <w:rFonts w:hint="eastAsia"/>
          <w:b/>
          <w:sz w:val="44"/>
          <w:szCs w:val="44"/>
        </w:rPr>
        <w:t xml:space="preserve">  呼和浩特</w:t>
      </w:r>
      <w:r>
        <w:rPr>
          <w:rFonts w:ascii="宋体" w:hint="eastAsia"/>
          <w:b/>
          <w:sz w:val="44"/>
          <w:szCs w:val="44"/>
        </w:rPr>
        <w:t>海关</w:t>
      </w:r>
      <w:r>
        <w:rPr>
          <w:b/>
          <w:sz w:val="44"/>
          <w:szCs w:val="44"/>
        </w:rPr>
        <w:t>2023</w:t>
      </w:r>
      <w:r>
        <w:rPr>
          <w:rFonts w:ascii="宋体" w:hint="eastAsia"/>
          <w:b/>
          <w:sz w:val="44"/>
          <w:szCs w:val="44"/>
        </w:rPr>
        <w:t>年部门预算表</w:t>
      </w:r>
    </w:p>
    <w:p>
      <w:pPr>
        <w:rPr>
          <w:color w:val="3366FF"/>
          <w:sz w:val="36"/>
          <w:szCs w:val="36"/>
        </w:rPr>
      </w:pPr>
      <w:r>
        <w:rPr>
          <w:rFonts w:ascii="宋体" w:hint="eastAsia"/>
          <w:sz w:val="36"/>
          <w:szCs w:val="36"/>
        </w:rPr>
        <w:t>一、</w:t>
      </w:r>
      <w:r>
        <w:rPr>
          <w:rFonts w:ascii="宋体"/>
          <w:sz w:val="36"/>
          <w:szCs w:val="36"/>
        </w:rPr>
        <w:t>部门</w:t>
      </w:r>
      <w:r>
        <w:rPr>
          <w:rFonts w:ascii="宋体" w:hint="eastAsia"/>
          <w:sz w:val="36"/>
          <w:szCs w:val="36"/>
        </w:rPr>
        <w:t>收支总表</w:t>
      </w:r>
    </w:p>
    <w:p>
      <w:pPr>
        <w:pStyle w:val="28"/>
        <w:rPr>
          <w:sz w:val="36"/>
          <w:szCs w:val="36"/>
        </w:rPr>
      </w:pPr>
      <w:r>
        <w:rPr>
          <w:rFonts w:ascii="宋体" w:hint="eastAsia"/>
          <w:sz w:val="36"/>
          <w:szCs w:val="36"/>
        </w:rPr>
        <w:t>二、部门收入总表</w:t>
      </w:r>
    </w:p>
    <w:p>
      <w:pPr>
        <w:pStyle w:val="27"/>
        <w:rPr>
          <w:sz w:val="36"/>
          <w:szCs w:val="36"/>
        </w:rPr>
      </w:pPr>
      <w:r>
        <w:rPr>
          <w:rFonts w:ascii="宋体" w:hint="eastAsia"/>
          <w:sz w:val="36"/>
          <w:szCs w:val="36"/>
        </w:rPr>
        <w:t>三、部门支出总表</w:t>
      </w:r>
    </w:p>
    <w:p>
      <w:pPr>
        <w:rPr>
          <w:sz w:val="36"/>
          <w:szCs w:val="36"/>
        </w:rPr>
      </w:pPr>
      <w:r>
        <w:rPr>
          <w:rFonts w:ascii="宋体" w:hint="eastAsia"/>
          <w:sz w:val="36"/>
          <w:szCs w:val="36"/>
        </w:rPr>
        <w:t>四、</w:t>
      </w:r>
      <w:r>
        <w:rPr>
          <w:rFonts w:ascii="宋体"/>
          <w:sz w:val="36"/>
          <w:szCs w:val="36"/>
        </w:rPr>
        <w:t>财政拨款收支总表</w:t>
      </w:r>
    </w:p>
    <w:p>
      <w:pPr>
        <w:rPr>
          <w:sz w:val="36"/>
          <w:szCs w:val="36"/>
        </w:rPr>
      </w:pPr>
      <w:r>
        <w:rPr>
          <w:rFonts w:ascii="宋体" w:hint="eastAsia"/>
          <w:sz w:val="36"/>
          <w:szCs w:val="36"/>
        </w:rPr>
        <w:t>五、</w:t>
      </w:r>
      <w:r>
        <w:rPr>
          <w:rFonts w:ascii="宋体"/>
          <w:sz w:val="36"/>
          <w:szCs w:val="36"/>
        </w:rPr>
        <w:t>一般公共预算支出表</w:t>
      </w:r>
    </w:p>
    <w:p>
      <w:pPr>
        <w:rPr>
          <w:color w:val="339966"/>
          <w:sz w:val="36"/>
          <w:szCs w:val="36"/>
        </w:rPr>
      </w:pPr>
      <w:r>
        <w:rPr>
          <w:rFonts w:ascii="宋体" w:hint="eastAsia"/>
          <w:sz w:val="36"/>
          <w:szCs w:val="36"/>
        </w:rPr>
        <w:t>六、</w:t>
      </w:r>
      <w:r>
        <w:rPr>
          <w:rFonts w:ascii="宋体"/>
          <w:sz w:val="36"/>
          <w:szCs w:val="36"/>
        </w:rPr>
        <w:t>一般公共预算基本支出表</w:t>
      </w:r>
    </w:p>
    <w:p>
      <w:pPr>
        <w:rPr>
          <w:sz w:val="36"/>
          <w:szCs w:val="36"/>
        </w:rPr>
      </w:pPr>
      <w:r>
        <w:rPr>
          <w:rFonts w:ascii="宋体" w:hint="eastAsia"/>
          <w:sz w:val="36"/>
          <w:szCs w:val="36"/>
        </w:rPr>
        <w:t>七、</w:t>
      </w:r>
      <w:r>
        <w:rPr>
          <w:rFonts w:ascii="宋体"/>
          <w:sz w:val="36"/>
          <w:szCs w:val="36"/>
        </w:rPr>
        <w:t>政府性基金预算支出表</w:t>
      </w:r>
    </w:p>
    <w:p>
      <w:pPr>
        <w:rPr>
          <w:rFonts w:ascii="宋体"/>
          <w:sz w:val="36"/>
          <w:szCs w:val="36"/>
        </w:rPr>
      </w:pPr>
      <w:r>
        <w:rPr>
          <w:rFonts w:ascii="宋体" w:hint="eastAsia"/>
          <w:sz w:val="36"/>
          <w:szCs w:val="36"/>
        </w:rPr>
        <w:t>八、</w:t>
      </w:r>
      <w:r>
        <w:rPr>
          <w:rFonts w:ascii="宋体"/>
          <w:sz w:val="36"/>
          <w:szCs w:val="36"/>
        </w:rPr>
        <w:t>国有资本经营预算支出表</w:t>
      </w:r>
    </w:p>
    <w:p>
      <w:pPr>
        <w:rPr>
          <w:sz w:val="36"/>
          <w:szCs w:val="36"/>
        </w:rPr>
      </w:pPr>
      <w:r>
        <w:rPr>
          <w:rFonts w:ascii="宋体"/>
          <w:sz w:val="36"/>
          <w:szCs w:val="36"/>
        </w:rPr>
        <w:t>九、</w:t>
      </w:r>
      <w:r>
        <w:rPr>
          <w:rFonts w:ascii="宋体" w:hint="eastAsia"/>
          <w:sz w:val="36"/>
          <w:szCs w:val="36"/>
        </w:rPr>
        <w:t>财政拨款预算“三公”经费支出表</w:t>
      </w:r>
    </w:p>
    <w:p>
      <w:pPr>
        <w:ind w:left="2164" w:hangingChars="492" w:hanging="2164"/>
        <w:rPr>
          <w:b/>
          <w:sz w:val="44"/>
          <w:szCs w:val="44"/>
        </w:rPr>
      </w:pPr>
      <w:r>
        <w:rPr>
          <w:rFonts w:ascii="宋体" w:hint="eastAsia"/>
          <w:b/>
          <w:sz w:val="44"/>
          <w:szCs w:val="44"/>
        </w:rPr>
        <w:t>第三部分</w:t>
      </w:r>
      <w:r>
        <w:rPr>
          <w:rFonts w:hint="eastAsia"/>
          <w:b/>
          <w:sz w:val="44"/>
          <w:szCs w:val="44"/>
        </w:rPr>
        <w:t xml:space="preserve">  呼和浩特</w:t>
      </w:r>
      <w:r>
        <w:rPr>
          <w:rFonts w:ascii="宋体" w:hint="eastAsia"/>
          <w:b/>
          <w:sz w:val="44"/>
          <w:szCs w:val="44"/>
        </w:rPr>
        <w:t>海关</w:t>
      </w:r>
      <w:r>
        <w:rPr>
          <w:b/>
          <w:sz w:val="44"/>
          <w:szCs w:val="44"/>
        </w:rPr>
        <w:t>2023</w:t>
      </w:r>
      <w:r>
        <w:rPr>
          <w:rFonts w:ascii="宋体" w:hint="eastAsia"/>
          <w:b/>
          <w:sz w:val="44"/>
          <w:szCs w:val="44"/>
        </w:rPr>
        <w:t>年部门预算情况说明</w:t>
      </w:r>
    </w:p>
    <w:p>
      <w:pPr>
        <w:rPr>
          <w:b/>
          <w:sz w:val="44"/>
          <w:szCs w:val="44"/>
        </w:rPr>
      </w:pPr>
      <w:r>
        <w:rPr>
          <w:rFonts w:ascii="宋体" w:hint="eastAsia"/>
          <w:b/>
          <w:sz w:val="44"/>
          <w:szCs w:val="44"/>
        </w:rPr>
        <w:t>第四部分</w:t>
      </w:r>
      <w:r>
        <w:rPr>
          <w:rFonts w:hint="eastAsia"/>
          <w:b/>
          <w:sz w:val="44"/>
          <w:szCs w:val="44"/>
        </w:rPr>
        <w:t xml:space="preserve">  </w:t>
      </w:r>
      <w:r>
        <w:rPr>
          <w:rFonts w:ascii="宋体" w:hint="eastAsia"/>
          <w:b/>
          <w:sz w:val="44"/>
          <w:szCs w:val="44"/>
        </w:rPr>
        <w:t>名词解释</w:t>
      </w:r>
    </w:p>
    <w:p>
      <w:pPr>
        <w:rPr>
          <w:rFonts w:ascii="宋体"/>
          <w:b/>
          <w:sz w:val="44"/>
          <w:szCs w:val="44"/>
        </w:rPr>
        <w:sectPr>
          <w:footerReference w:type="default" r:id="rId3"/>
          <w:pgSz w:w="11906" w:h="16838"/>
          <w:pgMar w:top="1440" w:right="1800" w:bottom="1440" w:left="1800" w:header="851" w:footer="992" w:gutter="0"/>
          <w:pgNumType w:start="1"/>
          <w:docGrid w:type="lines" w:linePitch="312" w:charSpace="0"/>
        </w:sectPr>
      </w:pPr>
      <w:r>
        <w:rPr>
          <w:rFonts w:ascii="宋体" w:hint="eastAsia"/>
          <w:b/>
          <w:sz w:val="44"/>
          <w:szCs w:val="44"/>
        </w:rPr>
        <w:t>第五部分</w:t>
      </w:r>
      <w:r>
        <w:rPr>
          <w:rFonts w:hint="eastAsia"/>
          <w:b/>
          <w:sz w:val="44"/>
          <w:szCs w:val="44"/>
        </w:rPr>
        <w:t xml:space="preserve">  </w:t>
      </w:r>
      <w:r>
        <w:rPr>
          <w:rFonts w:ascii="宋体" w:hint="eastAsia"/>
          <w:b/>
          <w:sz w:val="44"/>
          <w:szCs w:val="44"/>
        </w:rPr>
        <w:t>附件</w:t>
      </w:r>
      <w:r>
        <w:rPr>
          <w:rFonts w:hint="eastAsia"/>
        </w:rPr>
        <w:tab/>
      </w: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hAnsi="Times New Roman"/>
          <w:b/>
          <w:sz w:val="84"/>
          <w:szCs w:val="84"/>
        </w:rPr>
      </w:pPr>
      <w:r>
        <w:rPr>
          <w:rFonts w:ascii="Times New Roman" w:hAnsi="Times New Roman" w:hint="eastAsia"/>
          <w:b/>
          <w:sz w:val="84"/>
          <w:szCs w:val="84"/>
        </w:rPr>
        <w:t>第一部分</w:t>
      </w:r>
    </w:p>
    <w:p>
      <w:pPr>
        <w:jc w:val="center"/>
        <w:rPr>
          <w:rFonts w:ascii="Times New Roman" w:hAnsi="Times New Roman"/>
          <w:b/>
          <w:sz w:val="84"/>
          <w:szCs w:val="84"/>
        </w:rPr>
      </w:pPr>
      <w:r>
        <w:rPr>
          <w:rFonts w:ascii="Times New Roman" w:hAnsi="Times New Roman" w:hint="eastAsia"/>
          <w:b/>
          <w:sz w:val="84"/>
          <w:szCs w:val="84"/>
        </w:rPr>
        <w:t>呼和浩特海关</w:t>
      </w:r>
    </w:p>
    <w:p>
      <w:pPr>
        <w:jc w:val="center"/>
        <w:rPr>
          <w:rFonts w:ascii="Times New Roman" w:hAnsi="Times New Roman"/>
          <w:b/>
          <w:sz w:val="84"/>
          <w:szCs w:val="84"/>
        </w:rPr>
      </w:pPr>
      <w:r>
        <w:rPr>
          <w:rFonts w:ascii="Times New Roman" w:hAnsi="Times New Roman"/>
          <w:b/>
          <w:sz w:val="84"/>
          <w:szCs w:val="84"/>
        </w:rPr>
        <w:t>单位</w:t>
      </w:r>
      <w:r>
        <w:rPr>
          <w:rFonts w:ascii="Times New Roman" w:hAnsi="Times New Roman" w:hint="eastAsia"/>
          <w:b/>
          <w:sz w:val="84"/>
          <w:szCs w:val="84"/>
        </w:rPr>
        <w:t>概况</w:t>
      </w: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spacing w:line="560" w:lineRule="exact"/>
        <w:ind w:firstLineChars="200" w:firstLine="640"/>
        <w:jc w:val="left"/>
        <w:rPr>
          <w:rFonts w:ascii="Times New Roman" w:eastAsia="方正黑体_GBK" w:hAnsi="Times New Roman"/>
          <w:sz w:val="32"/>
          <w:szCs w:val="32"/>
        </w:rPr>
      </w:pPr>
      <w:r>
        <w:rPr>
          <w:rFonts w:ascii="Times New Roman" w:eastAsia="方正黑体_GBK" w:hAnsi="Times New Roman" w:hint="eastAsia"/>
          <w:sz w:val="32"/>
          <w:szCs w:val="32"/>
        </w:rPr>
        <w:t>一、主要职能</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呼和浩特海关是海关总署直属的正厅级海关，管理辖区为内蒙古自治区中西部的呼和浩特市、包头市、鄂尔多斯市、乌海市、巴彦淖尔市、乌兰察布市及锡林郭勒盟、阿拉善盟等</w:t>
      </w:r>
      <w:r>
        <w:rPr>
          <w:rFonts w:ascii="Times New Roman" w:eastAsia="方正仿宋_GBK" w:hAnsi="Times New Roman"/>
          <w:sz w:val="32"/>
          <w:szCs w:val="32"/>
        </w:rPr>
        <w:t>8</w:t>
      </w:r>
      <w:r>
        <w:rPr>
          <w:rFonts w:ascii="Times New Roman" w:eastAsia="方正仿宋_GBK" w:hAnsi="Times New Roman" w:hint="eastAsia"/>
          <w:sz w:val="32"/>
          <w:szCs w:val="32"/>
        </w:rPr>
        <w:t>个盟（市）的各项海关管理工作。负责本关区征税、监管、缉私、出入境检验检疫、统计等工作。</w:t>
      </w:r>
    </w:p>
    <w:p>
      <w:pPr>
        <w:spacing w:line="560" w:lineRule="exact"/>
        <w:ind w:firstLineChars="200" w:firstLine="640"/>
        <w:jc w:val="left"/>
        <w:rPr>
          <w:rFonts w:ascii="Times New Roman" w:eastAsia="方正黑体_GBK" w:hAnsi="Times New Roman"/>
          <w:sz w:val="32"/>
          <w:szCs w:val="32"/>
        </w:rPr>
      </w:pPr>
      <w:r>
        <w:rPr>
          <w:rFonts w:ascii="Times New Roman" w:eastAsia="方正黑体_GBK" w:hAnsi="Times New Roman" w:hint="eastAsia"/>
          <w:sz w:val="32"/>
          <w:szCs w:val="32"/>
        </w:rPr>
        <w:t>二</w:t>
      </w:r>
      <w:r>
        <w:rPr>
          <w:rFonts w:ascii="Times New Roman" w:eastAsia="方正黑体_GBK" w:hAnsi="Times New Roman"/>
          <w:sz w:val="32"/>
          <w:szCs w:val="32"/>
        </w:rPr>
        <w:t>、</w:t>
      </w:r>
      <w:r>
        <w:rPr>
          <w:rFonts w:ascii="Times New Roman" w:eastAsia="方正黑体_GBK" w:hAnsi="Times New Roman" w:hint="eastAsia"/>
          <w:sz w:val="32"/>
          <w:szCs w:val="32"/>
        </w:rPr>
        <w:t>呼和浩特</w:t>
      </w:r>
      <w:r>
        <w:rPr>
          <w:rFonts w:ascii="Times New Roman" w:eastAsia="方正黑体_GBK" w:hAnsi="Times New Roman"/>
          <w:sz w:val="32"/>
          <w:szCs w:val="32"/>
        </w:rPr>
        <w:t>海关单位构成情况</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关区实行垂直管理体制。</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全关内设</w:t>
      </w:r>
      <w:r>
        <w:rPr>
          <w:rFonts w:ascii="Times New Roman" w:eastAsia="方正仿宋_GBK" w:hAnsi="Times New Roman"/>
          <w:sz w:val="32"/>
          <w:szCs w:val="32"/>
        </w:rPr>
        <w:t>18</w:t>
      </w:r>
      <w:r>
        <w:rPr>
          <w:rFonts w:ascii="Times New Roman" w:eastAsia="方正仿宋_GBK" w:hAnsi="Times New Roman" w:hint="eastAsia"/>
          <w:sz w:val="32"/>
          <w:szCs w:val="32"/>
        </w:rPr>
        <w:t>个正处级机构，下设隶属海关单位</w:t>
      </w:r>
      <w:r>
        <w:rPr>
          <w:rFonts w:ascii="Times New Roman" w:eastAsia="方正仿宋_GBK" w:hAnsi="Times New Roman"/>
          <w:sz w:val="32"/>
          <w:szCs w:val="32"/>
        </w:rPr>
        <w:t>12</w:t>
      </w:r>
      <w:r>
        <w:rPr>
          <w:rFonts w:ascii="Times New Roman" w:eastAsia="方正仿宋_GBK" w:hAnsi="Times New Roman" w:hint="eastAsia"/>
          <w:sz w:val="32"/>
          <w:szCs w:val="32"/>
        </w:rPr>
        <w:t>个，直属事业单位</w:t>
      </w:r>
      <w:r>
        <w:rPr>
          <w:rFonts w:ascii="Times New Roman" w:eastAsia="方正仿宋_GBK" w:hAnsi="Times New Roman"/>
          <w:sz w:val="32"/>
          <w:szCs w:val="32"/>
        </w:rPr>
        <w:t>5</w:t>
      </w:r>
      <w:r>
        <w:rPr>
          <w:rFonts w:ascii="Times New Roman" w:eastAsia="方正仿宋_GBK" w:hAnsi="Times New Roman" w:hint="eastAsia"/>
          <w:sz w:val="32"/>
          <w:szCs w:val="32"/>
        </w:rPr>
        <w:t>个。</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纳入呼和浩特海关202</w:t>
      </w:r>
      <w:r>
        <w:rPr>
          <w:rFonts w:ascii="Times New Roman" w:eastAsia="方正仿宋_GBK" w:hAnsi="Times New Roman"/>
          <w:sz w:val="32"/>
          <w:szCs w:val="32"/>
        </w:rPr>
        <w:t>3</w:t>
      </w:r>
      <w:r>
        <w:rPr>
          <w:rFonts w:ascii="Times New Roman" w:eastAsia="方正仿宋_GBK" w:hAnsi="Times New Roman" w:hint="eastAsia"/>
          <w:sz w:val="32"/>
          <w:szCs w:val="32"/>
        </w:rPr>
        <w:t xml:space="preserve"> 年部门预算编制范围的</w:t>
      </w:r>
      <w:r>
        <w:rPr>
          <w:rFonts w:ascii="Times New Roman" w:eastAsia="方正仿宋_GBK" w:hAnsi="Times New Roman"/>
          <w:sz w:val="32"/>
          <w:szCs w:val="32"/>
        </w:rPr>
        <w:t>三级预算</w:t>
      </w:r>
      <w:r>
        <w:rPr>
          <w:rFonts w:ascii="Times New Roman" w:eastAsia="方正仿宋_GBK" w:hAnsi="Times New Roman" w:hint="eastAsia"/>
          <w:sz w:val="32"/>
          <w:szCs w:val="32"/>
        </w:rPr>
        <w:t>单位如下：</w:t>
      </w:r>
    </w:p>
    <w:tbl>
      <w:tblPr>
        <w:jc w:val="center"/>
        <w:tblW w:w="8926"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704"/>
        <w:gridCol w:w="2977"/>
        <w:gridCol w:w="709"/>
        <w:gridCol w:w="4536"/>
      </w:tblGrid>
      <w:tr>
        <w:trPr>
          <w:trHeight w:val="624"/>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eastAsia="方正黑体_GBK" w:cs="宋体" w:hAnsi="Times New Roman"/>
                <w:kern w:val="0"/>
                <w:sz w:val="20"/>
                <w:szCs w:val="20"/>
              </w:rPr>
            </w:pPr>
            <w:r>
              <w:rPr>
                <w:rFonts w:ascii="Times New Roman" w:eastAsia="方正黑体_GBK" w:cs="宋体" w:hAnsi="Times New Roman" w:hint="eastAsia"/>
                <w:kern w:val="0"/>
                <w:sz w:val="20"/>
                <w:szCs w:val="20"/>
              </w:rPr>
              <w:t>序号</w:t>
            </w:r>
          </w:p>
        </w:tc>
        <w:tc>
          <w:tcPr>
            <w:tcW w:w="2977" w:type="dxa"/>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Times New Roman" w:eastAsia="方正黑体_GBK" w:cs="宋体" w:hAnsi="Times New Roman"/>
                <w:kern w:val="0"/>
                <w:sz w:val="20"/>
                <w:szCs w:val="20"/>
              </w:rPr>
            </w:pPr>
            <w:r>
              <w:rPr>
                <w:rFonts w:ascii="Times New Roman" w:eastAsia="方正黑体_GBK" w:cs="宋体" w:hAnsi="Times New Roman" w:hint="eastAsia"/>
                <w:kern w:val="0"/>
                <w:sz w:val="20"/>
                <w:szCs w:val="20"/>
              </w:rPr>
              <w:t>单位名称</w:t>
            </w:r>
          </w:p>
        </w:tc>
        <w:tc>
          <w:tcPr>
            <w:tcW w:w="709" w:type="dxa"/>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Times New Roman" w:eastAsia="方正黑体_GBK" w:cs="宋体" w:hAnsi="Times New Roman"/>
                <w:kern w:val="0"/>
                <w:sz w:val="20"/>
                <w:szCs w:val="20"/>
              </w:rPr>
            </w:pPr>
            <w:r>
              <w:rPr>
                <w:rFonts w:ascii="Times New Roman" w:eastAsia="方正黑体_GBK" w:cs="宋体" w:hAnsi="Times New Roman" w:hint="eastAsia"/>
                <w:kern w:val="0"/>
                <w:sz w:val="20"/>
                <w:szCs w:val="20"/>
              </w:rPr>
              <w:t>序号</w:t>
            </w:r>
          </w:p>
        </w:tc>
        <w:tc>
          <w:tcPr>
            <w:tcW w:w="4536" w:type="dxa"/>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Times New Roman" w:eastAsia="方正黑体_GBK" w:cs="宋体" w:hAnsi="Times New Roman"/>
                <w:kern w:val="0"/>
                <w:sz w:val="20"/>
                <w:szCs w:val="20"/>
              </w:rPr>
            </w:pPr>
            <w:r>
              <w:rPr>
                <w:rFonts w:ascii="Times New Roman" w:eastAsia="方正黑体_GBK" w:cs="宋体" w:hAnsi="Times New Roman" w:hint="eastAsia"/>
                <w:kern w:val="0"/>
                <w:sz w:val="20"/>
                <w:szCs w:val="20"/>
              </w:rPr>
              <w:t>单位名称</w:t>
            </w:r>
          </w:p>
        </w:tc>
      </w:tr>
      <w:tr>
        <w:trPr>
          <w:trHeight w:val="624"/>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1</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宋体" w:hAnsi="Times New Roman"/>
                <w:kern w:val="0"/>
                <w:sz w:val="20"/>
                <w:szCs w:val="20"/>
              </w:rPr>
            </w:pPr>
            <w:r>
              <w:rPr>
                <w:rFonts w:ascii="Times New Roman" w:eastAsia="方正仿宋_GBK" w:cs="宋体" w:hAnsi="Times New Roman" w:hint="eastAsia"/>
                <w:kern w:val="0"/>
                <w:sz w:val="20"/>
                <w:szCs w:val="20"/>
              </w:rPr>
              <w:t>呼和浩特海关本级</w:t>
            </w: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hint="eastAsia"/>
                <w:kern w:val="0"/>
                <w:sz w:val="20"/>
                <w:szCs w:val="20"/>
              </w:rPr>
              <w:t>10</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宋体" w:hAnsi="Times New Roman"/>
                <w:kern w:val="0"/>
                <w:sz w:val="20"/>
                <w:szCs w:val="20"/>
              </w:rPr>
            </w:pPr>
            <w:r>
              <w:rPr>
                <w:rFonts w:ascii="Times New Roman" w:eastAsia="方正仿宋_GBK" w:cs="宋体" w:hAnsi="Times New Roman" w:hint="eastAsia"/>
                <w:kern w:val="0"/>
                <w:sz w:val="20"/>
                <w:szCs w:val="20"/>
              </w:rPr>
              <w:t>中华人民共和国呼和浩特白塔机场海关</w:t>
            </w:r>
          </w:p>
        </w:tc>
      </w:tr>
      <w:tr>
        <w:trPr>
          <w:trHeight w:val="624"/>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2</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宋体" w:hAnsi="Times New Roman"/>
                <w:kern w:val="0"/>
                <w:sz w:val="20"/>
                <w:szCs w:val="20"/>
              </w:rPr>
            </w:pPr>
            <w:r>
              <w:rPr>
                <w:rFonts w:ascii="Times New Roman" w:eastAsia="方正仿宋_GBK" w:cs="宋体" w:hAnsi="Times New Roman" w:hint="eastAsia"/>
                <w:kern w:val="0"/>
                <w:sz w:val="20"/>
                <w:szCs w:val="20"/>
              </w:rPr>
              <w:t>中华人民共和国二连海关</w:t>
            </w: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hint="eastAsia"/>
                <w:kern w:val="0"/>
                <w:sz w:val="20"/>
                <w:szCs w:val="20"/>
              </w:rPr>
              <w:t>11</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宋体" w:hAnsi="Times New Roman"/>
                <w:kern w:val="0"/>
                <w:sz w:val="20"/>
                <w:szCs w:val="20"/>
              </w:rPr>
            </w:pPr>
            <w:r>
              <w:rPr>
                <w:rFonts w:ascii="Times New Roman" w:eastAsia="方正仿宋_GBK" w:cs="宋体" w:hAnsi="Times New Roman" w:hint="eastAsia"/>
                <w:kern w:val="0"/>
                <w:sz w:val="20"/>
                <w:szCs w:val="20"/>
              </w:rPr>
              <w:t>中华人民共和国赛罕海关</w:t>
            </w:r>
          </w:p>
        </w:tc>
      </w:tr>
      <w:tr>
        <w:trPr>
          <w:trHeight w:val="624"/>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3</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宋体" w:hAnsi="Times New Roman"/>
                <w:kern w:val="0"/>
                <w:sz w:val="20"/>
                <w:szCs w:val="20"/>
              </w:rPr>
            </w:pPr>
            <w:r>
              <w:rPr>
                <w:rFonts w:ascii="Times New Roman" w:eastAsia="方正仿宋_GBK" w:cs="宋体" w:hAnsi="Times New Roman" w:hint="eastAsia"/>
                <w:kern w:val="0"/>
                <w:sz w:val="20"/>
                <w:szCs w:val="20"/>
              </w:rPr>
              <w:t>中华人民共和国包头海关</w:t>
            </w: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hint="eastAsia"/>
                <w:kern w:val="0"/>
                <w:sz w:val="20"/>
                <w:szCs w:val="20"/>
              </w:rPr>
              <w:t>12</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宋体" w:hAnsi="Times New Roman"/>
                <w:kern w:val="0"/>
                <w:sz w:val="20"/>
                <w:szCs w:val="20"/>
              </w:rPr>
            </w:pPr>
            <w:r>
              <w:rPr>
                <w:rFonts w:ascii="Times New Roman" w:eastAsia="方正仿宋_GBK" w:cs="宋体" w:hAnsi="Times New Roman" w:hint="eastAsia"/>
                <w:kern w:val="0"/>
                <w:sz w:val="20"/>
                <w:szCs w:val="20"/>
              </w:rPr>
              <w:t>中华人民共和国阿拉善海关</w:t>
            </w:r>
          </w:p>
        </w:tc>
      </w:tr>
      <w:tr>
        <w:trPr>
          <w:trHeight w:val="624"/>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4</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宋体" w:hAnsi="Times New Roman"/>
                <w:kern w:val="0"/>
                <w:sz w:val="20"/>
                <w:szCs w:val="20"/>
              </w:rPr>
            </w:pPr>
            <w:r>
              <w:rPr>
                <w:rFonts w:ascii="Times New Roman" w:eastAsia="方正仿宋_GBK" w:cs="宋体" w:hAnsi="Times New Roman" w:hint="eastAsia"/>
                <w:kern w:val="0"/>
                <w:sz w:val="20"/>
                <w:szCs w:val="20"/>
              </w:rPr>
              <w:t>中华人民共和国额济纳海关</w:t>
            </w: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hint="eastAsia"/>
                <w:kern w:val="0"/>
                <w:sz w:val="20"/>
                <w:szCs w:val="20"/>
              </w:rPr>
              <w:t>13</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宋体" w:hAnsi="Times New Roman"/>
                <w:kern w:val="0"/>
                <w:sz w:val="20"/>
                <w:szCs w:val="20"/>
              </w:rPr>
            </w:pPr>
            <w:r>
              <w:rPr>
                <w:rFonts w:ascii="Times New Roman" w:eastAsia="方正仿宋_GBK" w:cs="宋体" w:hAnsi="Times New Roman" w:hint="eastAsia"/>
                <w:kern w:val="0"/>
                <w:sz w:val="20"/>
                <w:szCs w:val="20"/>
              </w:rPr>
              <w:t>呼和浩特海关技术中心</w:t>
            </w:r>
          </w:p>
        </w:tc>
      </w:tr>
      <w:tr>
        <w:trPr>
          <w:trHeight w:val="624"/>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5</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宋体" w:hAnsi="Times New Roman"/>
                <w:kern w:val="0"/>
                <w:sz w:val="20"/>
                <w:szCs w:val="20"/>
              </w:rPr>
            </w:pPr>
            <w:r>
              <w:rPr>
                <w:rFonts w:ascii="Times New Roman" w:eastAsia="方正仿宋_GBK" w:cs="宋体" w:hAnsi="Times New Roman" w:hint="eastAsia"/>
                <w:kern w:val="0"/>
                <w:sz w:val="20"/>
                <w:szCs w:val="20"/>
              </w:rPr>
              <w:t>中华人民共和国东乌海关</w:t>
            </w: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hint="eastAsia"/>
                <w:kern w:val="0"/>
                <w:sz w:val="20"/>
                <w:szCs w:val="20"/>
              </w:rPr>
              <w:t>14</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宋体" w:hAnsi="Times New Roman"/>
                <w:kern w:val="0"/>
                <w:sz w:val="20"/>
                <w:szCs w:val="20"/>
              </w:rPr>
            </w:pPr>
            <w:r>
              <w:rPr>
                <w:rFonts w:ascii="Times New Roman" w:eastAsia="方正仿宋_GBK" w:cs="宋体" w:hAnsi="Times New Roman" w:hint="eastAsia"/>
                <w:kern w:val="0"/>
                <w:sz w:val="20"/>
                <w:szCs w:val="20"/>
              </w:rPr>
              <w:t>呼和浩特国际旅行卫生保健中心</w:t>
            </w:r>
          </w:p>
        </w:tc>
      </w:tr>
      <w:tr>
        <w:trPr>
          <w:trHeight w:val="624"/>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6</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宋体" w:hAnsi="Times New Roman"/>
                <w:kern w:val="0"/>
                <w:sz w:val="20"/>
                <w:szCs w:val="20"/>
              </w:rPr>
            </w:pPr>
            <w:r>
              <w:rPr>
                <w:rFonts w:ascii="Times New Roman" w:eastAsia="方正仿宋_GBK" w:cs="宋体" w:hAnsi="Times New Roman" w:hint="eastAsia"/>
                <w:kern w:val="0"/>
                <w:sz w:val="20"/>
                <w:szCs w:val="20"/>
              </w:rPr>
              <w:t>中华人民共和国乌拉特海关</w:t>
            </w: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hint="eastAsia"/>
                <w:kern w:val="0"/>
                <w:sz w:val="20"/>
                <w:szCs w:val="20"/>
              </w:rPr>
              <w:t>15</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宋体" w:hAnsi="Times New Roman"/>
                <w:kern w:val="0"/>
                <w:sz w:val="20"/>
                <w:szCs w:val="20"/>
              </w:rPr>
            </w:pPr>
            <w:r>
              <w:rPr>
                <w:rFonts w:ascii="Times New Roman" w:eastAsia="方正仿宋_GBK" w:cs="宋体" w:hAnsi="Times New Roman" w:hint="eastAsia"/>
                <w:kern w:val="0"/>
                <w:sz w:val="20"/>
                <w:szCs w:val="20"/>
              </w:rPr>
              <w:t>呼和浩特海关后勤管理中心</w:t>
            </w:r>
          </w:p>
        </w:tc>
      </w:tr>
      <w:tr>
        <w:trPr>
          <w:trHeight w:val="624"/>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7</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宋体" w:hAnsi="Times New Roman"/>
                <w:kern w:val="0"/>
                <w:sz w:val="20"/>
                <w:szCs w:val="20"/>
              </w:rPr>
            </w:pPr>
            <w:r>
              <w:rPr>
                <w:rFonts w:ascii="Times New Roman" w:eastAsia="方正仿宋_GBK" w:cs="宋体" w:hAnsi="Times New Roman" w:hint="eastAsia"/>
                <w:kern w:val="0"/>
                <w:sz w:val="20"/>
                <w:szCs w:val="20"/>
              </w:rPr>
              <w:t>中华人民共和国鄂尔多斯海关</w:t>
            </w: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hint="eastAsia"/>
                <w:kern w:val="0"/>
                <w:sz w:val="20"/>
                <w:szCs w:val="20"/>
              </w:rPr>
              <w:t>16</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宋体" w:hAnsi="Times New Roman"/>
                <w:kern w:val="0"/>
                <w:sz w:val="20"/>
                <w:szCs w:val="20"/>
              </w:rPr>
            </w:pPr>
            <w:r>
              <w:rPr>
                <w:rFonts w:ascii="Times New Roman" w:eastAsia="方正仿宋_GBK" w:cs="宋体" w:hAnsi="Times New Roman" w:hint="eastAsia"/>
                <w:kern w:val="0"/>
                <w:sz w:val="20"/>
                <w:szCs w:val="20"/>
              </w:rPr>
              <w:t>中国电子口岸数据中心呼和浩特分中心</w:t>
            </w:r>
          </w:p>
        </w:tc>
      </w:tr>
      <w:tr>
        <w:trPr>
          <w:trHeight w:val="624"/>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8</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宋体" w:hAnsi="Times New Roman"/>
                <w:kern w:val="0"/>
                <w:sz w:val="20"/>
                <w:szCs w:val="20"/>
              </w:rPr>
            </w:pPr>
            <w:r>
              <w:rPr>
                <w:rFonts w:ascii="Times New Roman" w:eastAsia="方正仿宋_GBK" w:cs="宋体" w:hAnsi="Times New Roman" w:hint="eastAsia"/>
                <w:kern w:val="0"/>
                <w:sz w:val="20"/>
                <w:szCs w:val="20"/>
              </w:rPr>
              <w:t>中华人民共和国集宁海关</w:t>
            </w: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hint="eastAsia"/>
                <w:kern w:val="0"/>
                <w:sz w:val="20"/>
                <w:szCs w:val="20"/>
              </w:rPr>
              <w:t>17</w:t>
            </w: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宋体" w:hAnsi="Times New Roman"/>
                <w:kern w:val="0"/>
                <w:sz w:val="20"/>
                <w:szCs w:val="20"/>
              </w:rPr>
            </w:pPr>
            <w:r>
              <w:rPr>
                <w:rFonts w:ascii="Times New Roman" w:eastAsia="方正仿宋_GBK" w:cs="宋体" w:hAnsi="Times New Roman" w:hint="eastAsia"/>
                <w:kern w:val="0"/>
                <w:sz w:val="20"/>
                <w:szCs w:val="20"/>
              </w:rPr>
              <w:t>中国质量认证中心呼和浩特海关评审中心</w:t>
            </w:r>
          </w:p>
        </w:tc>
      </w:tr>
      <w:tr>
        <w:trPr>
          <w:trHeight w:val="624"/>
        </w:trPr>
        <w:tc>
          <w:tcPr>
            <w:tcW w:w="704"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9</w:t>
            </w:r>
          </w:p>
        </w:tc>
        <w:tc>
          <w:tcPr>
            <w:tcW w:w="297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宋体" w:hAnsi="Times New Roman"/>
                <w:kern w:val="0"/>
                <w:sz w:val="20"/>
                <w:szCs w:val="20"/>
              </w:rPr>
            </w:pPr>
            <w:r>
              <w:rPr>
                <w:rFonts w:ascii="Times New Roman" w:eastAsia="方正仿宋_GBK" w:cs="宋体" w:hAnsi="Times New Roman" w:hint="eastAsia"/>
                <w:kern w:val="0"/>
                <w:sz w:val="20"/>
                <w:szCs w:val="20"/>
              </w:rPr>
              <w:t>中华人民共和国乌海海关</w:t>
            </w:r>
          </w:p>
        </w:tc>
        <w:tc>
          <w:tcPr>
            <w:tcW w:w="70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p>
        </w:tc>
        <w:tc>
          <w:tcPr>
            <w:tcW w:w="453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eastAsia="方正仿宋_GBK" w:cs="宋体" w:hAnsi="Times New Roman"/>
                <w:kern w:val="0"/>
                <w:sz w:val="20"/>
                <w:szCs w:val="20"/>
              </w:rPr>
            </w:pPr>
          </w:p>
        </w:tc>
      </w:tr>
    </w:tbl>
    <w:p>
      <w:pPr>
        <w:jc w:val="center"/>
        <w:rPr>
          <w:rFonts w:ascii="Times New Roman" w:eastAsia="方正仿宋_GBK" w:hAnsi="Times New Roman"/>
          <w:sz w:val="84"/>
          <w:szCs w:val="84"/>
        </w:rPr>
        <w:sectPr>
          <w:pgSz w:w="11906" w:h="16838"/>
          <w:pgMar w:top="1440" w:right="1800" w:bottom="1440" w:left="1800" w:header="851" w:footer="992" w:gutter="0"/>
          <w:docGrid w:type="lines" w:linePitch="312" w:charSpace="0"/>
        </w:sect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jc w:val="center"/>
        <w:rPr>
          <w:rFonts w:ascii="Times New Roman" w:hAnsi="Times New Roman"/>
          <w:b/>
          <w:sz w:val="72"/>
          <w:szCs w:val="72"/>
        </w:rPr>
      </w:pPr>
      <w:r>
        <w:rPr>
          <w:rFonts w:ascii="Times New Roman" w:hAnsi="Times New Roman" w:hint="eastAsia"/>
          <w:b/>
          <w:sz w:val="72"/>
          <w:szCs w:val="72"/>
        </w:rPr>
        <w:t>第二部分</w:t>
      </w:r>
      <w:r>
        <w:rPr>
          <w:rFonts w:ascii="Times New Roman" w:hAnsi="Times New Roman"/>
          <w:b/>
          <w:sz w:val="72"/>
          <w:szCs w:val="72"/>
        </w:rPr>
        <w:t xml:space="preserve">  </w:t>
      </w:r>
    </w:p>
    <w:p>
      <w:pPr>
        <w:jc w:val="center"/>
        <w:rPr>
          <w:rFonts w:ascii="Times New Roman" w:hAnsi="Times New Roman"/>
          <w:b/>
          <w:sz w:val="72"/>
          <w:szCs w:val="72"/>
        </w:rPr>
      </w:pPr>
      <w:r>
        <w:rPr>
          <w:rFonts w:ascii="Times New Roman" w:hAnsi="Times New Roman" w:hint="eastAsia"/>
          <w:b/>
          <w:sz w:val="72"/>
          <w:szCs w:val="72"/>
        </w:rPr>
        <w:t>呼和浩特海关</w:t>
      </w:r>
      <w:r>
        <w:rPr>
          <w:rFonts w:ascii="Times New Roman" w:hAnsi="Times New Roman"/>
          <w:b/>
          <w:sz w:val="72"/>
          <w:szCs w:val="72"/>
        </w:rPr>
        <w:t>2023</w:t>
      </w:r>
      <w:r>
        <w:rPr>
          <w:rFonts w:ascii="Times New Roman" w:hAnsi="Times New Roman" w:hint="eastAsia"/>
          <w:b/>
          <w:sz w:val="72"/>
          <w:szCs w:val="72"/>
        </w:rPr>
        <w:t>年</w:t>
      </w:r>
    </w:p>
    <w:p>
      <w:pPr>
        <w:jc w:val="center"/>
        <w:rPr>
          <w:rFonts w:ascii="Times New Roman" w:hAnsi="Times New Roman"/>
          <w:szCs w:val="21"/>
        </w:rPr>
      </w:pPr>
      <w:r>
        <w:rPr>
          <w:rFonts w:ascii="Times New Roman" w:hAnsi="Times New Roman" w:hint="eastAsia"/>
          <w:b/>
          <w:sz w:val="72"/>
          <w:szCs w:val="72"/>
        </w:rPr>
        <w:t>部门预算表</w:t>
      </w:r>
    </w:p>
    <w:p>
      <w:pPr>
        <w:jc w:val="center"/>
        <w:rPr>
          <w:rFonts w:ascii="Times New Roman" w:eastAsia="方正仿宋_GBK" w:hAnsi="Times New Roman"/>
          <w:sz w:val="84"/>
          <w:szCs w:val="84"/>
        </w:rPr>
      </w:pPr>
    </w:p>
    <w:p>
      <w:pPr>
        <w:jc w:val="center"/>
        <w:rPr>
          <w:rFonts w:ascii="Times New Roman" w:eastAsia="方正仿宋_GBK" w:hAnsi="Times New Roman"/>
          <w:sz w:val="84"/>
          <w:szCs w:val="84"/>
        </w:rPr>
      </w:pPr>
    </w:p>
    <w:p>
      <w:pPr>
        <w:widowControl/>
        <w:jc w:val="left"/>
        <w:rPr>
          <w:rFonts w:ascii="Times New Roman" w:eastAsia="方正仿宋_GBK" w:hAnsi="Times New Roman"/>
          <w:sz w:val="84"/>
          <w:szCs w:val="84"/>
        </w:rPr>
        <w:sectPr>
          <w:pgSz w:w="11906" w:h="16838"/>
          <w:pgMar w:top="1440" w:right="1800" w:bottom="1440" w:left="1800" w:header="851" w:footer="992" w:gutter="0"/>
          <w:docGrid w:type="lines" w:linePitch="312" w:charSpace="0"/>
        </w:sectPr>
      </w:pPr>
    </w:p>
    <w:tbl>
      <w:tblPr>
        <w:jc w:val="center"/>
        <w:tblW w:w="1585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686"/>
        <w:gridCol w:w="3260"/>
        <w:gridCol w:w="3827"/>
        <w:gridCol w:w="5077"/>
      </w:tblGrid>
      <w:tr>
        <w:trPr>
          <w:trHeight w:val="319"/>
        </w:trPr>
        <w:tc>
          <w:tcPr>
            <w:tcW w:w="10773" w:type="dxa"/>
            <w:gridSpan w:val="3"/>
            <w:tcBorders>
              <w:top w:val="nil"/>
              <w:left w:val="nil"/>
              <w:bottom w:val="nil"/>
              <w:right w:val="nil"/>
            </w:tcBorders>
            <w:shd w:val="clear" w:color="auto" w:fill="auto"/>
            <w:noWrap/>
            <w:vAlign w:val="center"/>
          </w:tcPr>
          <w:p>
            <w:pPr>
              <w:widowControl/>
              <w:jc w:val="left"/>
              <w:rPr>
                <w:rFonts w:ascii="Times New Roman" w:cs="宋体" w:hAnsi="Times New Roman"/>
                <w:kern w:val="0"/>
                <w:sz w:val="24"/>
                <w:szCs w:val="24"/>
              </w:rPr>
            </w:pPr>
          </w:p>
        </w:tc>
        <w:tc>
          <w:tcPr>
            <w:tcW w:w="5077" w:type="dxa"/>
            <w:tcBorders>
              <w:top w:val="nil"/>
              <w:left w:val="nil"/>
              <w:bottom w:val="nil"/>
              <w:right w:val="nil"/>
            </w:tcBorders>
            <w:shd w:val="clear" w:color="auto" w:fill="auto"/>
            <w:noWrap/>
            <w:vAlign w:val="center"/>
          </w:tcPr>
          <w:p>
            <w:pPr>
              <w:widowControl/>
              <w:jc w:val="right"/>
              <w:rPr>
                <w:rFonts w:ascii="Times New Roman" w:eastAsia="黑体" w:cs="宋体" w:hAnsi="Times New Roman"/>
                <w:color w:val="000000"/>
                <w:kern w:val="0"/>
                <w:sz w:val="20"/>
                <w:szCs w:val="20"/>
              </w:rPr>
            </w:pPr>
            <w:r>
              <w:rPr>
                <w:rFonts w:ascii="Times New Roman" w:eastAsia="黑体" w:cs="宋体" w:hAnsi="Times New Roman" w:hint="eastAsia"/>
                <w:color w:val="000000"/>
                <w:kern w:val="0"/>
                <w:sz w:val="20"/>
                <w:szCs w:val="20"/>
              </w:rPr>
              <w:t>部门公开表1</w:t>
            </w:r>
          </w:p>
        </w:tc>
      </w:tr>
      <w:tr>
        <w:trPr>
          <w:trHeight w:val="540"/>
        </w:trPr>
        <w:tc>
          <w:tcPr>
            <w:tcW w:w="15850" w:type="dxa"/>
            <w:gridSpan w:val="4"/>
            <w:tcBorders>
              <w:top w:val="nil"/>
              <w:left w:val="nil"/>
              <w:bottom w:val="nil"/>
              <w:right w:val="nil"/>
            </w:tcBorders>
            <w:shd w:val="clear" w:color="auto" w:fill="auto"/>
            <w:noWrap/>
            <w:vAlign w:val="center"/>
          </w:tcPr>
          <w:p>
            <w:pPr>
              <w:widowControl/>
              <w:jc w:val="center"/>
              <w:rPr>
                <w:rFonts w:ascii="Times New Roman" w:cs="宋体" w:hAnsi="Times New Roman"/>
                <w:color w:val="000000"/>
                <w:kern w:val="0"/>
                <w:sz w:val="36"/>
                <w:szCs w:val="36"/>
              </w:rPr>
            </w:pPr>
            <w:r>
              <w:rPr>
                <w:rFonts w:ascii="Times New Roman" w:cs="宋体" w:hAnsi="Times New Roman" w:hint="eastAsia"/>
                <w:color w:val="000000"/>
                <w:kern w:val="0"/>
                <w:sz w:val="36"/>
                <w:szCs w:val="36"/>
              </w:rPr>
              <w:t>部门收支总表</w:t>
            </w:r>
          </w:p>
        </w:tc>
      </w:tr>
      <w:tr>
        <w:trPr>
          <w:trHeight w:val="360"/>
        </w:trPr>
        <w:tc>
          <w:tcPr>
            <w:tcW w:w="3686"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18"/>
                <w:szCs w:val="18"/>
              </w:rPr>
            </w:pPr>
            <w:r>
              <w:rPr>
                <w:rFonts w:ascii="Times New Roman" w:cs="宋体" w:hAnsi="Times New Roman" w:hint="eastAsia"/>
                <w:color w:val="000000"/>
                <w:kern w:val="0"/>
                <w:sz w:val="18"/>
                <w:szCs w:val="18"/>
              </w:rPr>
              <w:t>　单位名称：中华人民共和国呼和浩特海关</w:t>
            </w:r>
          </w:p>
        </w:tc>
        <w:tc>
          <w:tcPr>
            <w:tcW w:w="3260"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3827"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5077" w:type="dxa"/>
            <w:tcBorders>
              <w:top w:val="nil"/>
              <w:left w:val="nil"/>
              <w:bottom w:val="nil"/>
              <w:right w:val="nil"/>
            </w:tcBorders>
            <w:shd w:val="clear" w:color="auto" w:fill="auto"/>
            <w:noWrap/>
            <w:vAlign w:val="center"/>
          </w:tcPr>
          <w:p>
            <w:pPr>
              <w:widowControl/>
              <w:jc w:val="right"/>
              <w:rPr>
                <w:rFonts w:ascii="Times New Roman" w:cs="宋体" w:hAnsi="Times New Roman"/>
                <w:color w:val="000000"/>
                <w:kern w:val="0"/>
                <w:sz w:val="20"/>
                <w:szCs w:val="20"/>
              </w:rPr>
            </w:pPr>
            <w:r>
              <w:rPr>
                <w:rFonts w:ascii="Times New Roman" w:cs="宋体" w:hAnsi="Times New Roman" w:hint="eastAsia"/>
                <w:color w:val="000000"/>
                <w:kern w:val="0"/>
                <w:sz w:val="20"/>
                <w:szCs w:val="20"/>
              </w:rPr>
              <w:t>单位：万元</w:t>
            </w:r>
          </w:p>
        </w:tc>
      </w:tr>
      <w:tr>
        <w:trPr>
          <w:trHeight w:val="360"/>
        </w:trPr>
        <w:tc>
          <w:tcPr>
            <w:tcW w:w="69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收      入</w:t>
            </w:r>
          </w:p>
        </w:tc>
        <w:tc>
          <w:tcPr>
            <w:tcW w:w="8904" w:type="dxa"/>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支      出</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项    目</w:t>
            </w:r>
          </w:p>
        </w:tc>
        <w:tc>
          <w:tcPr>
            <w:tcW w:w="3260"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预算数</w:t>
            </w:r>
          </w:p>
        </w:tc>
        <w:tc>
          <w:tcPr>
            <w:tcW w:w="3827"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项    目</w:t>
            </w:r>
          </w:p>
        </w:tc>
        <w:tc>
          <w:tcPr>
            <w:tcW w:w="5077"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预算数</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一、一般公共预算拨款收入</w:t>
            </w:r>
          </w:p>
        </w:tc>
        <w:tc>
          <w:tcPr>
            <w:tcW w:w="326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w:t>
            </w:r>
            <w:r>
              <w:rPr>
                <w:rFonts w:ascii="Times New Roman" w:cs="Times New Roman" w:hAnsi="Times New Roman" w:hint="eastAsia"/>
                <w:color w:val="000000"/>
                <w:kern w:val="0"/>
                <w:sz w:val="20"/>
                <w:szCs w:val="20"/>
              </w:rPr>
              <w:t>33162.88</w:t>
            </w:r>
            <w:r>
              <w:rPr>
                <w:rFonts w:ascii="Times New Roman" w:cs="Times New Roman" w:hAnsi="Times New Roman"/>
                <w:color w:val="000000"/>
                <w:kern w:val="0"/>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一、一般公共服务支出</w:t>
            </w:r>
          </w:p>
        </w:tc>
        <w:tc>
          <w:tcPr>
            <w:tcW w:w="5077"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38728.89 </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二、政府性基金预算拨款收入</w:t>
            </w:r>
          </w:p>
        </w:tc>
        <w:tc>
          <w:tcPr>
            <w:tcW w:w="326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二、外交支出</w:t>
            </w:r>
          </w:p>
        </w:tc>
        <w:tc>
          <w:tcPr>
            <w:tcW w:w="5077"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三、国有资本经营预算拨款收入</w:t>
            </w:r>
          </w:p>
        </w:tc>
        <w:tc>
          <w:tcPr>
            <w:tcW w:w="326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三、公共安全支出</w:t>
            </w:r>
          </w:p>
        </w:tc>
        <w:tc>
          <w:tcPr>
            <w:tcW w:w="5077"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2341.15 </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四、事业收入</w:t>
            </w:r>
          </w:p>
        </w:tc>
        <w:tc>
          <w:tcPr>
            <w:tcW w:w="326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4617.92 </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四、教育支出</w:t>
            </w:r>
          </w:p>
        </w:tc>
        <w:tc>
          <w:tcPr>
            <w:tcW w:w="5077"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五、事业单位经营收入</w:t>
            </w:r>
          </w:p>
        </w:tc>
        <w:tc>
          <w:tcPr>
            <w:tcW w:w="326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50</w:t>
            </w:r>
            <w:r>
              <w:rPr>
                <w:rFonts w:ascii="Times New Roman" w:cs="Times New Roman" w:hAnsi="Times New Roman" w:hint="eastAsia"/>
                <w:color w:val="000000"/>
                <w:kern w:val="0"/>
                <w:sz w:val="20"/>
                <w:szCs w:val="20"/>
              </w:rPr>
              <w:t>.00</w:t>
            </w:r>
            <w:r>
              <w:rPr>
                <w:rFonts w:ascii="Times New Roman" w:cs="Times New Roman" w:hAnsi="Times New Roman"/>
                <w:color w:val="000000"/>
                <w:kern w:val="0"/>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五、社会保障和就业支出</w:t>
            </w:r>
          </w:p>
        </w:tc>
        <w:tc>
          <w:tcPr>
            <w:tcW w:w="5077"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2721.12 </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六、其他收入</w:t>
            </w:r>
          </w:p>
        </w:tc>
        <w:tc>
          <w:tcPr>
            <w:tcW w:w="326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6467.68 </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六、卫生</w:t>
            </w:r>
            <w:r>
              <w:rPr>
                <w:rFonts w:ascii="Times New Roman" w:cs="宋体" w:hAnsi="Times New Roman"/>
                <w:color w:val="000000"/>
                <w:kern w:val="0"/>
                <w:sz w:val="20"/>
                <w:szCs w:val="20"/>
              </w:rPr>
              <w:t>健康支出</w:t>
            </w:r>
          </w:p>
        </w:tc>
        <w:tc>
          <w:tcPr>
            <w:tcW w:w="5077"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1057.37 </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326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七、住房保障支出</w:t>
            </w:r>
          </w:p>
        </w:tc>
        <w:tc>
          <w:tcPr>
            <w:tcW w:w="5077"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3006.19 </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326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5077"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本年收入合计</w:t>
            </w:r>
          </w:p>
        </w:tc>
        <w:tc>
          <w:tcPr>
            <w:tcW w:w="326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44298.48 </w:t>
            </w:r>
          </w:p>
        </w:tc>
        <w:tc>
          <w:tcPr>
            <w:tcW w:w="382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本年支出合计</w:t>
            </w:r>
          </w:p>
        </w:tc>
        <w:tc>
          <w:tcPr>
            <w:tcW w:w="5077"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47854.72 </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使用非财政拨款结余</w:t>
            </w:r>
          </w:p>
        </w:tc>
        <w:tc>
          <w:tcPr>
            <w:tcW w:w="326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1423.43 </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结转下年（非财政拨款）</w:t>
            </w:r>
          </w:p>
        </w:tc>
        <w:tc>
          <w:tcPr>
            <w:tcW w:w="5077"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上年结转</w:t>
            </w:r>
          </w:p>
        </w:tc>
        <w:tc>
          <w:tcPr>
            <w:tcW w:w="326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2132.81 </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c>
          <w:tcPr>
            <w:tcW w:w="5077"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收    入    总    计</w:t>
            </w:r>
          </w:p>
        </w:tc>
        <w:tc>
          <w:tcPr>
            <w:tcW w:w="326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47854.72 </w:t>
            </w:r>
          </w:p>
        </w:tc>
        <w:tc>
          <w:tcPr>
            <w:tcW w:w="3827"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w:t>
            </w:r>
            <w:r>
              <w:rPr>
                <w:rFonts w:ascii="Times New Roman" w:cs="Times New Roman" w:hAnsi="Times New Roman" w:hint="eastAsia"/>
                <w:color w:val="000000"/>
                <w:kern w:val="0"/>
                <w:sz w:val="20"/>
                <w:szCs w:val="20"/>
              </w:rPr>
              <w:t>支</w:t>
            </w:r>
            <w:r>
              <w:rPr>
                <w:rFonts w:ascii="Times New Roman" w:cs="Times New Roman" w:hAnsi="Times New Roman"/>
                <w:color w:val="000000"/>
                <w:kern w:val="0"/>
                <w:sz w:val="20"/>
                <w:szCs w:val="20"/>
              </w:rPr>
              <w:t xml:space="preserve">    </w:t>
            </w:r>
            <w:r>
              <w:rPr>
                <w:rFonts w:ascii="Times New Roman" w:cs="Times New Roman" w:hAnsi="Times New Roman" w:hint="eastAsia"/>
                <w:color w:val="000000"/>
                <w:kern w:val="0"/>
                <w:sz w:val="20"/>
                <w:szCs w:val="20"/>
              </w:rPr>
              <w:t>出</w:t>
            </w:r>
            <w:r>
              <w:rPr>
                <w:rFonts w:ascii="Times New Roman" w:cs="Times New Roman" w:hAnsi="Times New Roman"/>
                <w:color w:val="000000"/>
                <w:kern w:val="0"/>
                <w:sz w:val="20"/>
                <w:szCs w:val="20"/>
              </w:rPr>
              <w:t xml:space="preserve">    </w:t>
            </w:r>
            <w:r>
              <w:rPr>
                <w:rFonts w:ascii="Times New Roman" w:cs="Times New Roman" w:hAnsi="Times New Roman" w:hint="eastAsia"/>
                <w:color w:val="000000"/>
                <w:kern w:val="0"/>
                <w:sz w:val="20"/>
                <w:szCs w:val="20"/>
              </w:rPr>
              <w:t>总</w:t>
            </w:r>
            <w:r>
              <w:rPr>
                <w:rFonts w:ascii="Times New Roman" w:cs="Times New Roman" w:hAnsi="Times New Roman"/>
                <w:color w:val="000000"/>
                <w:kern w:val="0"/>
                <w:sz w:val="20"/>
                <w:szCs w:val="20"/>
              </w:rPr>
              <w:t xml:space="preserve">    </w:t>
            </w:r>
            <w:r>
              <w:rPr>
                <w:rFonts w:ascii="Times New Roman" w:cs="Times New Roman" w:hAnsi="Times New Roman" w:hint="eastAsia"/>
                <w:color w:val="000000"/>
                <w:kern w:val="0"/>
                <w:sz w:val="20"/>
                <w:szCs w:val="20"/>
              </w:rPr>
              <w:t>计</w:t>
            </w:r>
          </w:p>
        </w:tc>
        <w:tc>
          <w:tcPr>
            <w:tcW w:w="5077"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color w:val="000000"/>
                <w:kern w:val="0"/>
                <w:sz w:val="20"/>
                <w:szCs w:val="20"/>
              </w:rPr>
              <w:t xml:space="preserve">                 47854.72 </w:t>
            </w:r>
          </w:p>
        </w:tc>
      </w:tr>
    </w:tbl>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tbl>
      <w:tblPr>
        <w:jc w:val="center"/>
        <w:tblW w:w="13804"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266"/>
        <w:gridCol w:w="1360"/>
        <w:gridCol w:w="1266"/>
        <w:gridCol w:w="880"/>
        <w:gridCol w:w="880"/>
        <w:gridCol w:w="1116"/>
        <w:gridCol w:w="1120"/>
        <w:gridCol w:w="1139"/>
        <w:gridCol w:w="1134"/>
        <w:gridCol w:w="1087"/>
        <w:gridCol w:w="1266"/>
        <w:gridCol w:w="1290"/>
      </w:tblGrid>
      <w:tr>
        <w:trPr>
          <w:trHeight w:val="270"/>
        </w:trPr>
        <w:tc>
          <w:tcPr>
            <w:tcW w:w="1266" w:type="dxa"/>
            <w:tcBorders>
              <w:top w:val="nil"/>
              <w:left w:val="nil"/>
              <w:bottom w:val="nil"/>
              <w:right w:val="nil"/>
            </w:tcBorders>
            <w:shd w:val="clear" w:color="auto" w:fill="auto"/>
            <w:noWrap/>
            <w:vAlign w:val="center"/>
          </w:tcPr>
          <w:p>
            <w:pPr>
              <w:widowControl/>
              <w:jc w:val="left"/>
              <w:rPr>
                <w:rFonts w:ascii="Times New Roman" w:cs="宋体" w:hAnsi="Times New Roman"/>
                <w:kern w:val="0"/>
                <w:sz w:val="24"/>
                <w:szCs w:val="24"/>
              </w:rPr>
            </w:pPr>
          </w:p>
        </w:tc>
        <w:tc>
          <w:tcPr>
            <w:tcW w:w="1360"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266"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880"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880"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116"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120"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139"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134"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087"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2556" w:type="dxa"/>
            <w:gridSpan w:val="2"/>
            <w:tcBorders>
              <w:top w:val="nil"/>
              <w:left w:val="nil"/>
              <w:bottom w:val="nil"/>
              <w:right w:val="nil"/>
            </w:tcBorders>
            <w:shd w:val="clear" w:color="auto" w:fill="auto"/>
            <w:noWrap/>
            <w:vAlign w:val="center"/>
          </w:tcPr>
          <w:p>
            <w:pPr>
              <w:widowControl/>
              <w:jc w:val="right"/>
              <w:rPr>
                <w:rFonts w:ascii="Times New Roman" w:eastAsia="黑体" w:cs="宋体" w:hAnsi="Times New Roman"/>
                <w:kern w:val="0"/>
                <w:sz w:val="20"/>
                <w:szCs w:val="20"/>
              </w:rPr>
            </w:pPr>
            <w:r>
              <w:rPr>
                <w:rFonts w:ascii="Times New Roman" w:eastAsia="黑体" w:cs="宋体" w:hAnsi="Times New Roman" w:hint="eastAsia"/>
                <w:kern w:val="0"/>
                <w:sz w:val="20"/>
                <w:szCs w:val="20"/>
              </w:rPr>
              <w:t>部门公开表2</w:t>
            </w:r>
          </w:p>
        </w:tc>
      </w:tr>
      <w:tr>
        <w:trPr>
          <w:trHeight w:val="405"/>
        </w:trPr>
        <w:tc>
          <w:tcPr>
            <w:tcW w:w="13804" w:type="dxa"/>
            <w:gridSpan w:val="12"/>
            <w:tcBorders>
              <w:top w:val="nil"/>
              <w:left w:val="nil"/>
              <w:bottom w:val="nil"/>
              <w:right w:val="nil"/>
            </w:tcBorders>
            <w:shd w:val="clear" w:color="auto" w:fill="auto"/>
            <w:noWrap/>
            <w:vAlign w:val="center"/>
          </w:tcPr>
          <w:p>
            <w:pPr>
              <w:widowControl/>
              <w:jc w:val="center"/>
              <w:rPr>
                <w:rFonts w:ascii="Times New Roman" w:cs="宋体" w:hAnsi="Times New Roman"/>
                <w:kern w:val="0"/>
                <w:sz w:val="36"/>
                <w:szCs w:val="36"/>
              </w:rPr>
            </w:pPr>
            <w:r>
              <w:rPr>
                <w:rFonts w:ascii="Times New Roman" w:cs="宋体" w:hAnsi="Times New Roman" w:hint="eastAsia"/>
                <w:kern w:val="0"/>
                <w:sz w:val="36"/>
                <w:szCs w:val="36"/>
              </w:rPr>
              <w:t>部门收入总表</w:t>
            </w:r>
          </w:p>
        </w:tc>
      </w:tr>
      <w:tr>
        <w:trPr>
          <w:trHeight w:val="270"/>
        </w:trPr>
        <w:tc>
          <w:tcPr>
            <w:tcW w:w="5652" w:type="dxa"/>
            <w:gridSpan w:val="5"/>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r>
              <w:rPr>
                <w:rFonts w:ascii="Times New Roman" w:cs="宋体" w:hAnsi="Times New Roman" w:hint="eastAsia"/>
                <w:color w:val="000000"/>
                <w:kern w:val="0"/>
                <w:sz w:val="18"/>
                <w:szCs w:val="18"/>
              </w:rPr>
              <w:t>单位名称：中华人民共和国呼和浩特海关</w:t>
            </w:r>
          </w:p>
        </w:tc>
        <w:tc>
          <w:tcPr>
            <w:tcW w:w="1116"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120"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139"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134"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087"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266"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290"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单位：万元</w:t>
            </w:r>
          </w:p>
        </w:tc>
      </w:tr>
      <w:tr>
        <w:trPr>
          <w:trHeight w:val="270"/>
        </w:trPr>
        <w:tc>
          <w:tcPr>
            <w:tcW w:w="1266"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合计</w:t>
            </w:r>
          </w:p>
        </w:tc>
        <w:tc>
          <w:tcPr>
            <w:tcW w:w="1360" w:type="dxa"/>
            <w:vMerge w:val="restart"/>
            <w:tcBorders>
              <w:top w:val="nil"/>
              <w:left w:val="single" w:sz="4" w:space="0" w:color="auto"/>
              <w:bottom w:val="nil"/>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上年结转</w:t>
            </w:r>
          </w:p>
        </w:tc>
        <w:tc>
          <w:tcPr>
            <w:tcW w:w="1266"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一般公共预算拨款收入</w:t>
            </w:r>
          </w:p>
        </w:tc>
        <w:tc>
          <w:tcPr>
            <w:tcW w:w="880"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政府性基金预算拨款收入</w:t>
            </w:r>
          </w:p>
        </w:tc>
        <w:tc>
          <w:tcPr>
            <w:tcW w:w="880"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国有资本经营预算拨款收入</w:t>
            </w:r>
          </w:p>
        </w:tc>
        <w:tc>
          <w:tcPr>
            <w:tcW w:w="2236"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事业收入</w:t>
            </w:r>
          </w:p>
        </w:tc>
        <w:tc>
          <w:tcPr>
            <w:tcW w:w="1139" w:type="dxa"/>
            <w:vMerge w:val="restart"/>
            <w:tcBorders>
              <w:top w:val="single" w:sz="4" w:space="0" w:color="auto"/>
              <w:left w:val="single" w:sz="4" w:space="0" w:color="auto"/>
              <w:bottom w:val="nil"/>
              <w:right w:val="nil"/>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事业单位经营收入</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上级补助收入</w:t>
            </w:r>
          </w:p>
        </w:tc>
        <w:tc>
          <w:tcPr>
            <w:tcW w:w="108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附属单位上缴收入</w:t>
            </w:r>
          </w:p>
        </w:tc>
        <w:tc>
          <w:tcPr>
            <w:tcW w:w="126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其他收入</w:t>
            </w:r>
          </w:p>
        </w:tc>
        <w:tc>
          <w:tcPr>
            <w:tcW w:w="129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使用非财政拨款结余</w:t>
            </w:r>
          </w:p>
        </w:tc>
      </w:tr>
      <w:tr>
        <w:trPr>
          <w:trHeight w:val="480"/>
        </w:trPr>
        <w:tc>
          <w:tcPr>
            <w:tcW w:w="1266" w:type="dxa"/>
            <w:vMerge/>
            <w:tcBorders>
              <w:top w:val="nil"/>
              <w:left w:val="single" w:sz="4" w:space="0" w:color="auto"/>
              <w:bottom w:val="single" w:sz="4" w:space="0" w:color="auto"/>
              <w:right w:val="single" w:sz="4" w:space="0" w:color="auto"/>
            </w:tcBorders>
            <w:vAlign w:val="center"/>
          </w:tcPr>
          <w:p/>
        </w:tc>
        <w:tc>
          <w:tcPr>
            <w:tcW w:w="1360" w:type="dxa"/>
            <w:vMerge/>
            <w:tcBorders>
              <w:top w:val="nil"/>
              <w:left w:val="single" w:sz="4" w:space="0" w:color="auto"/>
              <w:bottom w:val="nil"/>
              <w:right w:val="single" w:sz="4" w:space="0" w:color="auto"/>
            </w:tcBorders>
            <w:vAlign w:val="center"/>
          </w:tcPr>
          <w:p/>
        </w:tc>
        <w:tc>
          <w:tcPr>
            <w:tcW w:w="1266" w:type="dxa"/>
            <w:vMerge/>
            <w:tcBorders>
              <w:top w:val="nil"/>
              <w:left w:val="single" w:sz="4" w:space="0" w:color="auto"/>
              <w:bottom w:val="single" w:sz="4" w:space="0" w:color="auto"/>
              <w:right w:val="single" w:sz="4" w:space="0" w:color="auto"/>
            </w:tcBorders>
            <w:vAlign w:val="center"/>
          </w:tcPr>
          <w:p/>
        </w:tc>
        <w:tc>
          <w:tcPr>
            <w:tcW w:w="880" w:type="dxa"/>
            <w:vMerge/>
            <w:tcBorders>
              <w:top w:val="nil"/>
              <w:left w:val="single" w:sz="4" w:space="0" w:color="auto"/>
              <w:bottom w:val="single" w:sz="4" w:space="0" w:color="auto"/>
              <w:right w:val="single" w:sz="4" w:space="0" w:color="auto"/>
            </w:tcBorders>
            <w:vAlign w:val="center"/>
          </w:tcPr>
          <w:p/>
        </w:tc>
        <w:tc>
          <w:tcPr>
            <w:tcW w:w="880" w:type="dxa"/>
            <w:vMerge/>
            <w:tcBorders>
              <w:top w:val="nil"/>
              <w:left w:val="single" w:sz="4" w:space="0" w:color="auto"/>
              <w:bottom w:val="single" w:sz="4" w:space="0" w:color="auto"/>
              <w:right w:val="single" w:sz="4" w:space="0" w:color="auto"/>
            </w:tcBorders>
            <w:vAlign w:val="center"/>
          </w:tcPr>
          <w:p/>
        </w:tc>
        <w:tc>
          <w:tcPr>
            <w:tcW w:w="1116" w:type="dxa"/>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金额</w:t>
            </w:r>
          </w:p>
        </w:tc>
        <w:tc>
          <w:tcPr>
            <w:tcW w:w="1120" w:type="dxa"/>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其中：教育收费</w:t>
            </w:r>
          </w:p>
        </w:tc>
        <w:tc>
          <w:tcPr>
            <w:tcW w:w="1139" w:type="dxa"/>
            <w:vMerge/>
            <w:tcBorders>
              <w:top w:val="single" w:sz="4" w:space="0" w:color="auto"/>
              <w:left w:val="single" w:sz="4" w:space="0" w:color="auto"/>
              <w:bottom w:val="nil"/>
              <w:right w:val="nil"/>
            </w:tcBorders>
            <w:vAlign w:val="center"/>
          </w:tcPr>
          <w:p/>
        </w:tc>
        <w:tc>
          <w:tcPr>
            <w:tcW w:w="1134" w:type="dxa"/>
            <w:vMerge/>
            <w:tcBorders>
              <w:top w:val="single" w:sz="4" w:space="0" w:color="auto"/>
              <w:left w:val="single" w:sz="4" w:space="0" w:color="auto"/>
              <w:bottom w:val="single" w:sz="4" w:space="0" w:color="000000"/>
              <w:right w:val="single" w:sz="4" w:space="0" w:color="auto"/>
            </w:tcBorders>
            <w:vAlign w:val="center"/>
          </w:tcPr>
          <w:p/>
        </w:tc>
        <w:tc>
          <w:tcPr>
            <w:tcW w:w="1087" w:type="dxa"/>
            <w:vMerge/>
            <w:tcBorders>
              <w:top w:val="single" w:sz="4" w:space="0" w:color="auto"/>
              <w:left w:val="single" w:sz="4" w:space="0" w:color="auto"/>
              <w:bottom w:val="single" w:sz="4" w:space="0" w:color="auto"/>
              <w:right w:val="single" w:sz="4" w:space="0" w:color="auto"/>
            </w:tcBorders>
            <w:vAlign w:val="center"/>
          </w:tcPr>
          <w:p/>
        </w:tc>
        <w:tc>
          <w:tcPr>
            <w:tcW w:w="1266" w:type="dxa"/>
            <w:vMerge/>
            <w:tcBorders>
              <w:top w:val="single" w:sz="4" w:space="0" w:color="auto"/>
              <w:left w:val="single" w:sz="4" w:space="0" w:color="auto"/>
              <w:bottom w:val="single" w:sz="4" w:space="0" w:color="auto"/>
              <w:right w:val="single" w:sz="4" w:space="0" w:color="auto"/>
            </w:tcBorders>
            <w:vAlign w:val="center"/>
          </w:tcPr>
          <w:p/>
        </w:tc>
        <w:tc>
          <w:tcPr>
            <w:tcW w:w="1290" w:type="dxa"/>
            <w:vMerge/>
            <w:tcBorders>
              <w:top w:val="single" w:sz="4" w:space="0" w:color="auto"/>
              <w:left w:val="single" w:sz="4" w:space="0" w:color="auto"/>
              <w:bottom w:val="single" w:sz="4" w:space="0" w:color="auto"/>
              <w:right w:val="single" w:sz="4" w:space="0" w:color="auto"/>
            </w:tcBorders>
            <w:vAlign w:val="center"/>
          </w:tcPr>
          <w:p/>
        </w:tc>
      </w:tr>
      <w:tr>
        <w:trPr>
          <w:trHeight w:val="270"/>
        </w:trPr>
        <w:tc>
          <w:tcPr>
            <w:tcW w:w="1266" w:type="dxa"/>
            <w:tcBorders>
              <w:top w:val="nil"/>
              <w:left w:val="single" w:sz="4" w:space="0" w:color="auto"/>
              <w:bottom w:val="single" w:sz="4" w:space="0" w:color="auto"/>
              <w:right w:val="single" w:sz="4" w:space="0" w:color="auto"/>
            </w:tcBorders>
            <w:shd w:val="clear" w:color="auto" w:fill="auto"/>
            <w:vAlign w:val="center"/>
          </w:tcPr>
          <w:p>
            <w:pPr>
              <w:widowControl/>
              <w:jc w:val="right"/>
              <w:rPr>
                <w:rFonts w:ascii="Times New Roman" w:cs="宋体" w:hAnsi="Times New Roman"/>
                <w:kern w:val="0"/>
                <w:sz w:val="20"/>
                <w:szCs w:val="20"/>
              </w:rPr>
            </w:pPr>
            <w:r>
              <w:rPr>
                <w:rFonts w:ascii="Times New Roman" w:cs="宋体" w:hAnsi="Times New Roman"/>
                <w:kern w:val="0"/>
                <w:sz w:val="20"/>
                <w:szCs w:val="20"/>
              </w:rPr>
              <w:t>47854.72</w:t>
            </w:r>
          </w:p>
        </w:tc>
        <w:tc>
          <w:tcPr>
            <w:tcW w:w="1360" w:type="dxa"/>
            <w:tcBorders>
              <w:top w:val="single" w:sz="4" w:space="0" w:color="auto"/>
              <w:left w:val="nil"/>
              <w:bottom w:val="single" w:sz="4" w:space="0" w:color="auto"/>
              <w:right w:val="single" w:sz="4" w:space="0" w:color="auto"/>
            </w:tcBorders>
            <w:shd w:val="clear" w:color="auto" w:fill="auto"/>
            <w:vAlign w:val="center"/>
          </w:tcPr>
          <w:p>
            <w:pPr>
              <w:widowControl/>
              <w:jc w:val="right"/>
              <w:rPr>
                <w:rFonts w:ascii="Times New Roman" w:cs="宋体" w:hAnsi="Times New Roman"/>
                <w:kern w:val="0"/>
                <w:sz w:val="20"/>
                <w:szCs w:val="20"/>
              </w:rPr>
            </w:pPr>
            <w:r>
              <w:rPr>
                <w:rFonts w:ascii="Times New Roman" w:cs="宋体" w:hAnsi="Times New Roman"/>
                <w:kern w:val="0"/>
                <w:sz w:val="20"/>
                <w:szCs w:val="20"/>
              </w:rPr>
              <w:t>2132.81</w:t>
            </w:r>
          </w:p>
        </w:tc>
        <w:tc>
          <w:tcPr>
            <w:tcW w:w="1266" w:type="dxa"/>
            <w:tcBorders>
              <w:top w:val="nil"/>
              <w:left w:val="nil"/>
              <w:bottom w:val="single" w:sz="4" w:space="0" w:color="auto"/>
              <w:right w:val="single" w:sz="4" w:space="0" w:color="auto"/>
            </w:tcBorders>
            <w:shd w:val="clear" w:color="auto" w:fill="auto"/>
            <w:vAlign w:val="center"/>
          </w:tcPr>
          <w:p>
            <w:pPr>
              <w:widowControl/>
              <w:jc w:val="right"/>
              <w:rPr>
                <w:rFonts w:ascii="Times New Roman" w:cs="宋体" w:hAnsi="Times New Roman"/>
                <w:kern w:val="0"/>
                <w:sz w:val="20"/>
                <w:szCs w:val="20"/>
              </w:rPr>
            </w:pPr>
            <w:r>
              <w:rPr>
                <w:rFonts w:ascii="Times New Roman" w:cs="宋体" w:hAnsi="Times New Roman"/>
                <w:kern w:val="0"/>
                <w:sz w:val="20"/>
                <w:szCs w:val="20"/>
              </w:rPr>
              <w:t>33162.88</w:t>
            </w:r>
          </w:p>
        </w:tc>
        <w:tc>
          <w:tcPr>
            <w:tcW w:w="880" w:type="dxa"/>
            <w:tcBorders>
              <w:top w:val="nil"/>
              <w:left w:val="nil"/>
              <w:bottom w:val="single" w:sz="4" w:space="0" w:color="auto"/>
              <w:right w:val="single" w:sz="4" w:space="0" w:color="auto"/>
            </w:tcBorders>
            <w:shd w:val="clear" w:color="auto" w:fill="auto"/>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880" w:type="dxa"/>
            <w:tcBorders>
              <w:top w:val="nil"/>
              <w:left w:val="nil"/>
              <w:bottom w:val="single" w:sz="4" w:space="0" w:color="auto"/>
              <w:right w:val="single" w:sz="4" w:space="0" w:color="auto"/>
            </w:tcBorders>
            <w:shd w:val="clear" w:color="auto" w:fill="auto"/>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1116" w:type="dxa"/>
            <w:tcBorders>
              <w:top w:val="nil"/>
              <w:left w:val="nil"/>
              <w:bottom w:val="single" w:sz="4" w:space="0" w:color="auto"/>
              <w:right w:val="single" w:sz="4" w:space="0" w:color="auto"/>
            </w:tcBorders>
            <w:shd w:val="clear" w:color="auto" w:fill="auto"/>
            <w:vAlign w:val="center"/>
          </w:tcPr>
          <w:p>
            <w:pPr>
              <w:widowControl/>
              <w:jc w:val="right"/>
              <w:rPr>
                <w:rFonts w:ascii="Times New Roman" w:cs="宋体" w:hAnsi="Times New Roman"/>
                <w:kern w:val="0"/>
                <w:sz w:val="20"/>
                <w:szCs w:val="20"/>
              </w:rPr>
            </w:pPr>
            <w:r>
              <w:rPr>
                <w:rFonts w:ascii="Times New Roman" w:cs="宋体" w:hAnsi="Times New Roman"/>
                <w:kern w:val="0"/>
                <w:sz w:val="20"/>
                <w:szCs w:val="20"/>
              </w:rPr>
              <w:t>4617.92</w:t>
            </w:r>
          </w:p>
        </w:tc>
        <w:tc>
          <w:tcPr>
            <w:tcW w:w="1120" w:type="dxa"/>
            <w:tcBorders>
              <w:top w:val="single" w:sz="4" w:space="0" w:color="auto"/>
              <w:left w:val="nil"/>
              <w:bottom w:val="single" w:sz="4" w:space="0" w:color="auto"/>
              <w:right w:val="single" w:sz="4" w:space="0" w:color="auto"/>
            </w:tcBorders>
            <w:shd w:val="clear" w:color="auto" w:fill="auto"/>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1139" w:type="dxa"/>
            <w:tcBorders>
              <w:top w:val="single" w:sz="4" w:space="0" w:color="auto"/>
              <w:left w:val="nil"/>
              <w:bottom w:val="single" w:sz="4" w:space="0" w:color="auto"/>
              <w:right w:val="single" w:sz="4" w:space="0" w:color="auto"/>
            </w:tcBorders>
            <w:shd w:val="clear" w:color="auto" w:fill="auto"/>
            <w:vAlign w:val="center"/>
          </w:tcPr>
          <w:p>
            <w:pPr>
              <w:widowControl/>
              <w:jc w:val="right"/>
              <w:rPr>
                <w:rFonts w:ascii="Times New Roman" w:cs="宋体" w:hAnsi="Times New Roman"/>
                <w:kern w:val="0"/>
                <w:sz w:val="20"/>
                <w:szCs w:val="20"/>
              </w:rPr>
            </w:pPr>
            <w:r>
              <w:rPr>
                <w:rFonts w:ascii="Times New Roman" w:cs="宋体" w:hAnsi="Times New Roman"/>
                <w:kern w:val="0"/>
                <w:sz w:val="20"/>
                <w:szCs w:val="20"/>
              </w:rPr>
              <w:t>50</w:t>
            </w:r>
            <w:r>
              <w:rPr>
                <w:rFonts w:ascii="Times New Roman" w:cs="宋体" w:hAnsi="Times New Roman" w:hint="eastAsia"/>
                <w:kern w:val="0"/>
                <w:sz w:val="20"/>
                <w:szCs w:val="20"/>
              </w:rPr>
              <w:t>.00</w:t>
            </w:r>
          </w:p>
        </w:tc>
        <w:tc>
          <w:tcPr>
            <w:tcW w:w="1134" w:type="dxa"/>
            <w:tcBorders>
              <w:top w:val="single" w:sz="4" w:space="0" w:color="auto"/>
              <w:left w:val="nil"/>
              <w:bottom w:val="single" w:sz="4" w:space="0" w:color="auto"/>
              <w:right w:val="single" w:sz="4" w:space="0" w:color="auto"/>
            </w:tcBorders>
            <w:shd w:val="clear" w:color="auto" w:fill="auto"/>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1087" w:type="dxa"/>
            <w:tcBorders>
              <w:top w:val="nil"/>
              <w:left w:val="nil"/>
              <w:bottom w:val="single" w:sz="4" w:space="0" w:color="auto"/>
              <w:right w:val="single" w:sz="4" w:space="0" w:color="auto"/>
            </w:tcBorders>
            <w:shd w:val="clear" w:color="auto" w:fill="auto"/>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1266" w:type="dxa"/>
            <w:tcBorders>
              <w:top w:val="nil"/>
              <w:left w:val="nil"/>
              <w:bottom w:val="single" w:sz="4" w:space="0" w:color="auto"/>
              <w:right w:val="single" w:sz="4" w:space="0" w:color="auto"/>
            </w:tcBorders>
            <w:shd w:val="clear" w:color="auto" w:fill="auto"/>
            <w:vAlign w:val="center"/>
          </w:tcPr>
          <w:p>
            <w:pPr>
              <w:widowControl/>
              <w:jc w:val="right"/>
              <w:rPr>
                <w:rFonts w:ascii="Times New Roman" w:cs="宋体" w:hAnsi="Times New Roman"/>
                <w:kern w:val="0"/>
                <w:sz w:val="20"/>
                <w:szCs w:val="20"/>
              </w:rPr>
            </w:pPr>
            <w:r>
              <w:rPr>
                <w:rFonts w:ascii="Times New Roman" w:cs="宋体" w:hAnsi="Times New Roman"/>
                <w:kern w:val="0"/>
                <w:sz w:val="20"/>
                <w:szCs w:val="20"/>
              </w:rPr>
              <w:t>6467.68</w:t>
            </w:r>
          </w:p>
        </w:tc>
        <w:tc>
          <w:tcPr>
            <w:tcW w:w="1290" w:type="dxa"/>
            <w:tcBorders>
              <w:top w:val="nil"/>
              <w:left w:val="nil"/>
              <w:bottom w:val="single" w:sz="4" w:space="0" w:color="auto"/>
              <w:right w:val="single" w:sz="4" w:space="0" w:color="auto"/>
            </w:tcBorders>
            <w:shd w:val="clear" w:color="auto" w:fill="auto"/>
            <w:vAlign w:val="center"/>
          </w:tcPr>
          <w:p>
            <w:pPr>
              <w:widowControl/>
              <w:jc w:val="right"/>
              <w:rPr>
                <w:rFonts w:ascii="Times New Roman" w:cs="宋体" w:hAnsi="Times New Roman"/>
                <w:kern w:val="0"/>
                <w:sz w:val="20"/>
                <w:szCs w:val="20"/>
              </w:rPr>
            </w:pPr>
            <w:r>
              <w:rPr>
                <w:rFonts w:ascii="Times New Roman" w:cs="宋体" w:hAnsi="Times New Roman"/>
                <w:kern w:val="0"/>
                <w:sz w:val="20"/>
                <w:szCs w:val="20"/>
              </w:rPr>
              <w:t>1423.43</w:t>
            </w:r>
          </w:p>
        </w:tc>
      </w:tr>
    </w:tbl>
    <w:p>
      <w:pPr>
        <w:jc w:val="left"/>
        <w:rPr>
          <w:rFonts w:ascii="Times New Roman" w:eastAsia="方正仿宋_GBK" w:hAnsi="Times New Roman"/>
          <w:sz w:val="32"/>
          <w:szCs w:val="32"/>
        </w:rPr>
      </w:pP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p>
      <w:pPr>
        <w:rPr>
          <w:rFonts w:ascii="Times New Roman" w:eastAsia="方正仿宋_GBK" w:hAnsi="Times New Roman"/>
          <w:sz w:val="32"/>
          <w:szCs w:val="32"/>
        </w:rPr>
        <w:sectPr>
          <w:pgSz w:w="16838" w:h="11906" w:orient="landscape"/>
          <w:pgMar w:top="1800" w:right="1440" w:bottom="1800" w:left="1440" w:header="851" w:footer="992" w:gutter="0"/>
          <w:docGrid w:type="lines" w:linePitch="312" w:charSpace="0"/>
        </w:sectPr>
      </w:pPr>
    </w:p>
    <w:tbl>
      <w:tblPr>
        <w:jc w:val="center"/>
        <w:tblW w:w="10484"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119"/>
        <w:gridCol w:w="2126"/>
        <w:gridCol w:w="1332"/>
        <w:gridCol w:w="1332"/>
        <w:gridCol w:w="1173"/>
        <w:gridCol w:w="993"/>
        <w:gridCol w:w="1134"/>
        <w:gridCol w:w="1275"/>
      </w:tblGrid>
      <w:tr>
        <w:trPr>
          <w:trHeight w:val="319"/>
        </w:trPr>
        <w:tc>
          <w:tcPr>
            <w:tcW w:w="10484" w:type="dxa"/>
            <w:gridSpan w:val="8"/>
            <w:tcBorders>
              <w:top w:val="nil"/>
              <w:left w:val="nil"/>
              <w:bottom w:val="nil"/>
              <w:right w:val="nil"/>
            </w:tcBorders>
            <w:shd w:val="clear" w:color="auto" w:fill="auto"/>
            <w:noWrap/>
            <w:vAlign w:val="center"/>
          </w:tcPr>
          <w:p>
            <w:pPr>
              <w:widowControl/>
              <w:jc w:val="right"/>
              <w:rPr>
                <w:rFonts w:ascii="Times New Roman" w:eastAsia="黑体" w:cs="宋体" w:hAnsi="Times New Roman"/>
                <w:color w:val="000000"/>
                <w:kern w:val="0"/>
                <w:sz w:val="20"/>
                <w:szCs w:val="20"/>
              </w:rPr>
            </w:pPr>
            <w:r>
              <w:rPr>
                <w:rFonts w:ascii="Times New Roman" w:eastAsia="黑体" w:cs="宋体" w:hAnsi="Times New Roman" w:hint="eastAsia"/>
                <w:color w:val="000000"/>
                <w:kern w:val="0"/>
                <w:sz w:val="20"/>
                <w:szCs w:val="20"/>
              </w:rPr>
              <w:t xml:space="preserve"> 部门公开表3 </w:t>
            </w:r>
          </w:p>
        </w:tc>
      </w:tr>
      <w:tr>
        <w:trPr>
          <w:trHeight w:val="540"/>
        </w:trPr>
        <w:tc>
          <w:tcPr>
            <w:tcW w:w="10484" w:type="dxa"/>
            <w:gridSpan w:val="8"/>
            <w:tcBorders>
              <w:top w:val="nil"/>
              <w:left w:val="nil"/>
              <w:bottom w:val="nil"/>
              <w:right w:val="nil"/>
            </w:tcBorders>
            <w:shd w:val="clear" w:color="auto" w:fill="auto"/>
            <w:noWrap/>
            <w:vAlign w:val="center"/>
          </w:tcPr>
          <w:p>
            <w:pPr>
              <w:widowControl/>
              <w:jc w:val="center"/>
              <w:rPr>
                <w:rFonts w:ascii="Times New Roman" w:cs="宋体" w:hAnsi="Times New Roman"/>
                <w:color w:val="000000"/>
                <w:kern w:val="0"/>
                <w:sz w:val="36"/>
                <w:szCs w:val="36"/>
              </w:rPr>
            </w:pPr>
            <w:r>
              <w:rPr>
                <w:rFonts w:ascii="Times New Roman" w:cs="宋体" w:hAnsi="Times New Roman" w:hint="eastAsia"/>
                <w:color w:val="000000"/>
                <w:kern w:val="0"/>
                <w:sz w:val="36"/>
                <w:szCs w:val="36"/>
              </w:rPr>
              <w:t xml:space="preserve"> 部门支出总表 </w:t>
            </w:r>
          </w:p>
        </w:tc>
      </w:tr>
      <w:tr>
        <w:trPr>
          <w:trHeight w:val="360"/>
        </w:trPr>
        <w:tc>
          <w:tcPr>
            <w:tcW w:w="5909" w:type="dxa"/>
            <w:gridSpan w:val="4"/>
            <w:tcBorders>
              <w:top w:val="nil"/>
              <w:left w:val="nil"/>
              <w:bottom w:val="nil"/>
              <w:right w:val="nil"/>
            </w:tcBorders>
            <w:shd w:val="clear" w:color="auto" w:fill="auto"/>
            <w:noWrap/>
            <w:vAlign w:val="center"/>
          </w:tcPr>
          <w:p>
            <w:pPr>
              <w:widowControl/>
              <w:jc w:val="left"/>
              <w:rPr>
                <w:rFonts w:ascii="Times New Roman" w:cs="宋体" w:hAnsi="Times New Roman"/>
                <w:color w:val="000000"/>
                <w:kern w:val="0"/>
                <w:sz w:val="36"/>
                <w:szCs w:val="36"/>
              </w:rPr>
            </w:pPr>
            <w:r>
              <w:rPr>
                <w:rFonts w:ascii="Times New Roman" w:cs="宋体" w:hAnsi="Times New Roman" w:hint="eastAsia"/>
                <w:color w:val="000000"/>
                <w:kern w:val="0"/>
                <w:sz w:val="18"/>
                <w:szCs w:val="18"/>
              </w:rPr>
              <w:t>单位名称：中华人民共和国呼和浩特海关</w:t>
            </w:r>
          </w:p>
        </w:tc>
        <w:tc>
          <w:tcPr>
            <w:tcW w:w="1173"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3402" w:type="dxa"/>
            <w:gridSpan w:val="3"/>
            <w:tcBorders>
              <w:top w:val="nil"/>
              <w:left w:val="nil"/>
              <w:bottom w:val="single" w:sz="4" w:space="0" w:color="auto"/>
              <w:right w:val="nil"/>
            </w:tcBorders>
            <w:shd w:val="clear" w:color="auto" w:fill="auto"/>
            <w:noWrap/>
            <w:vAlign w:val="center"/>
          </w:tcPr>
          <w:p>
            <w:pPr>
              <w:widowControl/>
              <w:jc w:val="right"/>
              <w:rPr>
                <w:rFonts w:ascii="Times New Roman" w:cs="宋体" w:hAnsi="Times New Roman"/>
                <w:color w:val="000000"/>
                <w:kern w:val="0"/>
                <w:sz w:val="18"/>
                <w:szCs w:val="18"/>
              </w:rPr>
            </w:pPr>
            <w:r>
              <w:rPr>
                <w:rFonts w:ascii="Times New Roman" w:cs="宋体" w:hAnsi="Times New Roman" w:hint="eastAsia"/>
                <w:color w:val="000000"/>
                <w:kern w:val="0"/>
                <w:sz w:val="22"/>
              </w:rPr>
              <w:t>　</w:t>
            </w:r>
            <w:r>
              <w:rPr>
                <w:rFonts w:ascii="Times New Roman" w:cs="宋体" w:hAnsi="Times New Roman" w:hint="eastAsia"/>
                <w:color w:val="000000"/>
                <w:kern w:val="0"/>
                <w:sz w:val="18"/>
                <w:szCs w:val="18"/>
              </w:rPr>
              <w:t xml:space="preserve"> 单位：万元 </w:t>
            </w:r>
          </w:p>
        </w:tc>
      </w:tr>
      <w:tr>
        <w:trPr>
          <w:trHeight w:val="540"/>
        </w:trPr>
        <w:tc>
          <w:tcPr>
            <w:tcW w:w="1119"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科目代码 </w:t>
            </w:r>
          </w:p>
        </w:tc>
        <w:tc>
          <w:tcPr>
            <w:tcW w:w="2126"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科目名称 </w:t>
            </w:r>
          </w:p>
        </w:tc>
        <w:tc>
          <w:tcPr>
            <w:tcW w:w="1332"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合计 </w:t>
            </w:r>
          </w:p>
        </w:tc>
        <w:tc>
          <w:tcPr>
            <w:tcW w:w="1332"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基本支出 </w:t>
            </w:r>
          </w:p>
        </w:tc>
        <w:tc>
          <w:tcPr>
            <w:tcW w:w="1173"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项目支出 </w:t>
            </w:r>
          </w:p>
        </w:tc>
        <w:tc>
          <w:tcPr>
            <w:tcW w:w="993"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上缴上级支出 </w:t>
            </w:r>
          </w:p>
        </w:tc>
        <w:tc>
          <w:tcPr>
            <w:tcW w:w="1134"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事业单位经营支出 </w:t>
            </w:r>
          </w:p>
        </w:tc>
        <w:tc>
          <w:tcPr>
            <w:tcW w:w="1275" w:type="dxa"/>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对附属单位补助支出 </w:t>
            </w: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b/>
                <w:bCs/>
                <w:color w:val="000000"/>
                <w:kern w:val="0"/>
                <w:sz w:val="20"/>
                <w:szCs w:val="20"/>
              </w:rPr>
            </w:pPr>
          </w:p>
        </w:tc>
        <w:tc>
          <w:tcPr>
            <w:tcW w:w="2126"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呼和浩特海关</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47,854.72</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35,136.56</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12,718.16</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201</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一般公共服务支出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38,728.89</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26,467.72</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12,261.17</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20109</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海关事务</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38,728.89</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26,467.72</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12,261.17</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2010901</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行政运行</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19,468.85</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19,468.85</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　</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2010902</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一般行政管理事务</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6,627.13</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　</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6,627.13</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2010903</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机关服务</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1,671.79</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1,671.79</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　</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2010905</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缉私办案</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93.00</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　</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93.00</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2010907</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口岸管理</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39.20</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　</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39.20</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2010908</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信息化建设</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419.00</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　</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419.00</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2010909</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海关关务</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4,269.00</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　</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4,269.00</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2010910</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关税征管</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315.43</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　</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315.43</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2010911</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海关监管</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498.41</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　</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498.41</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2010912</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检验检疫</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5,327.08</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5,327.08</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　</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2010950</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事业运行</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38,728.89</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26,467.72</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12,261.17</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204</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公共安全支出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2,341.15</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1,884.16</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456.99</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20410</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bCs/>
                <w:color w:val="000000"/>
                <w:kern w:val="0"/>
                <w:sz w:val="20"/>
                <w:szCs w:val="20"/>
              </w:rPr>
            </w:pPr>
            <w:r>
              <w:rPr>
                <w:rFonts w:ascii="Times New Roman" w:cs="宋体" w:hAnsi="Times New Roman" w:hint="eastAsia"/>
                <w:b/>
                <w:bCs/>
                <w:color w:val="000000"/>
                <w:kern w:val="0"/>
                <w:sz w:val="20"/>
                <w:szCs w:val="20"/>
              </w:rPr>
              <w:t>缉私警察</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2,341.15</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1,884.16</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456.99</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bCs/>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2041001</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行政运行</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1,884.16</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1,884.16</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　</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2041006</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信息化建设</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100.00</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　</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100.00</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2041007</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缉私业务</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356.99</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　</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356.99</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208</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社会保障和就业支出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2,721.12</w:t>
            </w:r>
          </w:p>
        </w:tc>
        <w:tc>
          <w:tcPr>
            <w:tcW w:w="1332" w:type="dxa"/>
            <w:tcBorders>
              <w:top w:val="nil"/>
              <w:left w:val="nil"/>
              <w:bottom w:val="single" w:sz="4" w:space="0" w:color="auto"/>
              <w:right w:val="single" w:sz="4" w:space="0" w:color="auto"/>
            </w:tcBorders>
            <w:shd w:val="clear" w:color="auto" w:fill="auto"/>
            <w:noWrap/>
            <w:vAlign w:val="center"/>
          </w:tcPr>
          <w:p>
            <w:pPr>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2,721.12</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20805</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行政事业单位养老支出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2,623.25</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2,623.25</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2080501</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行政单位离退休</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237.14</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237.14</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2080502</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事业单位离退休</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26.43</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26.43</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2080505</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机关事业单位基本养老保险缴费支出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1,544.83</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1,544.83</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2080506</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机关事业单位职业年金缴费支出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814.85</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814.85</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20899</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其他社会保障和就业支出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97.87</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97.87</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2089999</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其他社会保障和就业支出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97.87</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97.87</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210</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卫生健康支出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1,057.37</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1,057.37</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科目代码 </w:t>
            </w:r>
          </w:p>
        </w:tc>
        <w:tc>
          <w:tcPr>
            <w:tcW w:w="2126"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科目名称 </w:t>
            </w:r>
          </w:p>
        </w:tc>
        <w:tc>
          <w:tcPr>
            <w:tcW w:w="1332"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合计 </w:t>
            </w:r>
          </w:p>
        </w:tc>
        <w:tc>
          <w:tcPr>
            <w:tcW w:w="1332"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基本支出 </w:t>
            </w:r>
          </w:p>
        </w:tc>
        <w:tc>
          <w:tcPr>
            <w:tcW w:w="117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项目支出 </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上缴上级支出 </w:t>
            </w: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事业单位经营支出 </w:t>
            </w: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xml:space="preserve"> 对附属单位补助支出 </w:t>
            </w: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21011</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行政事业单位医疗</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1,057.37</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1,057.37</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2101101</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行政单位医疗</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721.50</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721.50</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2101102</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事业单位医疗</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2.89</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2.89</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2101103</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公务员医疗补助</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318.59</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318.59</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2101199</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其他行政事业单位医疗支出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14.39</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14.39</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221</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住房保障支出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3,006.19</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3,006.19</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22102</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住房改革支出</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3,006.19</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3,006.19</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2210201</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住房公积金</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2,015.68</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2,015.68</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1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2210203</w:t>
            </w:r>
          </w:p>
        </w:tc>
        <w:tc>
          <w:tcPr>
            <w:tcW w:w="2126" w:type="dxa"/>
            <w:tcBorders>
              <w:top w:val="nil"/>
              <w:left w:val="nil"/>
              <w:bottom w:val="single" w:sz="4" w:space="0" w:color="auto"/>
              <w:right w:val="single" w:sz="4" w:space="0" w:color="auto"/>
            </w:tcBorders>
            <w:shd w:val="clear" w:color="auto" w:fill="auto"/>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购房补贴</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990.51</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r>
              <w:rPr>
                <w:rFonts w:ascii="Times New Roman" w:cs="Times New Roman" w:hAnsi="Times New Roman" w:hint="eastAsia"/>
                <w:color w:val="000000"/>
                <w:kern w:val="0"/>
                <w:sz w:val="20"/>
                <w:szCs w:val="20"/>
              </w:rPr>
              <w:t>990.51</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color w:val="000000"/>
                <w:kern w:val="0"/>
                <w:sz w:val="20"/>
                <w:szCs w:val="20"/>
              </w:rPr>
            </w:pPr>
          </w:p>
        </w:tc>
      </w:tr>
      <w:tr>
        <w:trPr>
          <w:trHeight w:val="360"/>
        </w:trPr>
        <w:tc>
          <w:tcPr>
            <w:tcW w:w="3245" w:type="dxa"/>
            <w:gridSpan w:val="2"/>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b/>
                <w:color w:val="000000"/>
                <w:kern w:val="0"/>
                <w:sz w:val="20"/>
                <w:szCs w:val="20"/>
              </w:rPr>
            </w:pPr>
            <w:r>
              <w:rPr>
                <w:rFonts w:ascii="Times New Roman" w:cs="宋体" w:hAnsi="Times New Roman" w:hint="eastAsia"/>
                <w:b/>
                <w:color w:val="000000"/>
                <w:kern w:val="0"/>
                <w:sz w:val="20"/>
                <w:szCs w:val="20"/>
              </w:rPr>
              <w:t>合      计</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47,854.72</w:t>
            </w:r>
          </w:p>
        </w:tc>
        <w:tc>
          <w:tcPr>
            <w:tcW w:w="133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35,136.56</w:t>
            </w:r>
          </w:p>
        </w:tc>
        <w:tc>
          <w:tcPr>
            <w:tcW w:w="117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20"/>
                <w:szCs w:val="20"/>
              </w:rPr>
            </w:pPr>
            <w:r>
              <w:rPr>
                <w:rFonts w:ascii="Times New Roman" w:cs="Times New Roman" w:hAnsi="Times New Roman" w:hint="eastAsia"/>
                <w:b/>
                <w:bCs/>
                <w:color w:val="000000"/>
                <w:kern w:val="0"/>
                <w:sz w:val="20"/>
                <w:szCs w:val="20"/>
              </w:rPr>
              <w:t>12,718.16</w:t>
            </w:r>
          </w:p>
        </w:tc>
        <w:tc>
          <w:tcPr>
            <w:tcW w:w="993"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b/>
                <w:color w:val="000000"/>
                <w:kern w:val="0"/>
                <w:sz w:val="20"/>
                <w:szCs w:val="20"/>
              </w:rPr>
            </w:pP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1389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253"/>
        <w:gridCol w:w="2693"/>
        <w:gridCol w:w="4253"/>
        <w:gridCol w:w="2693"/>
      </w:tblGrid>
      <w:tr>
        <w:trPr>
          <w:trHeight w:val="319"/>
        </w:trPr>
        <w:tc>
          <w:tcPr>
            <w:tcW w:w="11199" w:type="dxa"/>
            <w:gridSpan w:val="3"/>
            <w:tcBorders>
              <w:top w:val="nil"/>
              <w:left w:val="nil"/>
              <w:bottom w:val="nil"/>
              <w:right w:val="nil"/>
            </w:tcBorders>
            <w:shd w:val="clear" w:color="auto" w:fill="auto"/>
            <w:noWrap/>
            <w:vAlign w:val="center"/>
          </w:tcPr>
          <w:p>
            <w:pPr>
              <w:widowControl/>
              <w:jc w:val="left"/>
              <w:rPr>
                <w:rFonts w:ascii="Times New Roman" w:cs="宋体" w:hAnsi="Times New Roman"/>
                <w:kern w:val="0"/>
                <w:sz w:val="24"/>
                <w:szCs w:val="24"/>
              </w:rPr>
            </w:pPr>
          </w:p>
        </w:tc>
        <w:tc>
          <w:tcPr>
            <w:tcW w:w="2693" w:type="dxa"/>
            <w:tcBorders>
              <w:top w:val="nil"/>
              <w:left w:val="nil"/>
              <w:bottom w:val="nil"/>
              <w:right w:val="nil"/>
            </w:tcBorders>
            <w:shd w:val="clear" w:color="auto" w:fill="auto"/>
            <w:noWrap/>
            <w:vAlign w:val="center"/>
          </w:tcPr>
          <w:p>
            <w:pPr>
              <w:widowControl/>
              <w:jc w:val="right"/>
              <w:rPr>
                <w:rFonts w:ascii="Times New Roman" w:eastAsia="黑体" w:cs="宋体" w:hAnsi="Times New Roman"/>
                <w:color w:val="000000"/>
                <w:kern w:val="0"/>
                <w:sz w:val="20"/>
                <w:szCs w:val="20"/>
              </w:rPr>
            </w:pPr>
            <w:r>
              <w:rPr>
                <w:rFonts w:ascii="Times New Roman" w:eastAsia="黑体" w:cs="宋体" w:hAnsi="Times New Roman" w:hint="eastAsia"/>
                <w:color w:val="000000"/>
                <w:kern w:val="0"/>
                <w:sz w:val="20"/>
                <w:szCs w:val="20"/>
              </w:rPr>
              <w:t>部门公开表4</w:t>
            </w:r>
          </w:p>
        </w:tc>
      </w:tr>
      <w:tr>
        <w:trPr>
          <w:trHeight w:val="540"/>
        </w:trPr>
        <w:tc>
          <w:tcPr>
            <w:tcW w:w="13892" w:type="dxa"/>
            <w:gridSpan w:val="4"/>
            <w:tcBorders>
              <w:top w:val="nil"/>
              <w:left w:val="nil"/>
              <w:bottom w:val="nil"/>
              <w:right w:val="nil"/>
            </w:tcBorders>
            <w:shd w:val="clear" w:color="auto" w:fill="auto"/>
            <w:noWrap/>
            <w:vAlign w:val="center"/>
          </w:tcPr>
          <w:p>
            <w:pPr>
              <w:widowControl/>
              <w:jc w:val="center"/>
              <w:rPr>
                <w:rFonts w:ascii="Times New Roman" w:cs="宋体" w:hAnsi="Times New Roman"/>
                <w:color w:val="000000"/>
                <w:kern w:val="0"/>
                <w:sz w:val="36"/>
                <w:szCs w:val="36"/>
              </w:rPr>
            </w:pPr>
            <w:r>
              <w:rPr>
                <w:rFonts w:ascii="Times New Roman" w:cs="宋体" w:hAnsi="Times New Roman" w:hint="eastAsia"/>
                <w:color w:val="000000"/>
                <w:kern w:val="0"/>
                <w:sz w:val="36"/>
                <w:szCs w:val="36"/>
              </w:rPr>
              <w:t>财政拨款收支总表</w:t>
            </w:r>
          </w:p>
        </w:tc>
      </w:tr>
      <w:tr>
        <w:trPr>
          <w:trHeight w:val="360"/>
        </w:trPr>
        <w:tc>
          <w:tcPr>
            <w:tcW w:w="4253"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18"/>
                <w:szCs w:val="18"/>
              </w:rPr>
            </w:pPr>
            <w:r>
              <w:rPr>
                <w:rFonts w:ascii="Times New Roman" w:cs="宋体" w:hAnsi="Times New Roman" w:hint="eastAsia"/>
                <w:color w:val="000000"/>
                <w:kern w:val="0"/>
                <w:sz w:val="18"/>
                <w:szCs w:val="18"/>
              </w:rPr>
              <w:t>　单位名称：中华人民共和国呼和浩特海关</w:t>
            </w:r>
          </w:p>
        </w:tc>
        <w:tc>
          <w:tcPr>
            <w:tcW w:w="2693"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4253"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2693" w:type="dxa"/>
            <w:tcBorders>
              <w:top w:val="nil"/>
              <w:left w:val="nil"/>
              <w:bottom w:val="nil"/>
              <w:right w:val="nil"/>
            </w:tcBorders>
            <w:shd w:val="clear" w:color="auto" w:fill="auto"/>
            <w:noWrap/>
            <w:vAlign w:val="center"/>
          </w:tcPr>
          <w:p>
            <w:pPr>
              <w:widowControl/>
              <w:jc w:val="right"/>
              <w:rPr>
                <w:rFonts w:ascii="Times New Roman" w:cs="宋体" w:hAnsi="Times New Roman"/>
                <w:color w:val="000000"/>
                <w:kern w:val="0"/>
                <w:sz w:val="18"/>
                <w:szCs w:val="18"/>
              </w:rPr>
            </w:pPr>
            <w:r>
              <w:rPr>
                <w:rFonts w:ascii="Times New Roman" w:cs="宋体" w:hAnsi="Times New Roman" w:hint="eastAsia"/>
                <w:color w:val="000000"/>
                <w:kern w:val="0"/>
                <w:sz w:val="18"/>
                <w:szCs w:val="18"/>
              </w:rPr>
              <w:t>单位：万元</w:t>
            </w:r>
          </w:p>
        </w:tc>
      </w:tr>
      <w:tr>
        <w:trPr>
          <w:trHeight w:val="360"/>
        </w:trPr>
        <w:tc>
          <w:tcPr>
            <w:tcW w:w="69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收      入</w:t>
            </w:r>
          </w:p>
        </w:tc>
        <w:tc>
          <w:tcPr>
            <w:tcW w:w="6946" w:type="dxa"/>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支      出</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项目</w:t>
            </w:r>
          </w:p>
        </w:tc>
        <w:tc>
          <w:tcPr>
            <w:tcW w:w="2693"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预算数</w:t>
            </w:r>
          </w:p>
        </w:tc>
        <w:tc>
          <w:tcPr>
            <w:tcW w:w="4253"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项目</w:t>
            </w:r>
          </w:p>
        </w:tc>
        <w:tc>
          <w:tcPr>
            <w:tcW w:w="2693"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预算数</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一、本年收入</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33,162.88</w:t>
            </w:r>
          </w:p>
        </w:tc>
        <w:tc>
          <w:tcPr>
            <w:tcW w:w="425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一、本年支出</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33,834.04</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（一）一般公共预算拨款</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33,162.88</w:t>
            </w:r>
          </w:p>
        </w:tc>
        <w:tc>
          <w:tcPr>
            <w:tcW w:w="425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（一）一般公共服务支出</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25,123.42</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（二）政府性基金预算拨款</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　</w:t>
            </w:r>
          </w:p>
        </w:tc>
        <w:tc>
          <w:tcPr>
            <w:tcW w:w="425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（二）外交支出</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（三）国有资本经营预算拨款</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　</w:t>
            </w:r>
          </w:p>
        </w:tc>
        <w:tc>
          <w:tcPr>
            <w:tcW w:w="425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（三）公共安全支出</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2,229.15</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　</w:t>
            </w:r>
          </w:p>
        </w:tc>
        <w:tc>
          <w:tcPr>
            <w:tcW w:w="425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（四）教育支出</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二、上年结转</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671.16</w:t>
            </w:r>
          </w:p>
        </w:tc>
        <w:tc>
          <w:tcPr>
            <w:tcW w:w="425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（五）社会保障和就业支出</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2,531.58</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（一）一般公共预算拨款</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671.16</w:t>
            </w:r>
          </w:p>
        </w:tc>
        <w:tc>
          <w:tcPr>
            <w:tcW w:w="425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（六）卫生健康支出</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1,032.48</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（二）政府性基金预算拨款</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p>
        </w:tc>
        <w:tc>
          <w:tcPr>
            <w:tcW w:w="425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（七）住房保障支出</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2,917.41</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4"/>
                <w:szCs w:val="24"/>
              </w:rPr>
            </w:pPr>
            <w:r>
              <w:rPr>
                <w:rFonts w:ascii="Times New Roman" w:cs="宋体" w:hAnsi="Times New Roman" w:hint="eastAsia"/>
                <w:color w:val="000000"/>
                <w:kern w:val="0"/>
                <w:sz w:val="24"/>
                <w:szCs w:val="24"/>
              </w:rPr>
              <w:t>（三）国有资本经营预算拨款</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p>
        </w:tc>
        <w:tc>
          <w:tcPr>
            <w:tcW w:w="4253"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p>
        </w:tc>
        <w:tc>
          <w:tcPr>
            <w:tcW w:w="2693"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color w:val="000000"/>
                <w:kern w:val="0"/>
                <w:sz w:val="24"/>
                <w:szCs w:val="24"/>
              </w:rPr>
            </w:pP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p>
        </w:tc>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color w:val="000000"/>
                <w:kern w:val="0"/>
                <w:sz w:val="24"/>
                <w:szCs w:val="24"/>
              </w:rPr>
            </w:pP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收    入    总    计</w:t>
            </w:r>
          </w:p>
        </w:tc>
        <w:tc>
          <w:tcPr>
            <w:tcW w:w="2693"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33,834.04</w:t>
            </w:r>
          </w:p>
        </w:tc>
        <w:tc>
          <w:tcPr>
            <w:tcW w:w="4253" w:type="dxa"/>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r>
              <w:rPr>
                <w:rFonts w:ascii="Times New Roman" w:cs="宋体" w:hAnsi="Times New Roman" w:hint="eastAsia"/>
                <w:color w:val="000000"/>
                <w:kern w:val="0"/>
                <w:sz w:val="24"/>
                <w:szCs w:val="24"/>
              </w:rPr>
              <w:t>支    出    总    计</w:t>
            </w:r>
          </w:p>
        </w:tc>
        <w:tc>
          <w:tcPr>
            <w:tcW w:w="2693"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r>
              <w:rPr>
                <w:rFonts w:ascii="Times New Roman" w:cs="Times New Roman" w:hAnsi="Times New Roman" w:hint="eastAsia"/>
                <w:color w:val="000000"/>
                <w:kern w:val="0"/>
                <w:sz w:val="24"/>
                <w:szCs w:val="24"/>
              </w:rPr>
              <w:t>33,834.04</w:t>
            </w:r>
          </w:p>
        </w:tc>
      </w:tr>
      <w:tr>
        <w:trPr>
          <w:trHeight w:val="360"/>
        </w:trPr>
        <w:tc>
          <w:tcPr>
            <w:tcW w:w="4253" w:type="dxa"/>
            <w:tcBorders>
              <w:top w:val="nil"/>
            </w:tcBorders>
            <w:shd w:val="clear" w:color="auto" w:fill="auto"/>
            <w:noWrap/>
            <w:vAlign w:val="center"/>
          </w:tcPr>
          <w:p>
            <w:pPr>
              <w:widowControl/>
              <w:jc w:val="center"/>
              <w:rPr>
                <w:rFonts w:ascii="Times New Roman" w:cs="宋体" w:hAnsi="Times New Roman"/>
                <w:color w:val="000000"/>
                <w:kern w:val="0"/>
                <w:sz w:val="24"/>
                <w:szCs w:val="24"/>
              </w:rPr>
            </w:pPr>
          </w:p>
        </w:tc>
        <w:tc>
          <w:tcPr>
            <w:tcW w:w="2693" w:type="dxa"/>
            <w:tcBorders>
              <w:top w:val="nil"/>
            </w:tcBorders>
            <w:shd w:val="clear" w:color="auto" w:fill="auto"/>
            <w:noWrap/>
            <w:vAlign w:val="center"/>
          </w:tcPr>
          <w:p>
            <w:pPr>
              <w:widowControl/>
              <w:jc w:val="right"/>
              <w:rPr>
                <w:rFonts w:ascii="Times New Roman" w:cs="Times New Roman" w:hAnsi="Times New Roman"/>
                <w:color w:val="000000"/>
                <w:kern w:val="0"/>
                <w:sz w:val="24"/>
                <w:szCs w:val="24"/>
              </w:rPr>
            </w:pPr>
          </w:p>
        </w:tc>
        <w:tc>
          <w:tcPr>
            <w:tcW w:w="4253" w:type="dxa"/>
            <w:tcBorders>
              <w:top w:val="single" w:sz="4" w:space="0" w:color="auto"/>
            </w:tcBorders>
            <w:shd w:val="clear" w:color="auto" w:fill="auto"/>
            <w:noWrap/>
            <w:vAlign w:val="center"/>
          </w:tcPr>
          <w:p>
            <w:pPr>
              <w:widowControl/>
              <w:jc w:val="center"/>
              <w:rPr>
                <w:rFonts w:ascii="Times New Roman" w:cs="宋体" w:hAnsi="Times New Roman"/>
                <w:color w:val="000000"/>
                <w:kern w:val="0"/>
                <w:sz w:val="24"/>
                <w:szCs w:val="24"/>
              </w:rPr>
            </w:pPr>
          </w:p>
        </w:tc>
        <w:tc>
          <w:tcPr>
            <w:tcW w:w="2693" w:type="dxa"/>
            <w:tcBorders>
              <w:top w:val="single" w:sz="4" w:space="0" w:color="auto"/>
            </w:tcBorders>
            <w:shd w:val="clear" w:color="auto" w:fill="auto"/>
            <w:noWrap/>
            <w:vAlign w:val="center"/>
          </w:tcPr>
          <w:p>
            <w:pPr>
              <w:widowControl/>
              <w:jc w:val="right"/>
              <w:rPr>
                <w:rFonts w:ascii="Times New Roman" w:cs="Times New Roman" w:hAnsi="Times New Roman"/>
                <w:color w:val="000000"/>
                <w:kern w:val="0"/>
                <w:sz w:val="24"/>
                <w:szCs w:val="24"/>
              </w:rPr>
            </w:pPr>
          </w:p>
        </w:tc>
      </w:tr>
      <w:tr>
        <w:trPr>
          <w:trHeight w:val="360"/>
        </w:trPr>
        <w:tc>
          <w:tcPr>
            <w:tcW w:w="4253" w:type="dxa"/>
            <w:shd w:val="clear" w:color="auto" w:fill="auto"/>
            <w:noWrap/>
            <w:vAlign w:val="center"/>
          </w:tcPr>
          <w:p>
            <w:pPr>
              <w:widowControl/>
              <w:jc w:val="center"/>
              <w:rPr>
                <w:rFonts w:ascii="Times New Roman" w:cs="宋体" w:hAnsi="Times New Roman"/>
                <w:color w:val="000000"/>
                <w:kern w:val="0"/>
                <w:sz w:val="24"/>
                <w:szCs w:val="24"/>
              </w:rPr>
            </w:pPr>
          </w:p>
          <w:p>
            <w:pPr>
              <w:widowControl/>
              <w:jc w:val="center"/>
              <w:rPr>
                <w:rFonts w:ascii="Times New Roman" w:cs="宋体" w:hAnsi="Times New Roman"/>
                <w:color w:val="000000"/>
                <w:kern w:val="0"/>
                <w:sz w:val="24"/>
                <w:szCs w:val="24"/>
              </w:rPr>
            </w:pPr>
          </w:p>
        </w:tc>
        <w:tc>
          <w:tcPr>
            <w:tcW w:w="2693" w:type="dxa"/>
            <w:shd w:val="clear" w:color="auto" w:fill="auto"/>
            <w:noWrap/>
            <w:vAlign w:val="center"/>
          </w:tcPr>
          <w:p>
            <w:pPr>
              <w:widowControl/>
              <w:jc w:val="right"/>
              <w:rPr>
                <w:rFonts w:ascii="Times New Roman" w:cs="Times New Roman" w:hAnsi="Times New Roman"/>
                <w:color w:val="000000"/>
                <w:kern w:val="0"/>
                <w:sz w:val="24"/>
                <w:szCs w:val="24"/>
              </w:rPr>
            </w:pPr>
          </w:p>
        </w:tc>
        <w:tc>
          <w:tcPr>
            <w:tcW w:w="4253" w:type="dxa"/>
            <w:shd w:val="clear" w:color="auto" w:fill="auto"/>
            <w:noWrap/>
            <w:vAlign w:val="center"/>
          </w:tcPr>
          <w:p>
            <w:pPr>
              <w:widowControl/>
              <w:jc w:val="center"/>
              <w:rPr>
                <w:rFonts w:ascii="Times New Roman" w:cs="宋体" w:hAnsi="Times New Roman"/>
                <w:color w:val="000000"/>
                <w:kern w:val="0"/>
                <w:sz w:val="24"/>
                <w:szCs w:val="24"/>
              </w:rPr>
            </w:pPr>
          </w:p>
        </w:tc>
        <w:tc>
          <w:tcPr>
            <w:tcW w:w="2693" w:type="dxa"/>
            <w:shd w:val="clear" w:color="auto" w:fill="auto"/>
            <w:noWrap/>
            <w:vAlign w:val="center"/>
          </w:tcPr>
          <w:p>
            <w:pPr>
              <w:widowControl/>
              <w:jc w:val="right"/>
              <w:rPr>
                <w:rFonts w:ascii="Times New Roman" w:cs="Times New Roman" w:hAnsi="Times New Roman"/>
                <w:color w:val="000000"/>
                <w:kern w:val="0"/>
                <w:sz w:val="24"/>
                <w:szCs w:val="24"/>
              </w:rPr>
            </w:pPr>
          </w:p>
        </w:tc>
      </w:tr>
      <w:tr>
        <w:trPr>
          <w:trHeight w:val="360"/>
        </w:trPr>
        <w:tc>
          <w:tcPr>
            <w:tcW w:w="4253" w:type="dxa"/>
            <w:shd w:val="clear" w:color="auto" w:fill="auto"/>
            <w:noWrap/>
            <w:vAlign w:val="center"/>
          </w:tcPr>
          <w:p>
            <w:pPr>
              <w:widowControl/>
              <w:jc w:val="center"/>
              <w:rPr>
                <w:rFonts w:ascii="Times New Roman" w:cs="宋体" w:hAnsi="Times New Roman"/>
                <w:color w:val="000000"/>
                <w:kern w:val="0"/>
                <w:sz w:val="24"/>
                <w:szCs w:val="24"/>
              </w:rPr>
            </w:pPr>
          </w:p>
          <w:p>
            <w:pPr>
              <w:widowControl/>
              <w:jc w:val="center"/>
              <w:rPr>
                <w:rFonts w:ascii="Times New Roman" w:cs="宋体" w:hAnsi="Times New Roman"/>
                <w:color w:val="000000"/>
                <w:kern w:val="0"/>
                <w:sz w:val="24"/>
                <w:szCs w:val="24"/>
              </w:rPr>
            </w:pPr>
          </w:p>
        </w:tc>
        <w:tc>
          <w:tcPr>
            <w:tcW w:w="2693" w:type="dxa"/>
            <w:shd w:val="clear" w:color="auto" w:fill="auto"/>
            <w:noWrap/>
            <w:vAlign w:val="center"/>
          </w:tcPr>
          <w:p>
            <w:pPr>
              <w:widowControl/>
              <w:jc w:val="right"/>
              <w:rPr>
                <w:rFonts w:ascii="Times New Roman" w:cs="Times New Roman" w:hAnsi="Times New Roman"/>
                <w:color w:val="000000"/>
                <w:kern w:val="0"/>
                <w:sz w:val="24"/>
                <w:szCs w:val="24"/>
              </w:rPr>
            </w:pPr>
          </w:p>
        </w:tc>
        <w:tc>
          <w:tcPr>
            <w:tcW w:w="4253" w:type="dxa"/>
            <w:shd w:val="clear" w:color="auto" w:fill="auto"/>
            <w:noWrap/>
            <w:vAlign w:val="center"/>
          </w:tcPr>
          <w:p>
            <w:pPr>
              <w:widowControl/>
              <w:jc w:val="center"/>
              <w:rPr>
                <w:rFonts w:ascii="Times New Roman" w:cs="宋体" w:hAnsi="Times New Roman"/>
                <w:color w:val="000000"/>
                <w:kern w:val="0"/>
                <w:sz w:val="24"/>
                <w:szCs w:val="24"/>
              </w:rPr>
            </w:pPr>
          </w:p>
        </w:tc>
        <w:tc>
          <w:tcPr>
            <w:tcW w:w="2693" w:type="dxa"/>
            <w:shd w:val="clear" w:color="auto" w:fill="auto"/>
            <w:noWrap/>
            <w:vAlign w:val="center"/>
          </w:tcPr>
          <w:p>
            <w:pPr>
              <w:widowControl/>
              <w:jc w:val="right"/>
              <w:rPr>
                <w:rFonts w:ascii="Times New Roman" w:cs="Times New Roman" w:hAnsi="Times New Roman"/>
                <w:color w:val="000000"/>
                <w:kern w:val="0"/>
                <w:sz w:val="24"/>
                <w:szCs w:val="24"/>
              </w:rPr>
            </w:pPr>
          </w:p>
        </w:tc>
      </w:tr>
    </w:tbl>
    <w:tbl>
      <w:tblPr>
        <w:tblpPr w:leftFromText="181" w:rightFromText="181" w:vertAnchor="page" w:horzAnchor="page" w:tblpX="698" w:tblpY="8713"/>
        <w:tblW w:w="16038"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962"/>
        <w:gridCol w:w="1873"/>
        <w:gridCol w:w="1526"/>
        <w:gridCol w:w="74"/>
        <w:gridCol w:w="1630"/>
        <w:gridCol w:w="1390"/>
        <w:gridCol w:w="1310"/>
        <w:gridCol w:w="1150"/>
        <w:gridCol w:w="1630"/>
        <w:gridCol w:w="1284"/>
        <w:gridCol w:w="964"/>
        <w:gridCol w:w="1216"/>
        <w:gridCol w:w="1029"/>
      </w:tblGrid>
      <w:tr>
        <w:trPr>
          <w:trHeight w:val="285"/>
        </w:trPr>
        <w:tc>
          <w:tcPr>
            <w:tcW w:w="16038" w:type="dxa"/>
            <w:gridSpan w:val="13"/>
            <w:tcBorders>
              <w:top w:val="nil"/>
              <w:left w:val="nil"/>
              <w:bottom w:val="nil"/>
              <w:right w:val="nil"/>
            </w:tcBorders>
            <w:shd w:val="clear" w:color="auto" w:fill="auto"/>
            <w:vAlign w:val="center"/>
          </w:tcPr>
          <w:p>
            <w:pPr>
              <w:widowControl/>
              <w:jc w:val="right"/>
              <w:rPr>
                <w:rFonts w:ascii="Times New Roman" w:cs="宋体" w:hAnsi="Times New Roman"/>
                <w:kern w:val="0"/>
                <w:sz w:val="36"/>
                <w:szCs w:val="36"/>
              </w:rPr>
            </w:pPr>
            <w:r>
              <w:rPr>
                <w:rFonts w:ascii="黑体" w:eastAsia="黑体" w:cs="黑体" w:hint="eastAsia"/>
                <w:kern w:val="0"/>
                <w:sz w:val="20"/>
                <w:szCs w:val="20"/>
              </w:rPr>
              <w:t>部门公开表5</w:t>
            </w:r>
          </w:p>
        </w:tc>
      </w:tr>
      <w:tr>
        <w:trPr>
          <w:trHeight w:val="285"/>
        </w:trPr>
        <w:tc>
          <w:tcPr>
            <w:tcW w:w="16038" w:type="dxa"/>
            <w:gridSpan w:val="13"/>
            <w:tcBorders>
              <w:top w:val="nil"/>
              <w:left w:val="nil"/>
              <w:bottom w:val="nil"/>
              <w:right w:val="nil"/>
            </w:tcBorders>
            <w:shd w:val="clear" w:color="auto" w:fill="auto"/>
            <w:vAlign w:val="center"/>
          </w:tcPr>
          <w:p>
            <w:pPr>
              <w:widowControl/>
              <w:jc w:val="center"/>
              <w:rPr>
                <w:rFonts w:ascii="Times New Roman" w:cs="宋体" w:hAnsi="Times New Roman"/>
                <w:kern w:val="0"/>
                <w:sz w:val="36"/>
                <w:szCs w:val="36"/>
              </w:rPr>
            </w:pPr>
            <w:r>
              <w:rPr>
                <w:rFonts w:ascii="Times New Roman" w:cs="宋体" w:hAnsi="Times New Roman" w:hint="eastAsia"/>
                <w:kern w:val="0"/>
                <w:sz w:val="36"/>
                <w:szCs w:val="36"/>
              </w:rPr>
              <w:t>一般公共预算支出表</w:t>
            </w:r>
          </w:p>
        </w:tc>
      </w:tr>
      <w:tr>
        <w:trPr>
          <w:trHeight w:val="255"/>
        </w:trPr>
        <w:tc>
          <w:tcPr>
            <w:tcW w:w="6065" w:type="dxa"/>
            <w:gridSpan w:val="5"/>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r>
              <w:rPr>
                <w:rFonts w:ascii="Times New Roman" w:cs="宋体" w:hAnsi="Times New Roman" w:hint="eastAsia"/>
                <w:color w:val="000000"/>
                <w:kern w:val="0"/>
                <w:sz w:val="18"/>
                <w:szCs w:val="18"/>
              </w:rPr>
              <w:t>单位名称：中华人民共和国呼和浩特海关</w:t>
            </w:r>
          </w:p>
        </w:tc>
        <w:tc>
          <w:tcPr>
            <w:tcW w:w="1390" w:type="dxa"/>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p>
        </w:tc>
        <w:tc>
          <w:tcPr>
            <w:tcW w:w="1310" w:type="dxa"/>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p>
        </w:tc>
        <w:tc>
          <w:tcPr>
            <w:tcW w:w="1150" w:type="dxa"/>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p>
        </w:tc>
        <w:tc>
          <w:tcPr>
            <w:tcW w:w="1630" w:type="dxa"/>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p>
        </w:tc>
        <w:tc>
          <w:tcPr>
            <w:tcW w:w="1284" w:type="dxa"/>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p>
        </w:tc>
        <w:tc>
          <w:tcPr>
            <w:tcW w:w="964" w:type="dxa"/>
            <w:tcBorders>
              <w:top w:val="nil"/>
              <w:left w:val="nil"/>
              <w:bottom w:val="nil"/>
              <w:right w:val="nil"/>
            </w:tcBorders>
            <w:shd w:val="clear" w:color="auto" w:fill="auto"/>
            <w:noWrap/>
            <w:vAlign w:val="center"/>
          </w:tcPr>
          <w:p>
            <w:pPr>
              <w:widowControl/>
              <w:jc w:val="left"/>
              <w:rPr>
                <w:rFonts w:ascii="Times New Roman" w:cs="宋体" w:hAnsi="Times New Roman"/>
                <w:kern w:val="0"/>
                <w:sz w:val="16"/>
                <w:szCs w:val="16"/>
              </w:rPr>
            </w:pPr>
          </w:p>
        </w:tc>
        <w:tc>
          <w:tcPr>
            <w:tcW w:w="1216" w:type="dxa"/>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16"/>
                <w:szCs w:val="16"/>
              </w:rPr>
            </w:pPr>
            <w:r>
              <w:rPr>
                <w:rFonts w:ascii="Times New Roman" w:cs="宋体" w:hAnsi="Times New Roman" w:hint="eastAsia"/>
                <w:kern w:val="0"/>
                <w:sz w:val="16"/>
                <w:szCs w:val="16"/>
              </w:rPr>
              <w:t>　</w:t>
            </w:r>
          </w:p>
        </w:tc>
        <w:tc>
          <w:tcPr>
            <w:tcW w:w="1029" w:type="dxa"/>
            <w:tcBorders>
              <w:top w:val="nil"/>
              <w:left w:val="nil"/>
              <w:bottom w:val="nil"/>
              <w:right w:val="nil"/>
            </w:tcBorders>
            <w:shd w:val="clear" w:color="auto" w:fill="auto"/>
            <w:noWrap/>
            <w:vAlign w:val="center"/>
          </w:tcPr>
          <w:p>
            <w:pPr>
              <w:widowControl/>
              <w:jc w:val="right"/>
              <w:rPr>
                <w:rFonts w:ascii="Times New Roman" w:cs="宋体" w:hAnsi="Times New Roman"/>
                <w:kern w:val="0"/>
                <w:sz w:val="16"/>
                <w:szCs w:val="16"/>
              </w:rPr>
            </w:pPr>
            <w:r>
              <w:rPr>
                <w:rFonts w:ascii="Times New Roman" w:cs="宋体" w:hAnsi="Times New Roman" w:hint="eastAsia"/>
                <w:kern w:val="0"/>
                <w:sz w:val="16"/>
                <w:szCs w:val="16"/>
              </w:rPr>
              <w:t>单位：万元</w:t>
            </w:r>
          </w:p>
        </w:tc>
      </w:tr>
      <w:tr>
        <w:trPr>
          <w:trHeight w:val="255"/>
        </w:trPr>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功能分类科目</w:t>
            </w:r>
          </w:p>
        </w:tc>
        <w:tc>
          <w:tcPr>
            <w:tcW w:w="3230" w:type="dxa"/>
            <w:gridSpan w:val="3"/>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2022年执行数</w:t>
            </w:r>
          </w:p>
        </w:tc>
        <w:tc>
          <w:tcPr>
            <w:tcW w:w="5480" w:type="dxa"/>
            <w:gridSpan w:val="4"/>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2023年预算数</w:t>
            </w:r>
          </w:p>
        </w:tc>
        <w:tc>
          <w:tcPr>
            <w:tcW w:w="2248" w:type="dxa"/>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2023年预算数比</w:t>
            </w:r>
          </w:p>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2022年执行数</w:t>
            </w:r>
          </w:p>
        </w:tc>
        <w:tc>
          <w:tcPr>
            <w:tcW w:w="2245" w:type="dxa"/>
            <w:gridSpan w:val="2"/>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2023年预算数比</w:t>
            </w:r>
          </w:p>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2022年执行数</w:t>
            </w:r>
          </w:p>
          <w:p>
            <w:pPr>
              <w:widowControl/>
              <w:jc w:val="center"/>
              <w:rPr>
                <w:rFonts w:ascii="Times New Roman" w:cs="宋体" w:hAnsi="Times New Roman"/>
                <w:kern w:val="0"/>
                <w:sz w:val="16"/>
                <w:szCs w:val="16"/>
              </w:rPr>
            </w:pPr>
            <w:r>
              <w:rPr>
                <w:rFonts w:ascii="Times New Roman" w:cs="宋体" w:hAnsi="Times New Roman" w:hint="eastAsia"/>
                <w:kern w:val="0"/>
                <w:sz w:val="16"/>
                <w:szCs w:val="16"/>
              </w:rPr>
              <w:t>（扣除中央基建投资）</w:t>
            </w:r>
          </w:p>
        </w:tc>
      </w:tr>
      <w:tr>
        <w:trPr>
          <w:trHeight w:val="255"/>
        </w:trPr>
        <w:tc>
          <w:tcPr>
            <w:tcW w:w="962"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科目编码</w:t>
            </w:r>
          </w:p>
        </w:tc>
        <w:tc>
          <w:tcPr>
            <w:tcW w:w="1873"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科目名称</w:t>
            </w:r>
          </w:p>
        </w:tc>
        <w:tc>
          <w:tcPr>
            <w:tcW w:w="1600" w:type="dxa"/>
            <w:gridSpan w:val="2"/>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执行数</w:t>
            </w:r>
          </w:p>
        </w:tc>
        <w:tc>
          <w:tcPr>
            <w:tcW w:w="1630"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扣除中央基建投资后执行数</w:t>
            </w:r>
          </w:p>
        </w:tc>
        <w:tc>
          <w:tcPr>
            <w:tcW w:w="3850" w:type="dxa"/>
            <w:gridSpan w:val="3"/>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年初预算数</w:t>
            </w:r>
          </w:p>
        </w:tc>
        <w:tc>
          <w:tcPr>
            <w:tcW w:w="1630"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扣除中央基建投资后预算数</w:t>
            </w:r>
          </w:p>
        </w:tc>
        <w:tc>
          <w:tcPr>
            <w:tcW w:w="1284"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增减额</w:t>
            </w:r>
          </w:p>
        </w:tc>
        <w:tc>
          <w:tcPr>
            <w:tcW w:w="964"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增减(%)</w:t>
            </w:r>
          </w:p>
        </w:tc>
        <w:tc>
          <w:tcPr>
            <w:tcW w:w="1216"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增减额</w:t>
            </w:r>
          </w:p>
        </w:tc>
        <w:tc>
          <w:tcPr>
            <w:tcW w:w="1029"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增减（%)</w:t>
            </w:r>
          </w:p>
        </w:tc>
      </w:tr>
      <w:tr>
        <w:trPr>
          <w:trHeight w:val="255"/>
        </w:trPr>
        <w:tc>
          <w:tcPr>
            <w:tcW w:w="962" w:type="dxa"/>
            <w:vMerge/>
            <w:tcBorders>
              <w:top w:val="nil"/>
              <w:left w:val="single" w:sz="4" w:space="0" w:color="auto"/>
              <w:bottom w:val="single" w:sz="4" w:space="0" w:color="000000"/>
              <w:right w:val="single" w:sz="4" w:space="0" w:color="auto"/>
            </w:tcBorders>
            <w:vAlign w:val="center"/>
          </w:tcPr>
          <w:p/>
        </w:tc>
        <w:tc>
          <w:tcPr>
            <w:tcW w:w="1873" w:type="dxa"/>
            <w:vMerge/>
            <w:tcBorders>
              <w:top w:val="nil"/>
              <w:left w:val="single" w:sz="4" w:space="0" w:color="auto"/>
              <w:bottom w:val="single" w:sz="4" w:space="0" w:color="000000"/>
              <w:right w:val="single" w:sz="4" w:space="0" w:color="auto"/>
            </w:tcBorders>
            <w:vAlign w:val="center"/>
          </w:tcPr>
          <w:p/>
        </w:tc>
        <w:tc>
          <w:tcPr>
            <w:tcW w:w="1600" w:type="dxa"/>
            <w:gridSpan w:val="2"/>
            <w:vMerge/>
            <w:tcBorders>
              <w:top w:val="nil"/>
              <w:left w:val="single" w:sz="4" w:space="0" w:color="auto"/>
              <w:bottom w:val="single" w:sz="4" w:space="0" w:color="000000"/>
              <w:right w:val="single" w:sz="4" w:space="0" w:color="auto"/>
            </w:tcBorders>
            <w:vAlign w:val="center"/>
          </w:tcPr>
          <w:p/>
        </w:tc>
        <w:tc>
          <w:tcPr>
            <w:tcW w:w="1630" w:type="dxa"/>
            <w:vMerge/>
            <w:tcBorders>
              <w:top w:val="nil"/>
              <w:left w:val="single" w:sz="4" w:space="0" w:color="auto"/>
              <w:bottom w:val="single" w:sz="4" w:space="0" w:color="000000"/>
              <w:right w:val="single" w:sz="4" w:space="0" w:color="auto"/>
            </w:tcBorders>
            <w:vAlign w:val="center"/>
          </w:tcPr>
          <w:p/>
        </w:tc>
        <w:tc>
          <w:tcPr>
            <w:tcW w:w="1390"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小计</w:t>
            </w:r>
          </w:p>
        </w:tc>
        <w:tc>
          <w:tcPr>
            <w:tcW w:w="1310"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基本支出</w:t>
            </w:r>
          </w:p>
        </w:tc>
        <w:tc>
          <w:tcPr>
            <w:tcW w:w="1150"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项目支出</w:t>
            </w:r>
          </w:p>
        </w:tc>
        <w:tc>
          <w:tcPr>
            <w:tcW w:w="1630" w:type="dxa"/>
            <w:vMerge/>
            <w:tcBorders>
              <w:top w:val="nil"/>
              <w:left w:val="single" w:sz="4" w:space="0" w:color="auto"/>
              <w:bottom w:val="single" w:sz="4" w:space="0" w:color="000000"/>
              <w:right w:val="single" w:sz="4" w:space="0" w:color="auto"/>
            </w:tcBorders>
            <w:vAlign w:val="center"/>
          </w:tcPr>
          <w:p/>
        </w:tc>
        <w:tc>
          <w:tcPr>
            <w:tcW w:w="1284" w:type="dxa"/>
            <w:vMerge/>
            <w:tcBorders>
              <w:top w:val="nil"/>
              <w:left w:val="single" w:sz="4" w:space="0" w:color="auto"/>
              <w:bottom w:val="single" w:sz="4" w:space="0" w:color="000000"/>
              <w:right w:val="single" w:sz="4" w:space="0" w:color="auto"/>
            </w:tcBorders>
            <w:vAlign w:val="center"/>
          </w:tcPr>
          <w:p/>
        </w:tc>
        <w:tc>
          <w:tcPr>
            <w:tcW w:w="964" w:type="dxa"/>
            <w:vMerge/>
            <w:tcBorders>
              <w:top w:val="nil"/>
              <w:left w:val="single" w:sz="4" w:space="0" w:color="auto"/>
              <w:bottom w:val="single" w:sz="4" w:space="0" w:color="000000"/>
              <w:right w:val="single" w:sz="4" w:space="0" w:color="auto"/>
            </w:tcBorders>
            <w:vAlign w:val="center"/>
          </w:tcPr>
          <w:p/>
        </w:tc>
        <w:tc>
          <w:tcPr>
            <w:tcW w:w="1216" w:type="dxa"/>
            <w:vMerge/>
            <w:tcBorders>
              <w:top w:val="nil"/>
              <w:left w:val="single" w:sz="4" w:space="0" w:color="auto"/>
              <w:bottom w:val="single" w:sz="4" w:space="0" w:color="000000"/>
              <w:right w:val="single" w:sz="4" w:space="0" w:color="auto"/>
            </w:tcBorders>
            <w:vAlign w:val="center"/>
          </w:tcPr>
          <w:p/>
        </w:tc>
        <w:tc>
          <w:tcPr>
            <w:tcW w:w="1029" w:type="dxa"/>
            <w:vMerge/>
            <w:tcBorders>
              <w:top w:val="nil"/>
              <w:left w:val="single" w:sz="4" w:space="0" w:color="auto"/>
              <w:bottom w:val="single" w:sz="4" w:space="0" w:color="000000"/>
              <w:right w:val="single" w:sz="4" w:space="0" w:color="auto"/>
            </w:tcBorders>
            <w:vAlign w:val="center"/>
          </w:tcP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201</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 xml:space="preserve">  一般公共服务支出</w:t>
            </w:r>
          </w:p>
        </w:tc>
        <w:tc>
          <w:tcPr>
            <w:tcW w:w="1600"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27,271.48</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27,271.48</w:t>
            </w:r>
          </w:p>
        </w:tc>
        <w:tc>
          <w:tcPr>
            <w:tcW w:w="139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24,510.60</w:t>
            </w: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18,972.14</w:t>
            </w: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5,538.46</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24,510.60</w:t>
            </w:r>
          </w:p>
        </w:tc>
        <w:tc>
          <w:tcPr>
            <w:tcW w:w="128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-2,760.88</w:t>
            </w:r>
          </w:p>
        </w:tc>
        <w:tc>
          <w:tcPr>
            <w:tcW w:w="96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-10.12%</w:t>
            </w:r>
          </w:p>
        </w:tc>
        <w:tc>
          <w:tcPr>
            <w:tcW w:w="1216"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-2,760.88</w:t>
            </w:r>
          </w:p>
        </w:tc>
        <w:tc>
          <w:tcPr>
            <w:tcW w:w="1029"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-10.12%</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20109</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 xml:space="preserve">    海关事务</w:t>
            </w:r>
          </w:p>
        </w:tc>
        <w:tc>
          <w:tcPr>
            <w:tcW w:w="1600"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27,271.48</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27,271.48</w:t>
            </w:r>
          </w:p>
        </w:tc>
        <w:tc>
          <w:tcPr>
            <w:tcW w:w="139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24,510.60</w:t>
            </w: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18,972.14</w:t>
            </w: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5,538.46</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24,510.60</w:t>
            </w:r>
          </w:p>
        </w:tc>
        <w:tc>
          <w:tcPr>
            <w:tcW w:w="128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-2,760.88</w:t>
            </w:r>
          </w:p>
        </w:tc>
        <w:tc>
          <w:tcPr>
            <w:tcW w:w="96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-10.12%</w:t>
            </w:r>
          </w:p>
        </w:tc>
        <w:tc>
          <w:tcPr>
            <w:tcW w:w="1216"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-2,760.88</w:t>
            </w:r>
          </w:p>
        </w:tc>
        <w:tc>
          <w:tcPr>
            <w:tcW w:w="1029"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-10.12%</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2010901</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行政运行</w:t>
            </w:r>
          </w:p>
        </w:tc>
        <w:tc>
          <w:tcPr>
            <w:tcW w:w="1600"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19,884.21</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19,884.21</w:t>
            </w:r>
          </w:p>
        </w:tc>
        <w:tc>
          <w:tcPr>
            <w:tcW w:w="139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17,965.54</w:t>
            </w: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17,965.54</w:t>
            </w: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　</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17,965.54</w:t>
            </w:r>
          </w:p>
        </w:tc>
        <w:tc>
          <w:tcPr>
            <w:tcW w:w="128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-1,918.67</w:t>
            </w:r>
          </w:p>
        </w:tc>
        <w:tc>
          <w:tcPr>
            <w:tcW w:w="96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-9.65%</w:t>
            </w:r>
          </w:p>
        </w:tc>
        <w:tc>
          <w:tcPr>
            <w:tcW w:w="1216"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-1,918.67</w:t>
            </w:r>
          </w:p>
        </w:tc>
        <w:tc>
          <w:tcPr>
            <w:tcW w:w="1029"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-9.65%</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2010902</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一般行政管理事务</w:t>
            </w:r>
          </w:p>
        </w:tc>
        <w:tc>
          <w:tcPr>
            <w:tcW w:w="1600"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140.00</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140.00</w:t>
            </w:r>
          </w:p>
        </w:tc>
        <w:tc>
          <w:tcPr>
            <w:tcW w:w="139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5.00</w:t>
            </w: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　</w:t>
            </w: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5.00</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5.00</w:t>
            </w:r>
          </w:p>
        </w:tc>
        <w:tc>
          <w:tcPr>
            <w:tcW w:w="128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-135</w:t>
            </w:r>
          </w:p>
        </w:tc>
        <w:tc>
          <w:tcPr>
            <w:tcW w:w="96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-96.43%</w:t>
            </w:r>
          </w:p>
        </w:tc>
        <w:tc>
          <w:tcPr>
            <w:tcW w:w="1216"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-135</w:t>
            </w:r>
          </w:p>
        </w:tc>
        <w:tc>
          <w:tcPr>
            <w:tcW w:w="1029"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-96.43%</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2010903</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机关服务</w:t>
            </w:r>
          </w:p>
        </w:tc>
        <w:tc>
          <w:tcPr>
            <w:tcW w:w="1600"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401.94</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401.94</w:t>
            </w:r>
          </w:p>
        </w:tc>
        <w:tc>
          <w:tcPr>
            <w:tcW w:w="139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401.00</w:t>
            </w: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401.00</w:t>
            </w: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　</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401.00</w:t>
            </w:r>
          </w:p>
        </w:tc>
        <w:tc>
          <w:tcPr>
            <w:tcW w:w="128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-0.94</w:t>
            </w:r>
          </w:p>
        </w:tc>
        <w:tc>
          <w:tcPr>
            <w:tcW w:w="96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-0.23%</w:t>
            </w:r>
          </w:p>
        </w:tc>
        <w:tc>
          <w:tcPr>
            <w:tcW w:w="1216"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-0.94</w:t>
            </w:r>
          </w:p>
        </w:tc>
        <w:tc>
          <w:tcPr>
            <w:tcW w:w="1029"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-0.23%</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2010905</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缉私办案</w:t>
            </w:r>
          </w:p>
        </w:tc>
        <w:tc>
          <w:tcPr>
            <w:tcW w:w="1600"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35.00</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35.00</w:t>
            </w:r>
          </w:p>
        </w:tc>
        <w:tc>
          <w:tcPr>
            <w:tcW w:w="139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93.00</w:t>
            </w: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　</w:t>
            </w: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93.00</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93.00</w:t>
            </w:r>
          </w:p>
        </w:tc>
        <w:tc>
          <w:tcPr>
            <w:tcW w:w="128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58</w:t>
            </w:r>
          </w:p>
        </w:tc>
        <w:tc>
          <w:tcPr>
            <w:tcW w:w="96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165.71%</w:t>
            </w:r>
          </w:p>
        </w:tc>
        <w:tc>
          <w:tcPr>
            <w:tcW w:w="1216"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58</w:t>
            </w:r>
          </w:p>
        </w:tc>
        <w:tc>
          <w:tcPr>
            <w:tcW w:w="1029"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165.71%</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2010907</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口岸管理</w:t>
            </w:r>
          </w:p>
        </w:tc>
        <w:tc>
          <w:tcPr>
            <w:tcW w:w="1600"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46.20</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46.20</w:t>
            </w:r>
          </w:p>
        </w:tc>
        <w:tc>
          <w:tcPr>
            <w:tcW w:w="139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39.20</w:t>
            </w: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　</w:t>
            </w: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39.20</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39.20</w:t>
            </w:r>
          </w:p>
        </w:tc>
        <w:tc>
          <w:tcPr>
            <w:tcW w:w="128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-7</w:t>
            </w:r>
          </w:p>
        </w:tc>
        <w:tc>
          <w:tcPr>
            <w:tcW w:w="96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-15.15%</w:t>
            </w:r>
          </w:p>
        </w:tc>
        <w:tc>
          <w:tcPr>
            <w:tcW w:w="1216"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-7</w:t>
            </w:r>
          </w:p>
        </w:tc>
        <w:tc>
          <w:tcPr>
            <w:tcW w:w="1029"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-15.15%</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2010908</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信息化建设</w:t>
            </w:r>
          </w:p>
        </w:tc>
        <w:tc>
          <w:tcPr>
            <w:tcW w:w="1600"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329.00</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329.00</w:t>
            </w:r>
          </w:p>
        </w:tc>
        <w:tc>
          <w:tcPr>
            <w:tcW w:w="139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414.00</w:t>
            </w: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　</w:t>
            </w: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414.00</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414.00</w:t>
            </w:r>
          </w:p>
        </w:tc>
        <w:tc>
          <w:tcPr>
            <w:tcW w:w="128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85</w:t>
            </w:r>
          </w:p>
        </w:tc>
        <w:tc>
          <w:tcPr>
            <w:tcW w:w="96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25.84%</w:t>
            </w:r>
          </w:p>
        </w:tc>
        <w:tc>
          <w:tcPr>
            <w:tcW w:w="1216"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85</w:t>
            </w:r>
          </w:p>
        </w:tc>
        <w:tc>
          <w:tcPr>
            <w:tcW w:w="1029"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25.84%</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2010909</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海关关务</w:t>
            </w:r>
          </w:p>
        </w:tc>
        <w:tc>
          <w:tcPr>
            <w:tcW w:w="1600"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3,220.70</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3,220.70</w:t>
            </w:r>
          </w:p>
        </w:tc>
        <w:tc>
          <w:tcPr>
            <w:tcW w:w="139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4,269.00</w:t>
            </w: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　</w:t>
            </w: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4,269.00</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4,269.00</w:t>
            </w:r>
          </w:p>
        </w:tc>
        <w:tc>
          <w:tcPr>
            <w:tcW w:w="128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1,048.30</w:t>
            </w:r>
          </w:p>
        </w:tc>
        <w:tc>
          <w:tcPr>
            <w:tcW w:w="96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32.55%</w:t>
            </w:r>
          </w:p>
        </w:tc>
        <w:tc>
          <w:tcPr>
            <w:tcW w:w="1216"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1,048.30</w:t>
            </w:r>
          </w:p>
        </w:tc>
        <w:tc>
          <w:tcPr>
            <w:tcW w:w="1029"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32.55%</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2010911</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海关监管</w:t>
            </w:r>
          </w:p>
        </w:tc>
        <w:tc>
          <w:tcPr>
            <w:tcW w:w="1600"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343.81</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343.81</w:t>
            </w:r>
          </w:p>
        </w:tc>
        <w:tc>
          <w:tcPr>
            <w:tcW w:w="139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315.43</w:t>
            </w: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　</w:t>
            </w: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315.43</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315.43</w:t>
            </w:r>
          </w:p>
        </w:tc>
        <w:tc>
          <w:tcPr>
            <w:tcW w:w="128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-28.38</w:t>
            </w:r>
          </w:p>
        </w:tc>
        <w:tc>
          <w:tcPr>
            <w:tcW w:w="96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-8.25%</w:t>
            </w:r>
          </w:p>
        </w:tc>
        <w:tc>
          <w:tcPr>
            <w:tcW w:w="1216"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-28.38</w:t>
            </w:r>
          </w:p>
        </w:tc>
        <w:tc>
          <w:tcPr>
            <w:tcW w:w="1029"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-8.25%</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2010912</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检验检疫</w:t>
            </w:r>
          </w:p>
        </w:tc>
        <w:tc>
          <w:tcPr>
            <w:tcW w:w="1600"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2,226.39</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2,226.39</w:t>
            </w:r>
          </w:p>
        </w:tc>
        <w:tc>
          <w:tcPr>
            <w:tcW w:w="139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402.83</w:t>
            </w: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　</w:t>
            </w: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402.83</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402.83</w:t>
            </w:r>
          </w:p>
        </w:tc>
        <w:tc>
          <w:tcPr>
            <w:tcW w:w="128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-1823.56</w:t>
            </w:r>
          </w:p>
        </w:tc>
        <w:tc>
          <w:tcPr>
            <w:tcW w:w="96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-81.91%</w:t>
            </w:r>
          </w:p>
        </w:tc>
        <w:tc>
          <w:tcPr>
            <w:tcW w:w="1216"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-1823.56</w:t>
            </w:r>
          </w:p>
        </w:tc>
        <w:tc>
          <w:tcPr>
            <w:tcW w:w="1029"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-81.91%</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2010950</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事业运行</w:t>
            </w:r>
          </w:p>
        </w:tc>
        <w:tc>
          <w:tcPr>
            <w:tcW w:w="1600"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644.22</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644.22</w:t>
            </w:r>
          </w:p>
        </w:tc>
        <w:tc>
          <w:tcPr>
            <w:tcW w:w="139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605.60</w:t>
            </w: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605.60</w:t>
            </w: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　</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605.60</w:t>
            </w:r>
          </w:p>
        </w:tc>
        <w:tc>
          <w:tcPr>
            <w:tcW w:w="128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-38.62</w:t>
            </w:r>
          </w:p>
        </w:tc>
        <w:tc>
          <w:tcPr>
            <w:tcW w:w="96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-5.99%</w:t>
            </w:r>
          </w:p>
        </w:tc>
        <w:tc>
          <w:tcPr>
            <w:tcW w:w="1216"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-38.62</w:t>
            </w:r>
          </w:p>
        </w:tc>
        <w:tc>
          <w:tcPr>
            <w:tcW w:w="1029"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-5.99%</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204</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 xml:space="preserve">  公共安全支出</w:t>
            </w:r>
          </w:p>
        </w:tc>
        <w:tc>
          <w:tcPr>
            <w:tcW w:w="1600"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2,243.43</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2,243.43</w:t>
            </w:r>
          </w:p>
        </w:tc>
        <w:tc>
          <w:tcPr>
            <w:tcW w:w="139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2,228.27</w:t>
            </w: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1,771.28</w:t>
            </w: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456.99</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2,228.27</w:t>
            </w:r>
          </w:p>
        </w:tc>
        <w:tc>
          <w:tcPr>
            <w:tcW w:w="128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-15.16</w:t>
            </w:r>
          </w:p>
        </w:tc>
        <w:tc>
          <w:tcPr>
            <w:tcW w:w="96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-0.68%</w:t>
            </w:r>
          </w:p>
        </w:tc>
        <w:tc>
          <w:tcPr>
            <w:tcW w:w="1216"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-15.16</w:t>
            </w:r>
          </w:p>
        </w:tc>
        <w:tc>
          <w:tcPr>
            <w:tcW w:w="1029"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-0.68%</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20410</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 xml:space="preserve">    缉私警察</w:t>
            </w:r>
          </w:p>
        </w:tc>
        <w:tc>
          <w:tcPr>
            <w:tcW w:w="1600"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2,243.43</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2,243.43</w:t>
            </w:r>
          </w:p>
        </w:tc>
        <w:tc>
          <w:tcPr>
            <w:tcW w:w="139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2,228.27</w:t>
            </w: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1,771.28</w:t>
            </w: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456.99</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2,228.27</w:t>
            </w:r>
          </w:p>
        </w:tc>
        <w:tc>
          <w:tcPr>
            <w:tcW w:w="128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-15.16</w:t>
            </w:r>
          </w:p>
        </w:tc>
        <w:tc>
          <w:tcPr>
            <w:tcW w:w="96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-0.68%</w:t>
            </w:r>
          </w:p>
        </w:tc>
        <w:tc>
          <w:tcPr>
            <w:tcW w:w="1216"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-15.16</w:t>
            </w:r>
          </w:p>
        </w:tc>
        <w:tc>
          <w:tcPr>
            <w:tcW w:w="1029"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-0.68%</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2041001</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行政运行</w:t>
            </w:r>
          </w:p>
        </w:tc>
        <w:tc>
          <w:tcPr>
            <w:tcW w:w="1600"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1,855.42</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1,855.42</w:t>
            </w:r>
          </w:p>
        </w:tc>
        <w:tc>
          <w:tcPr>
            <w:tcW w:w="139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1,771.28</w:t>
            </w: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1,771.28</w:t>
            </w: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　</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1,771.28</w:t>
            </w:r>
          </w:p>
        </w:tc>
        <w:tc>
          <w:tcPr>
            <w:tcW w:w="128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-84.14</w:t>
            </w:r>
          </w:p>
        </w:tc>
        <w:tc>
          <w:tcPr>
            <w:tcW w:w="96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-4.53%</w:t>
            </w:r>
          </w:p>
        </w:tc>
        <w:tc>
          <w:tcPr>
            <w:tcW w:w="1216"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-84.14</w:t>
            </w:r>
          </w:p>
        </w:tc>
        <w:tc>
          <w:tcPr>
            <w:tcW w:w="1029"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-4.53%</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2041006</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信息化建设</w:t>
            </w:r>
          </w:p>
        </w:tc>
        <w:tc>
          <w:tcPr>
            <w:tcW w:w="1600"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95.00</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95.00</w:t>
            </w:r>
          </w:p>
        </w:tc>
        <w:tc>
          <w:tcPr>
            <w:tcW w:w="139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100.00</w:t>
            </w: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　</w:t>
            </w: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100.00</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100.00</w:t>
            </w:r>
          </w:p>
        </w:tc>
        <w:tc>
          <w:tcPr>
            <w:tcW w:w="128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5</w:t>
            </w:r>
          </w:p>
        </w:tc>
        <w:tc>
          <w:tcPr>
            <w:tcW w:w="96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5.26%</w:t>
            </w:r>
          </w:p>
        </w:tc>
        <w:tc>
          <w:tcPr>
            <w:tcW w:w="1216"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5</w:t>
            </w:r>
          </w:p>
        </w:tc>
        <w:tc>
          <w:tcPr>
            <w:tcW w:w="1029"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5.26%</w:t>
            </w:r>
          </w:p>
        </w:tc>
      </w:tr>
      <w:tr>
        <w:trPr>
          <w:trHeight w:val="702"/>
        </w:trPr>
        <w:tc>
          <w:tcPr>
            <w:tcW w:w="2835" w:type="dxa"/>
            <w:gridSpan w:val="2"/>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功能分类科目</w:t>
            </w:r>
          </w:p>
        </w:tc>
        <w:tc>
          <w:tcPr>
            <w:tcW w:w="3230" w:type="dxa"/>
            <w:gridSpan w:val="3"/>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2022年执行数</w:t>
            </w:r>
          </w:p>
        </w:tc>
        <w:tc>
          <w:tcPr>
            <w:tcW w:w="5480" w:type="dxa"/>
            <w:gridSpan w:val="4"/>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2023年预算数</w:t>
            </w:r>
          </w:p>
        </w:tc>
        <w:tc>
          <w:tcPr>
            <w:tcW w:w="2248" w:type="dxa"/>
            <w:gridSpan w:val="2"/>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2023年预算数比</w:t>
            </w:r>
          </w:p>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2022年执行数</w:t>
            </w:r>
          </w:p>
        </w:tc>
        <w:tc>
          <w:tcPr>
            <w:tcW w:w="2245" w:type="dxa"/>
            <w:gridSpan w:val="2"/>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2023年预算数比</w:t>
            </w:r>
          </w:p>
          <w:p>
            <w:pPr>
              <w:widowControl/>
              <w:jc w:val="center"/>
              <w:rPr>
                <w:rFonts w:ascii="Times New Roman" w:cs="宋体" w:hAnsi="Times New Roman"/>
                <w:kern w:val="0"/>
                <w:sz w:val="16"/>
                <w:szCs w:val="16"/>
              </w:rPr>
            </w:pPr>
            <w:r>
              <w:rPr>
                <w:rFonts w:ascii="Times New Roman" w:cs="宋体" w:hAnsi="Times New Roman" w:hint="eastAsia"/>
                <w:kern w:val="0"/>
                <w:sz w:val="16"/>
                <w:szCs w:val="16"/>
              </w:rPr>
              <w:t>2022年执行数</w:t>
            </w:r>
          </w:p>
          <w:p>
            <w:pPr>
              <w:widowControl/>
              <w:jc w:val="center"/>
              <w:rPr>
                <w:rFonts w:ascii="Times New Roman" w:cs="宋体" w:hAnsi="Times New Roman"/>
                <w:kern w:val="0"/>
                <w:sz w:val="16"/>
                <w:szCs w:val="16"/>
              </w:rPr>
            </w:pPr>
            <w:r>
              <w:rPr>
                <w:rFonts w:ascii="Times New Roman" w:cs="宋体" w:hAnsi="Times New Roman" w:hint="eastAsia"/>
                <w:kern w:val="0"/>
                <w:sz w:val="16"/>
                <w:szCs w:val="16"/>
              </w:rPr>
              <w:t>（扣除中央基建投资）</w:t>
            </w:r>
          </w:p>
        </w:tc>
      </w:tr>
      <w:tr>
        <w:trPr>
          <w:trHeight w:val="255"/>
        </w:trPr>
        <w:tc>
          <w:tcPr>
            <w:tcW w:w="962" w:type="dxa"/>
            <w:vMerge w:val="restart"/>
            <w:tcBorders>
              <w:top w:val="nil"/>
              <w:left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科目编码</w:t>
            </w:r>
          </w:p>
        </w:tc>
        <w:tc>
          <w:tcPr>
            <w:tcW w:w="1873" w:type="dxa"/>
            <w:vMerge w:val="restart"/>
            <w:tcBorders>
              <w:top w:val="nil"/>
              <w:left w:val="nil"/>
              <w:right w:val="single" w:sz="4" w:space="0" w:color="auto"/>
            </w:tcBorders>
            <w:shd w:val="clear" w:color="auto" w:fill="auto"/>
            <w:noWrap/>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科目名称</w:t>
            </w:r>
          </w:p>
        </w:tc>
        <w:tc>
          <w:tcPr>
            <w:tcW w:w="1526" w:type="dxa"/>
            <w:vMerge w:val="restart"/>
            <w:tcBorders>
              <w:top w:val="nil"/>
              <w:left w:val="nil"/>
              <w:right w:val="single" w:sz="4" w:space="0" w:color="auto"/>
            </w:tcBorders>
            <w:shd w:val="clear" w:color="auto" w:fill="auto"/>
            <w:noWrap/>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执行数</w:t>
            </w:r>
          </w:p>
        </w:tc>
        <w:tc>
          <w:tcPr>
            <w:tcW w:w="1704" w:type="dxa"/>
            <w:gridSpan w:val="2"/>
            <w:vMerge w:val="restart"/>
            <w:tcBorders>
              <w:top w:val="nil"/>
              <w:left w:val="nil"/>
              <w:right w:val="single" w:sz="4" w:space="0" w:color="auto"/>
            </w:tcBorders>
            <w:shd w:val="clear" w:color="auto" w:fill="auto"/>
            <w:noWrap/>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扣除中央基建投资后执行数</w:t>
            </w:r>
          </w:p>
        </w:tc>
        <w:tc>
          <w:tcPr>
            <w:tcW w:w="3850" w:type="dxa"/>
            <w:gridSpan w:val="3"/>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年初预算数</w:t>
            </w:r>
          </w:p>
        </w:tc>
        <w:tc>
          <w:tcPr>
            <w:tcW w:w="1630" w:type="dxa"/>
            <w:vMerge w:val="restart"/>
            <w:tcBorders>
              <w:top w:val="nil"/>
              <w:left w:val="nil"/>
              <w:right w:val="single" w:sz="4" w:space="0" w:color="auto"/>
            </w:tcBorders>
            <w:shd w:val="clear" w:color="auto" w:fill="auto"/>
            <w:noWrap/>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扣除中央基建投资后预算数</w:t>
            </w:r>
          </w:p>
        </w:tc>
        <w:tc>
          <w:tcPr>
            <w:tcW w:w="1284" w:type="dxa"/>
            <w:vMerge w:val="restart"/>
            <w:tcBorders>
              <w:top w:val="nil"/>
              <w:left w:val="nil"/>
              <w:right w:val="single" w:sz="4" w:space="0" w:color="auto"/>
            </w:tcBorders>
            <w:shd w:val="clear" w:color="auto" w:fill="auto"/>
            <w:noWrap/>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增减额</w:t>
            </w:r>
          </w:p>
        </w:tc>
        <w:tc>
          <w:tcPr>
            <w:tcW w:w="964" w:type="dxa"/>
            <w:vMerge w:val="restart"/>
            <w:tcBorders>
              <w:top w:val="nil"/>
              <w:left w:val="nil"/>
              <w:right w:val="single" w:sz="4" w:space="0" w:color="auto"/>
            </w:tcBorders>
            <w:shd w:val="clear" w:color="auto" w:fill="auto"/>
            <w:noWrap/>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增减(%)</w:t>
            </w:r>
          </w:p>
        </w:tc>
        <w:tc>
          <w:tcPr>
            <w:tcW w:w="1216" w:type="dxa"/>
            <w:vMerge w:val="restart"/>
            <w:tcBorders>
              <w:top w:val="nil"/>
              <w:left w:val="nil"/>
              <w:right w:val="single" w:sz="4" w:space="0" w:color="auto"/>
            </w:tcBorders>
            <w:shd w:val="clear" w:color="auto" w:fill="auto"/>
            <w:noWrap/>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增减额</w:t>
            </w:r>
          </w:p>
        </w:tc>
        <w:tc>
          <w:tcPr>
            <w:tcW w:w="1029" w:type="dxa"/>
            <w:vMerge w:val="restart"/>
            <w:tcBorders>
              <w:top w:val="nil"/>
              <w:left w:val="nil"/>
              <w:right w:val="single" w:sz="4" w:space="0" w:color="auto"/>
            </w:tcBorders>
            <w:shd w:val="clear" w:color="auto" w:fill="auto"/>
            <w:noWrap/>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增减（%)</w:t>
            </w:r>
          </w:p>
        </w:tc>
      </w:tr>
      <w:tr>
        <w:trPr>
          <w:trHeight w:val="255"/>
        </w:trPr>
        <w:tc>
          <w:tcPr>
            <w:tcW w:w="962" w:type="dxa"/>
            <w:vMerge/>
            <w:tcBorders>
              <w:left w:val="single" w:sz="4" w:space="0" w:color="auto"/>
              <w:bottom w:val="single" w:sz="4" w:space="0" w:color="auto"/>
              <w:right w:val="single" w:sz="4" w:space="0" w:color="auto"/>
            </w:tcBorders>
            <w:shd w:val="clear" w:color="auto" w:fill="auto"/>
            <w:noWrap/>
            <w:vAlign w:val="center"/>
          </w:tcPr>
          <w:p/>
        </w:tc>
        <w:tc>
          <w:tcPr>
            <w:tcW w:w="1873" w:type="dxa"/>
            <w:vMerge/>
            <w:tcBorders>
              <w:left w:val="nil"/>
              <w:bottom w:val="single" w:sz="4" w:space="0" w:color="auto"/>
              <w:right w:val="single" w:sz="4" w:space="0" w:color="auto"/>
            </w:tcBorders>
            <w:shd w:val="clear" w:color="auto" w:fill="auto"/>
            <w:noWrap/>
            <w:vAlign w:val="center"/>
          </w:tcPr>
          <w:p/>
        </w:tc>
        <w:tc>
          <w:tcPr>
            <w:tcW w:w="1526" w:type="dxa"/>
            <w:vMerge/>
            <w:tcBorders>
              <w:left w:val="nil"/>
              <w:bottom w:val="single" w:sz="4" w:space="0" w:color="auto"/>
              <w:right w:val="single" w:sz="4" w:space="0" w:color="auto"/>
            </w:tcBorders>
            <w:shd w:val="clear" w:color="auto" w:fill="auto"/>
            <w:noWrap/>
            <w:vAlign w:val="center"/>
          </w:tcPr>
          <w:p/>
        </w:tc>
        <w:tc>
          <w:tcPr>
            <w:tcW w:w="1704" w:type="dxa"/>
            <w:gridSpan w:val="2"/>
            <w:vMerge/>
            <w:tcBorders>
              <w:left w:val="nil"/>
              <w:bottom w:val="single" w:sz="4" w:space="0" w:color="auto"/>
              <w:right w:val="single" w:sz="4" w:space="0" w:color="auto"/>
            </w:tcBorders>
            <w:shd w:val="clear" w:color="auto" w:fill="auto"/>
            <w:noWrap/>
            <w:vAlign w:val="center"/>
          </w:tcPr>
          <w:p/>
        </w:tc>
        <w:tc>
          <w:tcPr>
            <w:tcW w:w="139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小计</w:t>
            </w:r>
          </w:p>
        </w:tc>
        <w:tc>
          <w:tcPr>
            <w:tcW w:w="13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基本支出</w:t>
            </w:r>
          </w:p>
        </w:tc>
        <w:tc>
          <w:tcPr>
            <w:tcW w:w="115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16"/>
                <w:szCs w:val="16"/>
              </w:rPr>
            </w:pPr>
            <w:r>
              <w:rPr>
                <w:rFonts w:ascii="Times New Roman" w:cs="宋体" w:hAnsi="Times New Roman" w:hint="eastAsia"/>
                <w:kern w:val="0"/>
                <w:sz w:val="16"/>
                <w:szCs w:val="16"/>
              </w:rPr>
              <w:t>项目支出</w:t>
            </w:r>
          </w:p>
        </w:tc>
        <w:tc>
          <w:tcPr>
            <w:tcW w:w="1630" w:type="dxa"/>
            <w:vMerge/>
            <w:tcBorders>
              <w:left w:val="nil"/>
              <w:bottom w:val="single" w:sz="4" w:space="0" w:color="auto"/>
              <w:right w:val="single" w:sz="4" w:space="0" w:color="auto"/>
            </w:tcBorders>
            <w:shd w:val="clear" w:color="auto" w:fill="auto"/>
            <w:noWrap/>
            <w:vAlign w:val="center"/>
          </w:tcPr>
          <w:p/>
        </w:tc>
        <w:tc>
          <w:tcPr>
            <w:tcW w:w="1284" w:type="dxa"/>
            <w:vMerge/>
            <w:tcBorders>
              <w:left w:val="nil"/>
              <w:bottom w:val="single" w:sz="4" w:space="0" w:color="auto"/>
              <w:right w:val="single" w:sz="4" w:space="0" w:color="auto"/>
            </w:tcBorders>
            <w:shd w:val="clear" w:color="auto" w:fill="auto"/>
            <w:noWrap/>
            <w:vAlign w:val="center"/>
          </w:tcPr>
          <w:p/>
        </w:tc>
        <w:tc>
          <w:tcPr>
            <w:tcW w:w="964" w:type="dxa"/>
            <w:vMerge/>
            <w:tcBorders>
              <w:left w:val="nil"/>
              <w:bottom w:val="single" w:sz="4" w:space="0" w:color="auto"/>
              <w:right w:val="single" w:sz="4" w:space="0" w:color="auto"/>
            </w:tcBorders>
            <w:shd w:val="clear" w:color="auto" w:fill="auto"/>
            <w:noWrap/>
            <w:vAlign w:val="center"/>
          </w:tcPr>
          <w:p/>
        </w:tc>
        <w:tc>
          <w:tcPr>
            <w:tcW w:w="1216" w:type="dxa"/>
            <w:vMerge/>
            <w:tcBorders>
              <w:left w:val="nil"/>
              <w:bottom w:val="single" w:sz="4" w:space="0" w:color="auto"/>
              <w:right w:val="single" w:sz="4" w:space="0" w:color="auto"/>
            </w:tcBorders>
            <w:shd w:val="clear" w:color="auto" w:fill="auto"/>
            <w:noWrap/>
            <w:vAlign w:val="center"/>
          </w:tcPr>
          <w:p/>
        </w:tc>
        <w:tc>
          <w:tcPr>
            <w:tcW w:w="1029" w:type="dxa"/>
            <w:vMerge/>
            <w:tcBorders>
              <w:left w:val="nil"/>
              <w:bottom w:val="single" w:sz="4" w:space="0" w:color="auto"/>
              <w:right w:val="single" w:sz="4" w:space="0" w:color="auto"/>
            </w:tcBorders>
            <w:shd w:val="clear" w:color="auto" w:fill="auto"/>
            <w:noWrap/>
            <w:vAlign w:val="center"/>
          </w:tcP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2041007</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缉私业务</w:t>
            </w:r>
          </w:p>
        </w:tc>
        <w:tc>
          <w:tcPr>
            <w:tcW w:w="15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293.01</w:t>
            </w:r>
          </w:p>
        </w:tc>
        <w:tc>
          <w:tcPr>
            <w:tcW w:w="1704"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293.01</w:t>
            </w:r>
          </w:p>
        </w:tc>
        <w:tc>
          <w:tcPr>
            <w:tcW w:w="139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356.99</w:t>
            </w: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356.99</w:t>
            </w: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356.99</w:t>
            </w:r>
          </w:p>
        </w:tc>
        <w:tc>
          <w:tcPr>
            <w:tcW w:w="128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63.98</w:t>
            </w:r>
          </w:p>
        </w:tc>
        <w:tc>
          <w:tcPr>
            <w:tcW w:w="96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21.84%</w:t>
            </w:r>
          </w:p>
        </w:tc>
        <w:tc>
          <w:tcPr>
            <w:tcW w:w="1216"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63.98</w:t>
            </w:r>
          </w:p>
        </w:tc>
        <w:tc>
          <w:tcPr>
            <w:tcW w:w="1029"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21.84%</w:t>
            </w:r>
          </w:p>
        </w:tc>
      </w:tr>
      <w:tr>
        <w:trPr>
          <w:trHeight w:val="255"/>
        </w:trPr>
        <w:tc>
          <w:tcPr>
            <w:tcW w:w="962"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208</w:t>
            </w:r>
          </w:p>
        </w:tc>
        <w:tc>
          <w:tcPr>
            <w:tcW w:w="1873" w:type="dxa"/>
            <w:tcBorders>
              <w:top w:val="single" w:sz="4" w:space="0" w:color="auto"/>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 xml:space="preserve">  社会保障和就业支出</w:t>
            </w:r>
          </w:p>
        </w:tc>
        <w:tc>
          <w:tcPr>
            <w:tcW w:w="1526"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2,467.78</w:t>
            </w:r>
          </w:p>
        </w:tc>
        <w:tc>
          <w:tcPr>
            <w:tcW w:w="1704" w:type="dxa"/>
            <w:gridSpan w:val="2"/>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2,467.78</w:t>
            </w:r>
          </w:p>
        </w:tc>
        <w:tc>
          <w:tcPr>
            <w:tcW w:w="1390"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2,477.72</w:t>
            </w:r>
          </w:p>
        </w:tc>
        <w:tc>
          <w:tcPr>
            <w:tcW w:w="1310"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2,477.72</w:t>
            </w:r>
          </w:p>
        </w:tc>
        <w:tc>
          <w:tcPr>
            <w:tcW w:w="1150"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630"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2,477.72</w:t>
            </w:r>
          </w:p>
        </w:tc>
        <w:tc>
          <w:tcPr>
            <w:tcW w:w="1284" w:type="dxa"/>
            <w:tcBorders>
              <w:top w:val="single" w:sz="4" w:space="0" w:color="auto"/>
              <w:left w:val="nil"/>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9.94</w:t>
            </w:r>
          </w:p>
        </w:tc>
        <w:tc>
          <w:tcPr>
            <w:tcW w:w="964" w:type="dxa"/>
            <w:tcBorders>
              <w:top w:val="single" w:sz="4" w:space="0" w:color="auto"/>
              <w:left w:val="nil"/>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0.40%</w:t>
            </w:r>
          </w:p>
        </w:tc>
        <w:tc>
          <w:tcPr>
            <w:tcW w:w="1216" w:type="dxa"/>
            <w:tcBorders>
              <w:top w:val="single" w:sz="4" w:space="0" w:color="auto"/>
              <w:left w:val="nil"/>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9.94</w:t>
            </w:r>
          </w:p>
        </w:tc>
        <w:tc>
          <w:tcPr>
            <w:tcW w:w="1029" w:type="dxa"/>
            <w:tcBorders>
              <w:top w:val="single" w:sz="4" w:space="0" w:color="auto"/>
              <w:left w:val="nil"/>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0.40%</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20805</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 xml:space="preserve">    行政事业单位养老支出</w:t>
            </w:r>
          </w:p>
        </w:tc>
        <w:tc>
          <w:tcPr>
            <w:tcW w:w="15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2,467.78</w:t>
            </w:r>
          </w:p>
        </w:tc>
        <w:tc>
          <w:tcPr>
            <w:tcW w:w="1704"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2,467.78</w:t>
            </w:r>
          </w:p>
        </w:tc>
        <w:tc>
          <w:tcPr>
            <w:tcW w:w="139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2,477.72</w:t>
            </w: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2,477.72</w:t>
            </w: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2,477.72</w:t>
            </w:r>
          </w:p>
        </w:tc>
        <w:tc>
          <w:tcPr>
            <w:tcW w:w="128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9.94</w:t>
            </w:r>
          </w:p>
        </w:tc>
        <w:tc>
          <w:tcPr>
            <w:tcW w:w="96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0.40%</w:t>
            </w:r>
          </w:p>
        </w:tc>
        <w:tc>
          <w:tcPr>
            <w:tcW w:w="1216"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9.94</w:t>
            </w:r>
          </w:p>
        </w:tc>
        <w:tc>
          <w:tcPr>
            <w:tcW w:w="1029"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0.40%</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2080501</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行政单位离退休</w:t>
            </w:r>
          </w:p>
        </w:tc>
        <w:tc>
          <w:tcPr>
            <w:tcW w:w="15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236.56</w:t>
            </w:r>
          </w:p>
        </w:tc>
        <w:tc>
          <w:tcPr>
            <w:tcW w:w="1704"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236.56</w:t>
            </w:r>
          </w:p>
        </w:tc>
        <w:tc>
          <w:tcPr>
            <w:tcW w:w="139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237.14</w:t>
            </w: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237.14</w:t>
            </w: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237.14</w:t>
            </w:r>
          </w:p>
        </w:tc>
        <w:tc>
          <w:tcPr>
            <w:tcW w:w="128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0.58</w:t>
            </w:r>
          </w:p>
        </w:tc>
        <w:tc>
          <w:tcPr>
            <w:tcW w:w="96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0.25%</w:t>
            </w:r>
          </w:p>
        </w:tc>
        <w:tc>
          <w:tcPr>
            <w:tcW w:w="1216"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0.58</w:t>
            </w:r>
          </w:p>
        </w:tc>
        <w:tc>
          <w:tcPr>
            <w:tcW w:w="1029"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0.25%</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2080505</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机关事业单位基本养老保险缴费支出</w:t>
            </w:r>
          </w:p>
        </w:tc>
        <w:tc>
          <w:tcPr>
            <w:tcW w:w="15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1,490.15</w:t>
            </w:r>
          </w:p>
        </w:tc>
        <w:tc>
          <w:tcPr>
            <w:tcW w:w="1704"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1,490.15</w:t>
            </w:r>
          </w:p>
        </w:tc>
        <w:tc>
          <w:tcPr>
            <w:tcW w:w="139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1,463.89</w:t>
            </w: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1,463.89</w:t>
            </w: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1,463.89</w:t>
            </w:r>
          </w:p>
        </w:tc>
        <w:tc>
          <w:tcPr>
            <w:tcW w:w="128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-26.26</w:t>
            </w:r>
          </w:p>
        </w:tc>
        <w:tc>
          <w:tcPr>
            <w:tcW w:w="96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-1.76%</w:t>
            </w:r>
          </w:p>
        </w:tc>
        <w:tc>
          <w:tcPr>
            <w:tcW w:w="1216"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-26.26</w:t>
            </w:r>
          </w:p>
        </w:tc>
        <w:tc>
          <w:tcPr>
            <w:tcW w:w="1029"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-1.76%</w:t>
            </w:r>
          </w:p>
        </w:tc>
      </w:tr>
      <w:tr>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2080506</w:t>
            </w:r>
          </w:p>
        </w:tc>
        <w:tc>
          <w:tcPr>
            <w:tcW w:w="1873"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机关事业单位职业年金缴费支出</w:t>
            </w:r>
          </w:p>
        </w:tc>
        <w:tc>
          <w:tcPr>
            <w:tcW w:w="15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741.07</w:t>
            </w:r>
          </w:p>
        </w:tc>
        <w:tc>
          <w:tcPr>
            <w:tcW w:w="1704" w:type="dxa"/>
            <w:gridSpan w:val="2"/>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741.07</w:t>
            </w:r>
          </w:p>
        </w:tc>
        <w:tc>
          <w:tcPr>
            <w:tcW w:w="139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776.69</w:t>
            </w:r>
          </w:p>
        </w:tc>
        <w:tc>
          <w:tcPr>
            <w:tcW w:w="13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776.69</w:t>
            </w:r>
          </w:p>
        </w:tc>
        <w:tc>
          <w:tcPr>
            <w:tcW w:w="115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776.69</w:t>
            </w:r>
          </w:p>
        </w:tc>
        <w:tc>
          <w:tcPr>
            <w:tcW w:w="128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35.62</w:t>
            </w:r>
          </w:p>
        </w:tc>
        <w:tc>
          <w:tcPr>
            <w:tcW w:w="964"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4.81%</w:t>
            </w:r>
          </w:p>
        </w:tc>
        <w:tc>
          <w:tcPr>
            <w:tcW w:w="1216"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35.62</w:t>
            </w:r>
          </w:p>
        </w:tc>
        <w:tc>
          <w:tcPr>
            <w:tcW w:w="1029" w:type="dxa"/>
            <w:tcBorders>
              <w:top w:val="nil"/>
              <w:left w:val="nil"/>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4.81%</w:t>
            </w:r>
          </w:p>
        </w:tc>
      </w:tr>
      <w:tr>
        <w:trPr>
          <w:trHeight w:val="255"/>
        </w:trPr>
        <w:tc>
          <w:tcPr>
            <w:tcW w:w="962"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210</w:t>
            </w:r>
          </w:p>
        </w:tc>
        <w:tc>
          <w:tcPr>
            <w:tcW w:w="1873"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 xml:space="preserve">  卫生健康支出</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1,165.23</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1,165.23</w:t>
            </w:r>
          </w:p>
        </w:tc>
        <w:tc>
          <w:tcPr>
            <w:tcW w:w="139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1,032.48</w:t>
            </w:r>
          </w:p>
        </w:tc>
        <w:tc>
          <w:tcPr>
            <w:tcW w:w="131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1,032.48</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1,032.48</w:t>
            </w:r>
          </w:p>
        </w:tc>
        <w:tc>
          <w:tcPr>
            <w:tcW w:w="1284"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-132.75</w:t>
            </w:r>
          </w:p>
        </w:tc>
        <w:tc>
          <w:tcPr>
            <w:tcW w:w="964"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-11.39%</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-132.75</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-11.39%</w:t>
            </w:r>
          </w:p>
        </w:tc>
      </w:tr>
      <w:tr>
        <w:trPr>
          <w:trHeight w:val="255"/>
        </w:trPr>
        <w:tc>
          <w:tcPr>
            <w:tcW w:w="962"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21011</w:t>
            </w:r>
          </w:p>
        </w:tc>
        <w:tc>
          <w:tcPr>
            <w:tcW w:w="1873"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 xml:space="preserve">    行政事业单位医疗</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1,165.23</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1,165.23</w:t>
            </w:r>
          </w:p>
        </w:tc>
        <w:tc>
          <w:tcPr>
            <w:tcW w:w="139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1,032.48</w:t>
            </w:r>
          </w:p>
        </w:tc>
        <w:tc>
          <w:tcPr>
            <w:tcW w:w="131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1,032.48</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1,032.48</w:t>
            </w:r>
          </w:p>
        </w:tc>
        <w:tc>
          <w:tcPr>
            <w:tcW w:w="1284"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-132.75</w:t>
            </w:r>
          </w:p>
        </w:tc>
        <w:tc>
          <w:tcPr>
            <w:tcW w:w="964"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-11.39%</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-132.75</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-11.39%</w:t>
            </w:r>
          </w:p>
        </w:tc>
      </w:tr>
      <w:tr>
        <w:trPr>
          <w:trHeight w:val="255"/>
        </w:trPr>
        <w:tc>
          <w:tcPr>
            <w:tcW w:w="962"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2101101</w:t>
            </w:r>
          </w:p>
        </w:tc>
        <w:tc>
          <w:tcPr>
            <w:tcW w:w="1873"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行政单位医疗</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866.44</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866.44</w:t>
            </w:r>
          </w:p>
        </w:tc>
        <w:tc>
          <w:tcPr>
            <w:tcW w:w="139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707.20</w:t>
            </w:r>
          </w:p>
        </w:tc>
        <w:tc>
          <w:tcPr>
            <w:tcW w:w="131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707.20</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707.20</w:t>
            </w:r>
          </w:p>
        </w:tc>
        <w:tc>
          <w:tcPr>
            <w:tcW w:w="1284"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-159.24</w:t>
            </w:r>
          </w:p>
        </w:tc>
        <w:tc>
          <w:tcPr>
            <w:tcW w:w="964"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-18.38%</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-159.24</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-18.38%</w:t>
            </w:r>
          </w:p>
        </w:tc>
      </w:tr>
      <w:tr>
        <w:trPr>
          <w:trHeight w:val="255"/>
        </w:trPr>
        <w:tc>
          <w:tcPr>
            <w:tcW w:w="962"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2101103</w:t>
            </w:r>
          </w:p>
        </w:tc>
        <w:tc>
          <w:tcPr>
            <w:tcW w:w="1873"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公务员医疗补助</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298.79</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298.79</w:t>
            </w:r>
          </w:p>
        </w:tc>
        <w:tc>
          <w:tcPr>
            <w:tcW w:w="139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310.89</w:t>
            </w:r>
          </w:p>
        </w:tc>
        <w:tc>
          <w:tcPr>
            <w:tcW w:w="131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310.89</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310.89</w:t>
            </w:r>
          </w:p>
        </w:tc>
        <w:tc>
          <w:tcPr>
            <w:tcW w:w="1284"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12.10</w:t>
            </w:r>
          </w:p>
        </w:tc>
        <w:tc>
          <w:tcPr>
            <w:tcW w:w="964"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4.05%</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12.10</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4.05%</w:t>
            </w:r>
          </w:p>
        </w:tc>
      </w:tr>
      <w:tr>
        <w:trPr>
          <w:trHeight w:val="486"/>
        </w:trPr>
        <w:tc>
          <w:tcPr>
            <w:tcW w:w="962"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2101199</w:t>
            </w:r>
          </w:p>
        </w:tc>
        <w:tc>
          <w:tcPr>
            <w:tcW w:w="1873"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其他行政事业单位医疗支出</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tcPr>
          <w:p>
            <w:pPr>
              <w:jc w:val="right"/>
              <w:rPr>
                <w:rFonts w:ascii="宋体"/>
                <w:color w:val="000000"/>
                <w:sz w:val="22"/>
              </w:rPr>
            </w:pPr>
            <w:r>
              <w:rPr>
                <w:rFonts w:hint="eastAsia"/>
                <w:color w:val="000000"/>
                <w:sz w:val="22"/>
              </w:rPr>
              <w:t>　</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jc w:val="right"/>
              <w:rPr>
                <w:rFonts w:ascii="宋体"/>
                <w:color w:val="000000"/>
                <w:sz w:val="22"/>
              </w:rPr>
            </w:pPr>
            <w:r>
              <w:rPr>
                <w:rFonts w:hint="eastAsia"/>
                <w:color w:val="000000"/>
                <w:sz w:val="22"/>
              </w:rPr>
              <w:t>　</w:t>
            </w:r>
          </w:p>
        </w:tc>
        <w:tc>
          <w:tcPr>
            <w:tcW w:w="139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14.39</w:t>
            </w:r>
          </w:p>
        </w:tc>
        <w:tc>
          <w:tcPr>
            <w:tcW w:w="131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14.39</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14.39</w:t>
            </w:r>
          </w:p>
        </w:tc>
        <w:tc>
          <w:tcPr>
            <w:tcW w:w="1284"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14.39</w:t>
            </w:r>
          </w:p>
        </w:tc>
        <w:tc>
          <w:tcPr>
            <w:tcW w:w="964"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　</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14.39</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　</w:t>
            </w:r>
          </w:p>
        </w:tc>
      </w:tr>
      <w:tr>
        <w:trPr>
          <w:trHeight w:val="255"/>
        </w:trPr>
        <w:tc>
          <w:tcPr>
            <w:tcW w:w="962"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221</w:t>
            </w:r>
          </w:p>
        </w:tc>
        <w:tc>
          <w:tcPr>
            <w:tcW w:w="1873"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 xml:space="preserve">  住房保障支出</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2,514.10</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2,514.10</w:t>
            </w:r>
          </w:p>
        </w:tc>
        <w:tc>
          <w:tcPr>
            <w:tcW w:w="139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2,913.81</w:t>
            </w:r>
          </w:p>
        </w:tc>
        <w:tc>
          <w:tcPr>
            <w:tcW w:w="131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2,913.81</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2,913.81</w:t>
            </w:r>
          </w:p>
        </w:tc>
        <w:tc>
          <w:tcPr>
            <w:tcW w:w="1284"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399.71</w:t>
            </w:r>
          </w:p>
        </w:tc>
        <w:tc>
          <w:tcPr>
            <w:tcW w:w="964"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15.90%</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399.71</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15.90%</w:t>
            </w:r>
          </w:p>
        </w:tc>
      </w:tr>
      <w:tr>
        <w:trPr>
          <w:trHeight w:val="255"/>
        </w:trPr>
        <w:tc>
          <w:tcPr>
            <w:tcW w:w="962"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22102</w:t>
            </w:r>
          </w:p>
        </w:tc>
        <w:tc>
          <w:tcPr>
            <w:tcW w:w="1873"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 xml:space="preserve">    住房改革支出</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2,514.10</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2,514.10</w:t>
            </w:r>
          </w:p>
        </w:tc>
        <w:tc>
          <w:tcPr>
            <w:tcW w:w="139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2,913.81</w:t>
            </w:r>
          </w:p>
        </w:tc>
        <w:tc>
          <w:tcPr>
            <w:tcW w:w="131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2,913.81</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2,913.81</w:t>
            </w:r>
          </w:p>
        </w:tc>
        <w:tc>
          <w:tcPr>
            <w:tcW w:w="1284"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399.71</w:t>
            </w:r>
          </w:p>
        </w:tc>
        <w:tc>
          <w:tcPr>
            <w:tcW w:w="964"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15.90%</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399.71</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15.90%</w:t>
            </w:r>
          </w:p>
        </w:tc>
      </w:tr>
      <w:tr>
        <w:trPr>
          <w:trHeight w:val="255"/>
        </w:trPr>
        <w:tc>
          <w:tcPr>
            <w:tcW w:w="962"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2210201</w:t>
            </w:r>
          </w:p>
        </w:tc>
        <w:tc>
          <w:tcPr>
            <w:tcW w:w="1873"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住房公积金</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1,720.10</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1,720.10</w:t>
            </w:r>
          </w:p>
        </w:tc>
        <w:tc>
          <w:tcPr>
            <w:tcW w:w="139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1,988.03</w:t>
            </w:r>
          </w:p>
        </w:tc>
        <w:tc>
          <w:tcPr>
            <w:tcW w:w="131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1,988.03</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1,988.03</w:t>
            </w:r>
          </w:p>
        </w:tc>
        <w:tc>
          <w:tcPr>
            <w:tcW w:w="1284"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267.93</w:t>
            </w:r>
          </w:p>
        </w:tc>
        <w:tc>
          <w:tcPr>
            <w:tcW w:w="964"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15.58%</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267.93</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15.58%</w:t>
            </w:r>
          </w:p>
        </w:tc>
      </w:tr>
      <w:tr>
        <w:trPr>
          <w:trHeight w:val="255"/>
        </w:trPr>
        <w:tc>
          <w:tcPr>
            <w:tcW w:w="962"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2210203</w:t>
            </w:r>
          </w:p>
        </w:tc>
        <w:tc>
          <w:tcPr>
            <w:tcW w:w="1873"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16"/>
                <w:szCs w:val="16"/>
              </w:rPr>
            </w:pPr>
            <w:r>
              <w:rPr>
                <w:rFonts w:ascii="Times New Roman" w:cs="宋体" w:hAnsi="Times New Roman" w:hint="eastAsia"/>
                <w:color w:val="000000"/>
                <w:kern w:val="0"/>
                <w:sz w:val="16"/>
                <w:szCs w:val="16"/>
              </w:rPr>
              <w:t>购房补贴</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794.00</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794.00</w:t>
            </w:r>
          </w:p>
        </w:tc>
        <w:tc>
          <w:tcPr>
            <w:tcW w:w="139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925.78</w:t>
            </w:r>
          </w:p>
        </w:tc>
        <w:tc>
          <w:tcPr>
            <w:tcW w:w="131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925.78</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color w:val="000000"/>
                <w:kern w:val="0"/>
                <w:sz w:val="16"/>
                <w:szCs w:val="16"/>
              </w:rPr>
            </w:pPr>
            <w:r>
              <w:rPr>
                <w:rFonts w:ascii="Times New Roman" w:cs="Times New Roman" w:hAnsi="Times New Roman" w:hint="eastAsia"/>
                <w:color w:val="000000"/>
                <w:kern w:val="0"/>
                <w:sz w:val="16"/>
                <w:szCs w:val="16"/>
              </w:rPr>
              <w:t>925.78</w:t>
            </w:r>
          </w:p>
        </w:tc>
        <w:tc>
          <w:tcPr>
            <w:tcW w:w="1284"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131.78</w:t>
            </w:r>
          </w:p>
        </w:tc>
        <w:tc>
          <w:tcPr>
            <w:tcW w:w="964"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16.60%</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131.78</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color w:val="000000"/>
                <w:sz w:val="16"/>
                <w:szCs w:val="16"/>
              </w:rPr>
            </w:pPr>
            <w:r>
              <w:rPr>
                <w:rFonts w:ascii="Times New Roman" w:cs="Times New Roman" w:hAnsi="Times New Roman"/>
                <w:color w:val="000000"/>
                <w:sz w:val="16"/>
                <w:szCs w:val="16"/>
              </w:rPr>
              <w:t>16.60%</w:t>
            </w:r>
          </w:p>
        </w:tc>
      </w:tr>
      <w:tr>
        <w:trPr>
          <w:trHeight w:val="255"/>
        </w:trPr>
        <w:tc>
          <w:tcPr>
            <w:tcW w:w="2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b/>
                <w:bCs/>
                <w:color w:val="000000"/>
                <w:kern w:val="0"/>
                <w:sz w:val="16"/>
                <w:szCs w:val="16"/>
              </w:rPr>
            </w:pPr>
            <w:r>
              <w:rPr>
                <w:rFonts w:ascii="Times New Roman" w:cs="宋体" w:hAnsi="Times New Roman" w:hint="eastAsia"/>
                <w:b/>
                <w:bCs/>
                <w:color w:val="000000"/>
                <w:kern w:val="0"/>
                <w:sz w:val="16"/>
                <w:szCs w:val="16"/>
              </w:rPr>
              <w:t>合      计</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35,662.01</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jc w:val="right"/>
              <w:rPr>
                <w:rFonts w:ascii="宋体"/>
                <w:color w:val="000000"/>
                <w:sz w:val="22"/>
              </w:rPr>
            </w:pPr>
            <w:r>
              <w:rPr>
                <w:rFonts w:ascii="Times New Roman" w:cs="Times New Roman" w:hAnsi="Times New Roman" w:hint="eastAsia"/>
                <w:b/>
                <w:bCs/>
                <w:color w:val="000000"/>
                <w:kern w:val="0"/>
                <w:sz w:val="16"/>
                <w:szCs w:val="16"/>
              </w:rPr>
              <w:t>35,662.01</w:t>
            </w:r>
          </w:p>
        </w:tc>
        <w:tc>
          <w:tcPr>
            <w:tcW w:w="139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33,162.88</w:t>
            </w:r>
          </w:p>
        </w:tc>
        <w:tc>
          <w:tcPr>
            <w:tcW w:w="131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27,167.43</w:t>
            </w:r>
          </w:p>
        </w:tc>
        <w:tc>
          <w:tcPr>
            <w:tcW w:w="115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5,995.45</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hint="eastAsia"/>
                <w:b/>
                <w:bCs/>
                <w:color w:val="000000"/>
                <w:kern w:val="0"/>
                <w:sz w:val="16"/>
                <w:szCs w:val="16"/>
              </w:rPr>
              <w:t>33,162.88</w:t>
            </w:r>
          </w:p>
        </w:tc>
        <w:tc>
          <w:tcPr>
            <w:tcW w:w="1284"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b/>
                <w:bCs/>
                <w:color w:val="000000"/>
                <w:kern w:val="0"/>
                <w:sz w:val="16"/>
                <w:szCs w:val="16"/>
              </w:rPr>
              <w:t>-2499.13</w:t>
            </w:r>
          </w:p>
        </w:tc>
        <w:tc>
          <w:tcPr>
            <w:tcW w:w="964"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-7.0</w:t>
            </w:r>
            <w:r>
              <w:rPr>
                <w:rFonts w:ascii="Times New Roman" w:cs="Times New Roman" w:hAnsi="Times New Roman" w:hint="eastAsia"/>
                <w:b/>
                <w:bCs/>
                <w:color w:val="000000"/>
                <w:sz w:val="16"/>
                <w:szCs w:val="16"/>
              </w:rPr>
              <w:t>1</w:t>
            </w:r>
            <w:r>
              <w:rPr>
                <w:rFonts w:ascii="Times New Roman" w:cs="Times New Roman" w:hAnsi="Times New Roman"/>
                <w:b/>
                <w:bCs/>
                <w:color w:val="000000"/>
                <w:sz w:val="16"/>
                <w:szCs w:val="16"/>
              </w:rPr>
              <w:t>%</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color w:val="000000"/>
                <w:kern w:val="0"/>
                <w:sz w:val="16"/>
                <w:szCs w:val="16"/>
              </w:rPr>
            </w:pPr>
            <w:r>
              <w:rPr>
                <w:rFonts w:ascii="Times New Roman" w:cs="Times New Roman" w:hAnsi="Times New Roman"/>
                <w:b/>
                <w:bCs/>
                <w:color w:val="000000"/>
                <w:kern w:val="0"/>
                <w:sz w:val="16"/>
                <w:szCs w:val="16"/>
              </w:rPr>
              <w:t>-2499.13</w:t>
            </w:r>
          </w:p>
        </w:tc>
        <w:tc>
          <w:tcPr>
            <w:tcW w:w="1029" w:type="dxa"/>
            <w:tcBorders>
              <w:top w:val="single" w:sz="4" w:space="0" w:color="auto"/>
              <w:left w:val="single" w:sz="4" w:space="0" w:color="auto"/>
              <w:bottom w:val="single" w:sz="4" w:space="0" w:color="auto"/>
              <w:right w:val="single" w:sz="4" w:space="0" w:color="auto"/>
            </w:tcBorders>
            <w:shd w:val="clear" w:color="auto" w:fill="auto"/>
            <w:noWrap/>
            <w:vAlign w:val="bottom"/>
          </w:tcPr>
          <w:p>
            <w:pPr>
              <w:jc w:val="right"/>
              <w:rPr>
                <w:rFonts w:ascii="Times New Roman" w:cs="Times New Roman" w:hAnsi="Times New Roman"/>
                <w:b/>
                <w:bCs/>
                <w:color w:val="000000"/>
                <w:sz w:val="16"/>
                <w:szCs w:val="16"/>
              </w:rPr>
            </w:pPr>
            <w:r>
              <w:rPr>
                <w:rFonts w:ascii="Times New Roman" w:cs="Times New Roman" w:hAnsi="Times New Roman"/>
                <w:b/>
                <w:bCs/>
                <w:color w:val="000000"/>
                <w:sz w:val="16"/>
                <w:szCs w:val="16"/>
              </w:rPr>
              <w:t>-7.0</w:t>
            </w:r>
            <w:r>
              <w:rPr>
                <w:rFonts w:ascii="Times New Roman" w:cs="Times New Roman" w:hAnsi="Times New Roman" w:hint="eastAsia"/>
                <w:b/>
                <w:bCs/>
                <w:color w:val="000000"/>
                <w:sz w:val="16"/>
                <w:szCs w:val="16"/>
              </w:rPr>
              <w:t>1</w:t>
            </w:r>
            <w:r>
              <w:rPr>
                <w:rFonts w:ascii="Times New Roman" w:cs="Times New Roman" w:hAnsi="Times New Roman"/>
                <w:b/>
                <w:bCs/>
                <w:color w:val="000000"/>
                <w:sz w:val="16"/>
                <w:szCs w:val="16"/>
              </w:rPr>
              <w:t>%</w:t>
            </w:r>
          </w:p>
        </w:tc>
      </w:tr>
    </w:tbl>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center"/>
        <w:rPr>
          <w:rFonts w:ascii="Times New Roman" w:eastAsia="方正仿宋_GBK" w:hAnsi="Times New Roman"/>
          <w:sz w:val="32"/>
          <w:szCs w:val="32"/>
        </w:rPr>
        <w:sectPr>
          <w:pgSz w:w="16838" w:h="11906" w:orient="landscape"/>
          <w:pgMar w:top="1418" w:right="1440" w:bottom="1797" w:left="1440" w:header="851" w:footer="992" w:gutter="0"/>
          <w:docGrid w:type="lines" w:linePitch="312" w:charSpace="0"/>
        </w:sectPr>
      </w:pPr>
    </w:p>
    <w:tbl>
      <w:tblPr>
        <w:jc w:val="center"/>
        <w:tblW w:w="1006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993"/>
        <w:gridCol w:w="3119"/>
        <w:gridCol w:w="2126"/>
        <w:gridCol w:w="1985"/>
        <w:gridCol w:w="1842"/>
      </w:tblGrid>
      <w:tr>
        <w:trPr>
          <w:trHeight w:val="270"/>
        </w:trPr>
        <w:tc>
          <w:tcPr>
            <w:tcW w:w="993" w:type="dxa"/>
            <w:tcBorders>
              <w:top w:val="nil"/>
              <w:left w:val="nil"/>
              <w:bottom w:val="nil"/>
              <w:right w:val="nil"/>
            </w:tcBorders>
            <w:shd w:val="clear" w:color="auto" w:fill="auto"/>
            <w:noWrap/>
            <w:vAlign w:val="center"/>
          </w:tcPr>
          <w:p>
            <w:pPr>
              <w:widowControl/>
              <w:jc w:val="left"/>
              <w:rPr>
                <w:rFonts w:ascii="Times New Roman" w:cs="宋体" w:hAnsi="Times New Roman"/>
                <w:kern w:val="0"/>
                <w:sz w:val="24"/>
                <w:szCs w:val="24"/>
              </w:rPr>
            </w:pPr>
            <w:bookmarkStart w:id="0" w:name="RANGE!A1:E71"/>
            <w:bookmarkEnd w:id="0"/>
          </w:p>
        </w:tc>
        <w:tc>
          <w:tcPr>
            <w:tcW w:w="3119"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2126"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985" w:type="dxa"/>
            <w:tcBorders>
              <w:top w:val="nil"/>
              <w:left w:val="nil"/>
              <w:bottom w:val="nil"/>
              <w:right w:val="nil"/>
            </w:tcBorders>
            <w:shd w:val="clear" w:color="auto" w:fill="auto"/>
            <w:noWrap/>
            <w:vAlign w:val="center"/>
          </w:tcPr>
          <w:p>
            <w:pPr>
              <w:widowControl/>
              <w:jc w:val="center"/>
              <w:rPr>
                <w:rFonts w:ascii="Times New Roman" w:eastAsia="Times New Roman" w:cs="Times New Roman" w:hAnsi="Times New Roman"/>
                <w:kern w:val="0"/>
                <w:sz w:val="20"/>
                <w:szCs w:val="20"/>
              </w:rPr>
            </w:pPr>
          </w:p>
        </w:tc>
        <w:tc>
          <w:tcPr>
            <w:tcW w:w="1842" w:type="dxa"/>
            <w:tcBorders>
              <w:top w:val="nil"/>
              <w:left w:val="nil"/>
              <w:bottom w:val="nil"/>
              <w:right w:val="nil"/>
            </w:tcBorders>
            <w:shd w:val="clear" w:color="auto" w:fill="auto"/>
            <w:noWrap/>
            <w:vAlign w:val="center"/>
          </w:tcPr>
          <w:p>
            <w:pPr>
              <w:widowControl/>
              <w:jc w:val="right"/>
              <w:rPr>
                <w:rFonts w:ascii="Times New Roman" w:eastAsia="黑体" w:cs="宋体" w:hAnsi="Times New Roman"/>
                <w:color w:val="000000"/>
                <w:kern w:val="0"/>
                <w:sz w:val="20"/>
                <w:szCs w:val="20"/>
              </w:rPr>
            </w:pPr>
            <w:r>
              <w:rPr>
                <w:rFonts w:ascii="Times New Roman" w:eastAsia="黑体" w:cs="宋体" w:hAnsi="Times New Roman" w:hint="eastAsia"/>
                <w:color w:val="000000"/>
                <w:kern w:val="0"/>
                <w:sz w:val="20"/>
                <w:szCs w:val="20"/>
              </w:rPr>
              <w:t>部门公开表6</w:t>
            </w:r>
          </w:p>
        </w:tc>
      </w:tr>
      <w:tr>
        <w:trPr>
          <w:trHeight w:val="578"/>
        </w:trPr>
        <w:tc>
          <w:tcPr>
            <w:tcW w:w="10065" w:type="dxa"/>
            <w:gridSpan w:val="5"/>
            <w:tcBorders>
              <w:top w:val="nil"/>
              <w:left w:val="nil"/>
              <w:bottom w:val="nil"/>
              <w:right w:val="nil"/>
            </w:tcBorders>
            <w:shd w:val="clear" w:color="auto" w:fill="auto"/>
            <w:noWrap/>
            <w:vAlign w:val="center"/>
          </w:tcPr>
          <w:p>
            <w:pPr>
              <w:widowControl/>
              <w:jc w:val="center"/>
              <w:rPr>
                <w:rFonts w:ascii="Times New Roman" w:cs="宋体" w:hAnsi="Times New Roman"/>
                <w:kern w:val="0"/>
                <w:sz w:val="36"/>
                <w:szCs w:val="36"/>
              </w:rPr>
            </w:pPr>
            <w:r>
              <w:rPr>
                <w:rFonts w:ascii="Times New Roman" w:cs="宋体" w:hAnsi="Times New Roman" w:hint="eastAsia"/>
                <w:kern w:val="0"/>
                <w:sz w:val="36"/>
                <w:szCs w:val="36"/>
              </w:rPr>
              <w:t>一般公共预算基本支出表</w:t>
            </w:r>
          </w:p>
        </w:tc>
      </w:tr>
      <w:tr>
        <w:trPr>
          <w:trHeight w:val="360"/>
        </w:trPr>
        <w:tc>
          <w:tcPr>
            <w:tcW w:w="6238" w:type="dxa"/>
            <w:gridSpan w:val="3"/>
            <w:tcBorders>
              <w:top w:val="nil"/>
              <w:left w:val="nil"/>
              <w:bottom w:val="nil"/>
              <w:right w:val="nil"/>
            </w:tcBorders>
            <w:shd w:val="clear" w:color="auto" w:fill="auto"/>
            <w:noWrap/>
            <w:vAlign w:val="center"/>
          </w:tcPr>
          <w:p>
            <w:pPr>
              <w:widowControl/>
              <w:jc w:val="left"/>
              <w:rPr>
                <w:rFonts w:ascii="Times New Roman" w:cs="宋体" w:hAnsi="Times New Roman"/>
                <w:kern w:val="0"/>
                <w:szCs w:val="36"/>
              </w:rPr>
            </w:pPr>
            <w:r>
              <w:rPr>
                <w:rFonts w:ascii="Times New Roman" w:cs="宋体" w:hAnsi="Times New Roman" w:hint="eastAsia"/>
                <w:kern w:val="0"/>
                <w:sz w:val="16"/>
                <w:szCs w:val="16"/>
              </w:rPr>
              <w:t>　</w:t>
            </w:r>
            <w:r>
              <w:rPr>
                <w:rFonts w:ascii="Times New Roman" w:cs="宋体" w:hAnsi="Times New Roman" w:hint="eastAsia"/>
                <w:color w:val="000000"/>
                <w:kern w:val="0"/>
                <w:sz w:val="18"/>
                <w:szCs w:val="18"/>
              </w:rPr>
              <w:t>单位名称：中华人民共和国呼和浩特海关</w:t>
            </w:r>
          </w:p>
        </w:tc>
        <w:tc>
          <w:tcPr>
            <w:tcW w:w="1985" w:type="dxa"/>
            <w:tcBorders>
              <w:top w:val="nil"/>
              <w:left w:val="nil"/>
              <w:bottom w:val="single" w:sz="4" w:space="0" w:color="auto"/>
              <w:right w:val="nil"/>
            </w:tcBorders>
            <w:shd w:val="clear" w:color="auto" w:fill="auto"/>
            <w:noWrap/>
            <w:vAlign w:val="center"/>
          </w:tcPr>
          <w:p>
            <w:pPr>
              <w:widowControl/>
              <w:jc w:val="center"/>
              <w:rPr>
                <w:rFonts w:ascii="Times New Roman" w:cs="Times New Roman" w:hAnsi="Times New Roman"/>
                <w:kern w:val="0"/>
                <w:sz w:val="18"/>
                <w:szCs w:val="18"/>
              </w:rPr>
            </w:pPr>
            <w:r>
              <w:rPr>
                <w:rFonts w:ascii="Times New Roman" w:cs="Times New Roman" w:hAnsi="Times New Roman"/>
                <w:kern w:val="0"/>
                <w:sz w:val="18"/>
                <w:szCs w:val="18"/>
              </w:rPr>
              <w:t>　</w:t>
            </w:r>
          </w:p>
        </w:tc>
        <w:tc>
          <w:tcPr>
            <w:tcW w:w="1842" w:type="dxa"/>
            <w:tcBorders>
              <w:top w:val="nil"/>
              <w:left w:val="nil"/>
              <w:bottom w:val="nil"/>
              <w:right w:val="nil"/>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单位：万元</w:t>
            </w:r>
          </w:p>
        </w:tc>
      </w:tr>
      <w:tr>
        <w:trPr>
          <w:trHeight w:val="360"/>
        </w:trPr>
        <w:tc>
          <w:tcPr>
            <w:tcW w:w="411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18"/>
                <w:szCs w:val="18"/>
              </w:rPr>
            </w:pPr>
            <w:r>
              <w:rPr>
                <w:rFonts w:ascii="Times New Roman" w:cs="宋体" w:hAnsi="Times New Roman" w:hint="eastAsia"/>
                <w:kern w:val="0"/>
                <w:sz w:val="18"/>
                <w:szCs w:val="18"/>
              </w:rPr>
              <w:t>部门预算支出经济分类科目</w:t>
            </w:r>
          </w:p>
        </w:tc>
        <w:tc>
          <w:tcPr>
            <w:tcW w:w="5953" w:type="dxa"/>
            <w:gridSpan w:val="3"/>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18"/>
                <w:szCs w:val="18"/>
              </w:rPr>
            </w:pPr>
            <w:r>
              <w:rPr>
                <w:rFonts w:ascii="Times New Roman" w:cs="Times New Roman" w:hAnsi="Times New Roman" w:hint="eastAsia"/>
                <w:kern w:val="0"/>
                <w:sz w:val="18"/>
                <w:szCs w:val="18"/>
              </w:rPr>
              <w:t>本年一般公共预算基本支出</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18"/>
                <w:szCs w:val="18"/>
              </w:rPr>
            </w:pPr>
            <w:r>
              <w:rPr>
                <w:rFonts w:ascii="Times New Roman" w:cs="宋体" w:hAnsi="Times New Roman" w:hint="eastAsia"/>
                <w:kern w:val="0"/>
                <w:sz w:val="18"/>
                <w:szCs w:val="18"/>
              </w:rPr>
              <w:t>科目代码</w:t>
            </w:r>
          </w:p>
        </w:tc>
        <w:tc>
          <w:tcPr>
            <w:tcW w:w="311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18"/>
                <w:szCs w:val="18"/>
              </w:rPr>
            </w:pPr>
            <w:r>
              <w:rPr>
                <w:rFonts w:ascii="Times New Roman" w:cs="宋体" w:hAnsi="Times New Roman" w:hint="eastAsia"/>
                <w:kern w:val="0"/>
                <w:sz w:val="18"/>
                <w:szCs w:val="18"/>
              </w:rPr>
              <w:t>科目名称</w:t>
            </w:r>
          </w:p>
        </w:tc>
        <w:tc>
          <w:tcPr>
            <w:tcW w:w="212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18"/>
                <w:szCs w:val="18"/>
              </w:rPr>
            </w:pPr>
            <w:r>
              <w:rPr>
                <w:rFonts w:ascii="Times New Roman" w:cs="Times New Roman" w:hAnsi="Times New Roman" w:hint="eastAsia"/>
                <w:kern w:val="0"/>
                <w:sz w:val="18"/>
                <w:szCs w:val="18"/>
              </w:rPr>
              <w:t>合计</w:t>
            </w:r>
          </w:p>
        </w:tc>
        <w:tc>
          <w:tcPr>
            <w:tcW w:w="198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18"/>
                <w:szCs w:val="18"/>
              </w:rPr>
            </w:pPr>
            <w:r>
              <w:rPr>
                <w:rFonts w:ascii="Times New Roman" w:cs="Times New Roman" w:hAnsi="Times New Roman" w:hint="eastAsia"/>
                <w:kern w:val="0"/>
                <w:sz w:val="18"/>
                <w:szCs w:val="18"/>
              </w:rPr>
              <w:t>人员经费</w:t>
            </w:r>
          </w:p>
        </w:tc>
        <w:tc>
          <w:tcPr>
            <w:tcW w:w="1842"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18"/>
                <w:szCs w:val="18"/>
              </w:rPr>
            </w:pPr>
            <w:r>
              <w:rPr>
                <w:rFonts w:ascii="Times New Roman" w:cs="Times New Roman" w:hAnsi="Times New Roman" w:hint="eastAsia"/>
                <w:kern w:val="0"/>
                <w:sz w:val="18"/>
                <w:szCs w:val="18"/>
              </w:rPr>
              <w:t>公用经费</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b/>
                <w:bCs/>
                <w:kern w:val="0"/>
                <w:sz w:val="18"/>
                <w:szCs w:val="18"/>
              </w:rPr>
            </w:pPr>
          </w:p>
        </w:tc>
        <w:tc>
          <w:tcPr>
            <w:tcW w:w="311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b/>
                <w:bCs/>
                <w:kern w:val="0"/>
                <w:sz w:val="18"/>
                <w:szCs w:val="18"/>
              </w:rPr>
            </w:pPr>
            <w:r>
              <w:rPr>
                <w:rFonts w:ascii="Times New Roman" w:cs="宋体" w:hAnsi="Times New Roman" w:hint="eastAsia"/>
                <w:b/>
                <w:bCs/>
                <w:kern w:val="0"/>
                <w:sz w:val="18"/>
                <w:szCs w:val="18"/>
              </w:rPr>
              <w:t>呼和浩特海关</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r>
              <w:rPr>
                <w:rFonts w:ascii="Times New Roman" w:cs="Times New Roman" w:hAnsi="Times New Roman"/>
                <w:b/>
                <w:bCs/>
                <w:kern w:val="0"/>
                <w:sz w:val="18"/>
                <w:szCs w:val="18"/>
              </w:rPr>
              <w:t>27,167.43</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r>
              <w:rPr>
                <w:rFonts w:ascii="Times New Roman" w:cs="Times New Roman" w:hAnsi="Times New Roman"/>
                <w:b/>
                <w:bCs/>
                <w:kern w:val="0"/>
                <w:sz w:val="18"/>
                <w:szCs w:val="18"/>
              </w:rPr>
              <w:t>19,329.29</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r>
              <w:rPr>
                <w:rFonts w:ascii="Times New Roman" w:cs="Times New Roman" w:hAnsi="Times New Roman"/>
                <w:b/>
                <w:bCs/>
                <w:kern w:val="0"/>
                <w:sz w:val="18"/>
                <w:szCs w:val="18"/>
              </w:rPr>
              <w:t>7,838.14</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kern w:val="0"/>
                <w:sz w:val="18"/>
                <w:szCs w:val="18"/>
              </w:rPr>
            </w:pPr>
            <w:r>
              <w:rPr>
                <w:rFonts w:ascii="Times New Roman" w:cs="宋体" w:hAnsi="Times New Roman" w:hint="eastAsia"/>
                <w:b/>
                <w:bCs/>
                <w:kern w:val="0"/>
                <w:sz w:val="18"/>
                <w:szCs w:val="18"/>
              </w:rPr>
              <w:t>301</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kern w:val="0"/>
                <w:sz w:val="18"/>
                <w:szCs w:val="18"/>
              </w:rPr>
            </w:pPr>
            <w:r>
              <w:rPr>
                <w:rFonts w:ascii="Times New Roman" w:cs="宋体" w:hAnsi="Times New Roman" w:hint="eastAsia"/>
                <w:b/>
                <w:bCs/>
                <w:kern w:val="0"/>
                <w:sz w:val="18"/>
                <w:szCs w:val="18"/>
              </w:rPr>
              <w:t>工资福利支出</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r>
              <w:rPr>
                <w:rFonts w:ascii="Times New Roman" w:cs="Times New Roman" w:hAnsi="Times New Roman" w:hint="eastAsia"/>
                <w:b/>
                <w:bCs/>
                <w:kern w:val="0"/>
                <w:sz w:val="18"/>
                <w:szCs w:val="18"/>
              </w:rPr>
              <w:t>18,983.56</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r>
              <w:rPr>
                <w:rFonts w:ascii="Times New Roman" w:cs="Times New Roman" w:hAnsi="Times New Roman" w:hint="eastAsia"/>
                <w:b/>
                <w:bCs/>
                <w:kern w:val="0"/>
                <w:sz w:val="18"/>
                <w:szCs w:val="18"/>
              </w:rPr>
              <w:t>18,983.56</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30101</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基本工资</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4,748.59</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4,748.59</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30102</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津贴补贴</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7,683.58</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7,683.58</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30103</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奖金</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1,121.92</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1,121.92</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30108</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机关事业单位基本养老保险缴费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1,463.89</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1,463.89</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30109</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职业年金缴费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776.69</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776.69</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30110</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职工基本医疗保险缴费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707.25</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707.25</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30111</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公务员医疗补助缴费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310.89</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310.89</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30112</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其他社会保障缴费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88.92</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88.92</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30113</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住房公积金</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1,988.03</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1,988.03</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30199</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其他工资福利支出</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93.80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93.80</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kern w:val="0"/>
                <w:sz w:val="18"/>
                <w:szCs w:val="18"/>
              </w:rPr>
            </w:pPr>
            <w:r>
              <w:rPr>
                <w:rFonts w:ascii="Times New Roman" w:cs="宋体" w:hAnsi="Times New Roman" w:hint="eastAsia"/>
                <w:b/>
                <w:bCs/>
                <w:kern w:val="0"/>
                <w:sz w:val="18"/>
                <w:szCs w:val="18"/>
              </w:rPr>
              <w:t>302</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kern w:val="0"/>
                <w:sz w:val="18"/>
                <w:szCs w:val="18"/>
              </w:rPr>
            </w:pPr>
            <w:r>
              <w:rPr>
                <w:rFonts w:ascii="Times New Roman" w:cs="宋体" w:hAnsi="Times New Roman" w:hint="eastAsia"/>
                <w:b/>
                <w:bCs/>
                <w:kern w:val="0"/>
                <w:sz w:val="18"/>
                <w:szCs w:val="18"/>
              </w:rPr>
              <w:t>商品和服务支出</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r>
              <w:rPr>
                <w:rFonts w:ascii="Times New Roman" w:cs="Times New Roman" w:hAnsi="Times New Roman" w:hint="eastAsia"/>
                <w:b/>
                <w:bCs/>
                <w:kern w:val="0"/>
                <w:sz w:val="18"/>
                <w:szCs w:val="18"/>
              </w:rPr>
              <w:t>7,576.94</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r>
              <w:rPr>
                <w:rFonts w:ascii="Times New Roman" w:cs="Times New Roman" w:hAnsi="Times New Roman" w:hint="eastAsia"/>
                <w:b/>
                <w:bCs/>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r>
              <w:rPr>
                <w:rFonts w:ascii="Times New Roman" w:cs="Times New Roman" w:hAnsi="Times New Roman" w:hint="eastAsia"/>
                <w:b/>
                <w:bCs/>
                <w:kern w:val="0"/>
                <w:sz w:val="18"/>
                <w:szCs w:val="18"/>
              </w:rPr>
              <w:t>7,576.94</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30201</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办公费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288.32</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288.32</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30202</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印刷费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34.43</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34.43</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30203</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咨询费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1.00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1.00</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30204</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手续费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3.15</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3.15</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30205</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水费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81.89</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81.89</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30206</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电费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273.95</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273.95</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30207</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邮电费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379.85</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379.85</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30208</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取暖费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622.42</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622.42</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30209</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物业管理费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1,066.42</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1,066.42</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30211</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差旅费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454.73</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454.73</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30213</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维修（护）费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469.80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469.80</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30214</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租赁费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88.08</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88.08</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30215</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会议费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1.00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1.00</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30216</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培训费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11.74</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11.74</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30217</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公务接待费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2.77</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2.77</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30218</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专用材料费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122.06</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122.06</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30224</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被装购置费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54.08</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54.08</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30225</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专用燃料费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3.10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3.10</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30226</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劳务费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562.66</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562.66</w:t>
            </w:r>
          </w:p>
        </w:tc>
      </w:tr>
      <w:tr>
        <w:trPr>
          <w:trHeight w:val="360"/>
        </w:trPr>
        <w:tc>
          <w:tcPr>
            <w:tcW w:w="411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18"/>
                <w:szCs w:val="18"/>
              </w:rPr>
            </w:pPr>
            <w:r>
              <w:rPr>
                <w:rFonts w:ascii="Times New Roman" w:cs="宋体" w:hAnsi="Times New Roman" w:hint="eastAsia"/>
                <w:kern w:val="0"/>
                <w:sz w:val="18"/>
                <w:szCs w:val="18"/>
              </w:rPr>
              <w:t>部门预算支出经济分类科目</w:t>
            </w:r>
          </w:p>
        </w:tc>
        <w:tc>
          <w:tcPr>
            <w:tcW w:w="5953" w:type="dxa"/>
            <w:gridSpan w:val="3"/>
            <w:tcBorders>
              <w:top w:val="single" w:sz="4" w:space="0" w:color="auto"/>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18"/>
                <w:szCs w:val="18"/>
              </w:rPr>
            </w:pPr>
            <w:r>
              <w:rPr>
                <w:rFonts w:ascii="Times New Roman" w:cs="Times New Roman" w:hAnsi="Times New Roman" w:hint="eastAsia"/>
                <w:kern w:val="0"/>
                <w:sz w:val="18"/>
                <w:szCs w:val="18"/>
              </w:rPr>
              <w:t>本年一般公共预算基本支出</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18"/>
                <w:szCs w:val="18"/>
              </w:rPr>
            </w:pPr>
            <w:r>
              <w:rPr>
                <w:rFonts w:ascii="Times New Roman" w:cs="宋体" w:hAnsi="Times New Roman" w:hint="eastAsia"/>
                <w:kern w:val="0"/>
                <w:sz w:val="18"/>
                <w:szCs w:val="18"/>
              </w:rPr>
              <w:t>科目代码</w:t>
            </w:r>
          </w:p>
        </w:tc>
        <w:tc>
          <w:tcPr>
            <w:tcW w:w="3119"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18"/>
                <w:szCs w:val="18"/>
              </w:rPr>
            </w:pPr>
            <w:r>
              <w:rPr>
                <w:rFonts w:ascii="Times New Roman" w:cs="宋体" w:hAnsi="Times New Roman" w:hint="eastAsia"/>
                <w:kern w:val="0"/>
                <w:sz w:val="18"/>
                <w:szCs w:val="18"/>
              </w:rPr>
              <w:t>科目名称</w:t>
            </w:r>
          </w:p>
        </w:tc>
        <w:tc>
          <w:tcPr>
            <w:tcW w:w="2126"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18"/>
                <w:szCs w:val="18"/>
              </w:rPr>
            </w:pPr>
            <w:r>
              <w:rPr>
                <w:rFonts w:ascii="Times New Roman" w:cs="Times New Roman" w:hAnsi="Times New Roman" w:hint="eastAsia"/>
                <w:kern w:val="0"/>
                <w:sz w:val="18"/>
                <w:szCs w:val="18"/>
              </w:rPr>
              <w:t>合计</w:t>
            </w:r>
          </w:p>
        </w:tc>
        <w:tc>
          <w:tcPr>
            <w:tcW w:w="198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18"/>
                <w:szCs w:val="18"/>
              </w:rPr>
            </w:pPr>
            <w:r>
              <w:rPr>
                <w:rFonts w:ascii="Times New Roman" w:cs="Times New Roman" w:hAnsi="Times New Roman" w:hint="eastAsia"/>
                <w:kern w:val="0"/>
                <w:sz w:val="18"/>
                <w:szCs w:val="18"/>
              </w:rPr>
              <w:t>人员经费</w:t>
            </w:r>
          </w:p>
        </w:tc>
        <w:tc>
          <w:tcPr>
            <w:tcW w:w="1842"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18"/>
                <w:szCs w:val="18"/>
              </w:rPr>
            </w:pPr>
            <w:r>
              <w:rPr>
                <w:rFonts w:ascii="Times New Roman" w:cs="Times New Roman" w:hAnsi="Times New Roman" w:hint="eastAsia"/>
                <w:kern w:val="0"/>
                <w:sz w:val="18"/>
                <w:szCs w:val="18"/>
              </w:rPr>
              <w:t>公用经费</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30227</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委托业务费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184.92</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184.92</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30228</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工会经费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384.89</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384.89</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30229</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福利费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815.98</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815.98</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30231</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公务用车运行维护费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57.40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57.40</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30239</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其他交通费用</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1,433.70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1,433.70</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30299</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其他商品和服务支出</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178.60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178.60</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kern w:val="0"/>
                <w:sz w:val="18"/>
                <w:szCs w:val="18"/>
              </w:rPr>
            </w:pPr>
            <w:r>
              <w:rPr>
                <w:rFonts w:ascii="Times New Roman" w:cs="宋体" w:hAnsi="Times New Roman" w:hint="eastAsia"/>
                <w:b/>
                <w:bCs/>
                <w:kern w:val="0"/>
                <w:sz w:val="18"/>
                <w:szCs w:val="18"/>
              </w:rPr>
              <w:t>303</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kern w:val="0"/>
                <w:sz w:val="18"/>
                <w:szCs w:val="18"/>
              </w:rPr>
            </w:pPr>
            <w:r>
              <w:rPr>
                <w:rFonts w:ascii="Times New Roman" w:cs="宋体" w:hAnsi="Times New Roman" w:hint="eastAsia"/>
                <w:b/>
                <w:bCs/>
                <w:kern w:val="0"/>
                <w:sz w:val="18"/>
                <w:szCs w:val="18"/>
              </w:rPr>
              <w:t>对个人和家庭的补助</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r>
              <w:rPr>
                <w:rFonts w:ascii="Times New Roman" w:cs="Times New Roman" w:hAnsi="Times New Roman" w:hint="eastAsia"/>
                <w:b/>
                <w:bCs/>
                <w:kern w:val="0"/>
                <w:sz w:val="18"/>
                <w:szCs w:val="18"/>
              </w:rPr>
              <w:t>345.73</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r>
              <w:rPr>
                <w:rFonts w:ascii="Times New Roman" w:cs="Times New Roman" w:hAnsi="Times New Roman" w:hint="eastAsia"/>
                <w:b/>
                <w:bCs/>
                <w:kern w:val="0"/>
                <w:sz w:val="18"/>
                <w:szCs w:val="18"/>
              </w:rPr>
              <w:t>345.73</w:t>
            </w: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宋体" w:cs="宋体"/>
                <w:b/>
                <w:bCs/>
                <w:color w:val="000000"/>
                <w:sz w:val="16"/>
                <w:szCs w:val="16"/>
              </w:rPr>
            </w:pPr>
            <w:r>
              <w:rPr>
                <w:rFonts w:hint="eastAsia"/>
                <w:b/>
                <w:bCs/>
                <w:color w:val="000000"/>
                <w:sz w:val="16"/>
                <w:szCs w:val="16"/>
              </w:rPr>
              <w:t>　</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30301</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离休费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17.43</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17.43</w:t>
            </w: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宋体" w:cs="宋体"/>
                <w:color w:val="000000"/>
                <w:sz w:val="16"/>
                <w:szCs w:val="16"/>
              </w:rPr>
            </w:pPr>
            <w:r>
              <w:rPr>
                <w:rFonts w:hint="eastAsia"/>
                <w:color w:val="000000"/>
                <w:sz w:val="16"/>
                <w:szCs w:val="16"/>
              </w:rPr>
              <w:t>　</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30302</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退休费</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182.90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182.90</w:t>
            </w: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宋体" w:cs="宋体"/>
                <w:color w:val="000000"/>
                <w:sz w:val="16"/>
                <w:szCs w:val="16"/>
              </w:rPr>
            </w:pPr>
            <w:r>
              <w:rPr>
                <w:rFonts w:hint="eastAsia"/>
                <w:color w:val="000000"/>
                <w:sz w:val="16"/>
                <w:szCs w:val="16"/>
              </w:rPr>
              <w:t>　</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30304</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抚恤金</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74.00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74.00</w:t>
            </w: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宋体" w:cs="宋体"/>
                <w:color w:val="000000"/>
                <w:sz w:val="16"/>
                <w:szCs w:val="16"/>
              </w:rPr>
            </w:pPr>
            <w:r>
              <w:rPr>
                <w:rFonts w:hint="eastAsia"/>
                <w:color w:val="000000"/>
                <w:sz w:val="16"/>
                <w:szCs w:val="16"/>
              </w:rPr>
              <w:t>　</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30305</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生活补助</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20.92</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20.92</w:t>
            </w: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宋体" w:cs="宋体"/>
                <w:color w:val="000000"/>
                <w:sz w:val="16"/>
                <w:szCs w:val="16"/>
              </w:rPr>
            </w:pPr>
            <w:r>
              <w:rPr>
                <w:rFonts w:hint="eastAsia"/>
                <w:color w:val="000000"/>
                <w:sz w:val="16"/>
                <w:szCs w:val="16"/>
              </w:rPr>
              <w:t>　</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30307</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医疗费补助</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28.00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28.00</w:t>
            </w: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宋体" w:cs="宋体"/>
                <w:color w:val="000000"/>
                <w:sz w:val="16"/>
                <w:szCs w:val="16"/>
              </w:rPr>
            </w:pPr>
            <w:r>
              <w:rPr>
                <w:rFonts w:hint="eastAsia"/>
                <w:color w:val="000000"/>
                <w:sz w:val="16"/>
                <w:szCs w:val="16"/>
              </w:rPr>
              <w:t>　</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30309</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奖励金</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0.30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0.30</w:t>
            </w: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宋体" w:cs="宋体"/>
                <w:color w:val="000000"/>
                <w:sz w:val="16"/>
                <w:szCs w:val="16"/>
              </w:rPr>
            </w:pPr>
            <w:r>
              <w:rPr>
                <w:rFonts w:hint="eastAsia"/>
                <w:color w:val="000000"/>
                <w:sz w:val="16"/>
                <w:szCs w:val="16"/>
              </w:rPr>
              <w:t>　</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30399</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其他对个人和家庭的补助</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22.18</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22.18</w:t>
            </w:r>
          </w:p>
        </w:tc>
        <w:tc>
          <w:tcPr>
            <w:tcW w:w="1842" w:type="dxa"/>
            <w:tcBorders>
              <w:top w:val="nil"/>
              <w:left w:val="nil"/>
              <w:bottom w:val="single" w:sz="4" w:space="0" w:color="auto"/>
              <w:right w:val="single" w:sz="4" w:space="0" w:color="auto"/>
            </w:tcBorders>
            <w:shd w:val="clear" w:color="auto" w:fill="auto"/>
            <w:noWrap/>
            <w:vAlign w:val="center"/>
          </w:tcPr>
          <w:p>
            <w:pPr>
              <w:jc w:val="right"/>
              <w:rPr>
                <w:rFonts w:ascii="宋体" w:cs="宋体"/>
                <w:color w:val="000000"/>
                <w:sz w:val="16"/>
                <w:szCs w:val="16"/>
              </w:rPr>
            </w:pPr>
            <w:r>
              <w:rPr>
                <w:rFonts w:hint="eastAsia"/>
                <w:color w:val="000000"/>
                <w:sz w:val="16"/>
                <w:szCs w:val="16"/>
              </w:rPr>
              <w:t>　</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b/>
                <w:bCs/>
                <w:kern w:val="0"/>
                <w:sz w:val="18"/>
                <w:szCs w:val="18"/>
              </w:rPr>
            </w:pPr>
            <w:r>
              <w:rPr>
                <w:rFonts w:ascii="Times New Roman" w:cs="宋体" w:hAnsi="Times New Roman" w:hint="eastAsia"/>
                <w:b/>
                <w:bCs/>
                <w:kern w:val="0"/>
                <w:sz w:val="18"/>
                <w:szCs w:val="18"/>
              </w:rPr>
              <w:t>310</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b/>
                <w:bCs/>
                <w:kern w:val="0"/>
                <w:sz w:val="18"/>
                <w:szCs w:val="18"/>
              </w:rPr>
            </w:pPr>
            <w:r>
              <w:rPr>
                <w:rFonts w:ascii="Times New Roman" w:cs="宋体" w:hAnsi="Times New Roman" w:hint="eastAsia"/>
                <w:b/>
                <w:bCs/>
                <w:kern w:val="0"/>
                <w:sz w:val="18"/>
                <w:szCs w:val="18"/>
              </w:rPr>
              <w:t>资本性支出</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r>
              <w:rPr>
                <w:rFonts w:ascii="Times New Roman" w:cs="Times New Roman" w:hAnsi="Times New Roman" w:hint="eastAsia"/>
                <w:b/>
                <w:bCs/>
                <w:kern w:val="0"/>
                <w:sz w:val="18"/>
                <w:szCs w:val="18"/>
              </w:rPr>
              <w:t>261.20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r>
              <w:rPr>
                <w:rFonts w:ascii="Times New Roman" w:cs="Times New Roman" w:hAnsi="Times New Roman" w:hint="eastAsia"/>
                <w:b/>
                <w:bCs/>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r>
              <w:rPr>
                <w:rFonts w:ascii="Times New Roman" w:cs="Times New Roman" w:hAnsi="Times New Roman" w:hint="eastAsia"/>
                <w:b/>
                <w:bCs/>
                <w:kern w:val="0"/>
                <w:sz w:val="18"/>
                <w:szCs w:val="18"/>
              </w:rPr>
              <w:t>261.20</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31002</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办公设备购置</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169.18</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169.18</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31003</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专用设备购置</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82.02</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82.02</w:t>
            </w:r>
          </w:p>
        </w:tc>
      </w:tr>
      <w:tr>
        <w:trPr>
          <w:trHeight w:val="360"/>
        </w:trPr>
        <w:tc>
          <w:tcPr>
            <w:tcW w:w="993"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31007</w:t>
            </w:r>
          </w:p>
        </w:tc>
        <w:tc>
          <w:tcPr>
            <w:tcW w:w="3119"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信息网络及软件购置更新</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10.00</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　</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18"/>
                <w:szCs w:val="18"/>
              </w:rPr>
            </w:pPr>
            <w:r>
              <w:rPr>
                <w:rFonts w:ascii="Times New Roman" w:cs="Times New Roman" w:hAnsi="Times New Roman" w:hint="eastAsia"/>
                <w:kern w:val="0"/>
                <w:sz w:val="18"/>
                <w:szCs w:val="18"/>
              </w:rPr>
              <w:t>10.00</w:t>
            </w:r>
          </w:p>
        </w:tc>
      </w:tr>
      <w:tr>
        <w:trPr>
          <w:trHeight w:val="360"/>
        </w:trPr>
        <w:tc>
          <w:tcPr>
            <w:tcW w:w="4112" w:type="dxa"/>
            <w:gridSpan w:val="2"/>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b/>
                <w:bCs/>
                <w:kern w:val="0"/>
                <w:sz w:val="18"/>
                <w:szCs w:val="18"/>
              </w:rPr>
            </w:pPr>
            <w:r>
              <w:rPr>
                <w:rFonts w:ascii="Times New Roman" w:cs="宋体" w:hAnsi="Times New Roman" w:hint="eastAsia"/>
                <w:b/>
                <w:bCs/>
                <w:kern w:val="0"/>
                <w:sz w:val="18"/>
                <w:szCs w:val="18"/>
              </w:rPr>
              <w:t>合  计</w:t>
            </w:r>
          </w:p>
        </w:tc>
        <w:tc>
          <w:tcPr>
            <w:tcW w:w="212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r>
              <w:rPr>
                <w:rFonts w:ascii="Times New Roman" w:cs="Times New Roman" w:hAnsi="Times New Roman"/>
                <w:b/>
                <w:bCs/>
                <w:kern w:val="0"/>
                <w:sz w:val="18"/>
                <w:szCs w:val="18"/>
              </w:rPr>
              <w:t>27,167.43</w:t>
            </w:r>
          </w:p>
        </w:tc>
        <w:tc>
          <w:tcPr>
            <w:tcW w:w="198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r>
              <w:rPr>
                <w:rFonts w:ascii="Times New Roman" w:cs="Times New Roman" w:hAnsi="Times New Roman"/>
                <w:b/>
                <w:bCs/>
                <w:kern w:val="0"/>
                <w:sz w:val="18"/>
                <w:szCs w:val="18"/>
              </w:rPr>
              <w:t>19,329.29</w:t>
            </w:r>
          </w:p>
        </w:tc>
        <w:tc>
          <w:tcPr>
            <w:tcW w:w="184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b/>
                <w:bCs/>
                <w:kern w:val="0"/>
                <w:sz w:val="18"/>
                <w:szCs w:val="18"/>
              </w:rPr>
            </w:pPr>
            <w:r>
              <w:rPr>
                <w:rFonts w:ascii="Times New Roman" w:cs="Times New Roman" w:hAnsi="Times New Roman"/>
                <w:b/>
                <w:bCs/>
                <w:kern w:val="0"/>
                <w:sz w:val="18"/>
                <w:szCs w:val="18"/>
              </w:rPr>
              <w:t>7,838.14</w:t>
            </w:r>
          </w:p>
        </w:tc>
      </w:tr>
    </w:tbl>
    <w:p>
      <w:pPr>
        <w:jc w:val="center"/>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1389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977"/>
        <w:gridCol w:w="3402"/>
        <w:gridCol w:w="2552"/>
        <w:gridCol w:w="2551"/>
        <w:gridCol w:w="2410"/>
      </w:tblGrid>
      <w:tr>
        <w:trPr>
          <w:trHeight w:val="315"/>
        </w:trPr>
        <w:tc>
          <w:tcPr>
            <w:tcW w:w="2977" w:type="dxa"/>
            <w:tcBorders>
              <w:top w:val="nil"/>
              <w:left w:val="nil"/>
              <w:bottom w:val="nil"/>
              <w:right w:val="nil"/>
            </w:tcBorders>
            <w:shd w:val="clear" w:color="auto" w:fill="auto"/>
            <w:vAlign w:val="center"/>
          </w:tcPr>
          <w:p>
            <w:pPr>
              <w:widowControl/>
              <w:jc w:val="left"/>
              <w:rPr>
                <w:rFonts w:ascii="Times New Roman" w:cs="宋体" w:hAnsi="Times New Roman"/>
                <w:kern w:val="0"/>
                <w:sz w:val="24"/>
                <w:szCs w:val="24"/>
              </w:rPr>
            </w:pPr>
          </w:p>
        </w:tc>
        <w:tc>
          <w:tcPr>
            <w:tcW w:w="3402" w:type="dxa"/>
            <w:tcBorders>
              <w:top w:val="nil"/>
              <w:left w:val="nil"/>
              <w:bottom w:val="nil"/>
              <w:right w:val="nil"/>
            </w:tcBorders>
            <w:shd w:val="clear" w:color="auto" w:fill="auto"/>
            <w:vAlign w:val="center"/>
          </w:tcPr>
          <w:p>
            <w:pPr>
              <w:widowControl/>
              <w:jc w:val="left"/>
              <w:rPr>
                <w:rFonts w:ascii="Times New Roman" w:eastAsia="Times New Roman" w:cs="Times New Roman" w:hAnsi="Times New Roman"/>
                <w:kern w:val="0"/>
                <w:sz w:val="20"/>
                <w:szCs w:val="20"/>
              </w:rPr>
            </w:pPr>
          </w:p>
        </w:tc>
        <w:tc>
          <w:tcPr>
            <w:tcW w:w="2552" w:type="dxa"/>
            <w:tcBorders>
              <w:top w:val="nil"/>
              <w:left w:val="nil"/>
              <w:bottom w:val="nil"/>
              <w:right w:val="nil"/>
            </w:tcBorders>
            <w:shd w:val="clear" w:color="auto" w:fill="auto"/>
            <w:vAlign w:val="center"/>
          </w:tcPr>
          <w:p>
            <w:pPr>
              <w:widowControl/>
              <w:jc w:val="left"/>
              <w:rPr>
                <w:rFonts w:ascii="Times New Roman" w:eastAsia="Times New Roman" w:cs="Times New Roman" w:hAnsi="Times New Roman"/>
                <w:kern w:val="0"/>
                <w:sz w:val="20"/>
                <w:szCs w:val="20"/>
              </w:rPr>
            </w:pPr>
          </w:p>
        </w:tc>
        <w:tc>
          <w:tcPr>
            <w:tcW w:w="2551" w:type="dxa"/>
            <w:tcBorders>
              <w:top w:val="nil"/>
              <w:left w:val="nil"/>
              <w:bottom w:val="nil"/>
              <w:right w:val="nil"/>
            </w:tcBorders>
            <w:shd w:val="clear" w:color="auto" w:fill="auto"/>
            <w:vAlign w:val="center"/>
          </w:tcPr>
          <w:p>
            <w:pPr>
              <w:widowControl/>
              <w:jc w:val="left"/>
              <w:rPr>
                <w:rFonts w:ascii="Times New Roman" w:eastAsia="Times New Roman" w:cs="Times New Roman" w:hAnsi="Times New Roman"/>
                <w:kern w:val="0"/>
                <w:sz w:val="20"/>
                <w:szCs w:val="20"/>
              </w:rPr>
            </w:pPr>
          </w:p>
        </w:tc>
        <w:tc>
          <w:tcPr>
            <w:tcW w:w="2410" w:type="dxa"/>
            <w:tcBorders>
              <w:top w:val="nil"/>
              <w:left w:val="nil"/>
              <w:bottom w:val="nil"/>
              <w:right w:val="nil"/>
            </w:tcBorders>
            <w:shd w:val="clear" w:color="auto" w:fill="auto"/>
            <w:noWrap/>
            <w:vAlign w:val="center"/>
          </w:tcPr>
          <w:p>
            <w:pPr>
              <w:widowControl/>
              <w:jc w:val="right"/>
              <w:rPr>
                <w:rFonts w:ascii="Times New Roman" w:eastAsia="黑体" w:cs="宋体" w:hAnsi="Times New Roman"/>
                <w:kern w:val="0"/>
                <w:sz w:val="20"/>
                <w:szCs w:val="20"/>
              </w:rPr>
            </w:pPr>
            <w:r>
              <w:rPr>
                <w:rFonts w:ascii="Times New Roman" w:eastAsia="黑体" w:cs="宋体" w:hAnsi="Times New Roman" w:hint="eastAsia"/>
                <w:kern w:val="0"/>
                <w:sz w:val="20"/>
                <w:szCs w:val="20"/>
              </w:rPr>
              <w:t>部门公开表7</w:t>
            </w:r>
          </w:p>
        </w:tc>
      </w:tr>
      <w:tr>
        <w:trPr>
          <w:trHeight w:val="645"/>
        </w:trPr>
        <w:tc>
          <w:tcPr>
            <w:tcW w:w="13892" w:type="dxa"/>
            <w:gridSpan w:val="5"/>
            <w:tcBorders>
              <w:top w:val="nil"/>
              <w:left w:val="nil"/>
              <w:bottom w:val="nil"/>
              <w:right w:val="nil"/>
            </w:tcBorders>
            <w:shd w:val="clear" w:color="auto" w:fill="auto"/>
            <w:vAlign w:val="center"/>
          </w:tcPr>
          <w:p>
            <w:pPr>
              <w:widowControl/>
              <w:jc w:val="center"/>
              <w:rPr>
                <w:rFonts w:ascii="Times New Roman" w:cs="宋体" w:hAnsi="Times New Roman"/>
                <w:kern w:val="0"/>
                <w:sz w:val="36"/>
                <w:szCs w:val="36"/>
              </w:rPr>
            </w:pPr>
            <w:r>
              <w:rPr>
                <w:rFonts w:ascii="Times New Roman" w:cs="宋体" w:hAnsi="Times New Roman" w:hint="eastAsia"/>
                <w:kern w:val="0"/>
                <w:sz w:val="36"/>
                <w:szCs w:val="36"/>
              </w:rPr>
              <w:t>政府性基金预算支出表</w:t>
            </w:r>
          </w:p>
        </w:tc>
      </w:tr>
      <w:tr>
        <w:trPr>
          <w:trHeight w:val="435"/>
        </w:trPr>
        <w:tc>
          <w:tcPr>
            <w:tcW w:w="6379" w:type="dxa"/>
            <w:gridSpan w:val="2"/>
            <w:tcBorders>
              <w:top w:val="nil"/>
              <w:left w:val="nil"/>
              <w:bottom w:val="nil"/>
              <w:right w:val="nil"/>
            </w:tcBorders>
            <w:shd w:val="clear" w:color="auto" w:fill="auto"/>
            <w:noWrap/>
            <w:vAlign w:val="center"/>
          </w:tcPr>
          <w:p>
            <w:pPr>
              <w:widowControl/>
              <w:jc w:val="left"/>
              <w:rPr>
                <w:rFonts w:ascii="Times New Roman" w:cs="宋体" w:hAnsi="Times New Roman"/>
                <w:kern w:val="0"/>
                <w:sz w:val="36"/>
                <w:szCs w:val="36"/>
              </w:rPr>
            </w:pPr>
            <w:r>
              <w:rPr>
                <w:rFonts w:ascii="Times New Roman" w:cs="宋体" w:hAnsi="Times New Roman" w:hint="eastAsia"/>
                <w:color w:val="000000"/>
                <w:kern w:val="0"/>
                <w:sz w:val="18"/>
                <w:szCs w:val="18"/>
              </w:rPr>
              <w:t>单位名称：中华人民共和国呼和浩特海关</w:t>
            </w:r>
          </w:p>
        </w:tc>
        <w:tc>
          <w:tcPr>
            <w:tcW w:w="2552" w:type="dxa"/>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2551" w:type="dxa"/>
            <w:tcBorders>
              <w:top w:val="nil"/>
              <w:left w:val="nil"/>
              <w:bottom w:val="single" w:sz="4" w:space="0" w:color="auto"/>
              <w:right w:val="nil"/>
            </w:tcBorders>
            <w:shd w:val="clear" w:color="auto" w:fill="auto"/>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2410" w:type="dxa"/>
            <w:tcBorders>
              <w:top w:val="nil"/>
              <w:left w:val="nil"/>
              <w:bottom w:val="single" w:sz="4" w:space="0" w:color="auto"/>
              <w:right w:val="nil"/>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单位：万元</w:t>
            </w:r>
          </w:p>
        </w:tc>
      </w:tr>
      <w:tr>
        <w:trPr>
          <w:trHeight w:hRule="exact" w:val="567"/>
        </w:trPr>
        <w:tc>
          <w:tcPr>
            <w:tcW w:w="29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科目编码</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科目名称</w:t>
            </w:r>
          </w:p>
        </w:tc>
        <w:tc>
          <w:tcPr>
            <w:tcW w:w="7513" w:type="dxa"/>
            <w:gridSpan w:val="3"/>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2023年政府性基金预算支出</w:t>
            </w:r>
          </w:p>
        </w:tc>
      </w:tr>
      <w:tr>
        <w:trPr>
          <w:trHeight w:hRule="exact" w:val="567"/>
        </w:trPr>
        <w:tc>
          <w:tcPr>
            <w:tcW w:w="2977" w:type="dxa"/>
            <w:vMerge/>
            <w:tcBorders>
              <w:top w:val="single" w:sz="4" w:space="0" w:color="auto"/>
              <w:left w:val="single" w:sz="4" w:space="0" w:color="auto"/>
              <w:bottom w:val="single" w:sz="4" w:space="0" w:color="auto"/>
              <w:right w:val="single" w:sz="4" w:space="0" w:color="auto"/>
            </w:tcBorders>
            <w:vAlign w:val="center"/>
          </w:tcPr>
          <w:p/>
        </w:tc>
        <w:tc>
          <w:tcPr>
            <w:tcW w:w="3402" w:type="dxa"/>
            <w:vMerge/>
            <w:tcBorders>
              <w:top w:val="single" w:sz="4" w:space="0" w:color="auto"/>
              <w:left w:val="single" w:sz="4" w:space="0" w:color="auto"/>
              <w:bottom w:val="single" w:sz="4" w:space="0" w:color="auto"/>
              <w:right w:val="single" w:sz="4" w:space="0" w:color="auto"/>
            </w:tcBorders>
            <w:vAlign w:val="center"/>
          </w:tcPr>
          <w:p/>
        </w:tc>
        <w:tc>
          <w:tcPr>
            <w:tcW w:w="2552" w:type="dxa"/>
            <w:tcBorders>
              <w:top w:val="nil"/>
              <w:left w:val="nil"/>
              <w:bottom w:val="nil"/>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合计</w:t>
            </w:r>
          </w:p>
        </w:tc>
        <w:tc>
          <w:tcPr>
            <w:tcW w:w="2551" w:type="dxa"/>
            <w:tcBorders>
              <w:top w:val="nil"/>
              <w:left w:val="nil"/>
              <w:bottom w:val="single" w:sz="4" w:space="0" w:color="auto"/>
              <w:right w:val="nil"/>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基本支出</w:t>
            </w:r>
          </w:p>
        </w:tc>
        <w:tc>
          <w:tcPr>
            <w:tcW w:w="2410" w:type="dxa"/>
            <w:tcBorders>
              <w:top w:val="nil"/>
              <w:left w:val="single" w:sz="4" w:space="0" w:color="auto"/>
              <w:bottom w:val="nil"/>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项目支出</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2552"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410" w:type="dxa"/>
            <w:tcBorders>
              <w:top w:val="single" w:sz="4" w:space="0" w:color="auto"/>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kern w:val="0"/>
                <w:sz w:val="20"/>
                <w:szCs w:val="20"/>
              </w:rPr>
            </w:pPr>
            <w:r>
              <w:rPr>
                <w:rFonts w:ascii="Times New Roman" w:cs="宋体" w:hAnsi="Times New Roman" w:hint="eastAsia"/>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　</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r>
      <w:tr>
        <w:trPr>
          <w:trHeight w:hRule="exact" w:val="567"/>
        </w:trPr>
        <w:tc>
          <w:tcPr>
            <w:tcW w:w="637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合  计</w:t>
            </w:r>
          </w:p>
        </w:tc>
        <w:tc>
          <w:tcPr>
            <w:tcW w:w="255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宋体" w:hAnsi="Times New Roman"/>
                <w:kern w:val="0"/>
                <w:sz w:val="20"/>
                <w:szCs w:val="20"/>
              </w:rPr>
            </w:pPr>
            <w:r>
              <w:rPr>
                <w:rFonts w:ascii="Times New Roman" w:cs="宋体" w:hAnsi="Times New Roman" w:hint="eastAsia"/>
                <w:kern w:val="0"/>
                <w:sz w:val="20"/>
                <w:szCs w:val="20"/>
              </w:rPr>
              <w:t>　</w:t>
            </w:r>
          </w:p>
        </w:tc>
      </w:tr>
    </w:tbl>
    <w:p>
      <w:pPr>
        <w:rPr>
          <w:rFonts w:ascii="Times New Roman" w:eastAsia="方正仿宋_GBK" w:cs="Times New Roman" w:hAnsi="Times New Roman"/>
          <w:sz w:val="24"/>
          <w:szCs w:val="24"/>
        </w:rPr>
      </w:pPr>
      <w:r>
        <w:rPr>
          <w:rFonts w:ascii="Times New Roman" w:eastAsia="方正仿宋_GBK" w:cs="Times New Roman" w:hAnsi="Times New Roman" w:hint="eastAsia"/>
          <w:sz w:val="24"/>
          <w:szCs w:val="24"/>
        </w:rPr>
        <w:t>注</w:t>
      </w:r>
      <w:r>
        <w:rPr>
          <w:rFonts w:ascii="Times New Roman" w:eastAsia="方正仿宋_GBK" w:cs="Times New Roman" w:hAnsi="Times New Roman"/>
          <w:sz w:val="24"/>
          <w:szCs w:val="24"/>
        </w:rPr>
        <w:t>：</w:t>
      </w:r>
      <w:r>
        <w:rPr>
          <w:rFonts w:ascii="Times New Roman" w:eastAsia="方正仿宋_GBK" w:cs="Times New Roman" w:hAnsi="Times New Roman" w:hint="eastAsia"/>
          <w:sz w:val="24"/>
          <w:szCs w:val="24"/>
        </w:rPr>
        <w:t>呼和浩特</w:t>
      </w:r>
      <w:r>
        <w:rPr>
          <w:rFonts w:ascii="Times New Roman" w:eastAsia="方正仿宋_GBK" w:cs="Times New Roman" w:hAnsi="Times New Roman"/>
          <w:sz w:val="24"/>
          <w:szCs w:val="24"/>
        </w:rPr>
        <w:t>海关无</w:t>
      </w:r>
      <w:r>
        <w:rPr>
          <w:rFonts w:ascii="Times New Roman" w:eastAsia="方正仿宋_GBK" w:cs="Times New Roman" w:hAnsi="Times New Roman" w:hint="eastAsia"/>
          <w:sz w:val="24"/>
          <w:szCs w:val="24"/>
        </w:rPr>
        <w:t>政府性基金预算拨款收入，也无使用政府性基金安排的支出，故本表无数据。</w:t>
      </w:r>
    </w:p>
    <w:p>
      <w:pPr>
        <w:jc w:val="center"/>
        <w:rPr>
          <w:rFonts w:ascii="Times New Roman" w:eastAsia="方正仿宋_GBK" w:hAnsi="Times New Roman"/>
          <w:sz w:val="32"/>
          <w:szCs w:val="32"/>
        </w:rPr>
      </w:pPr>
    </w:p>
    <w:p>
      <w:pPr>
        <w:jc w:val="center"/>
        <w:rPr>
          <w:rFonts w:ascii="Times New Roman" w:eastAsia="方正仿宋_GBK" w:hAnsi="Times New Roman"/>
          <w:sz w:val="32"/>
          <w:szCs w:val="32"/>
        </w:rPr>
      </w:pPr>
    </w:p>
    <w:tbl>
      <w:tblPr>
        <w:jc w:val="center"/>
        <w:tblW w:w="1408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119"/>
        <w:gridCol w:w="3402"/>
        <w:gridCol w:w="2551"/>
        <w:gridCol w:w="2410"/>
        <w:gridCol w:w="2598"/>
      </w:tblGrid>
      <w:tr>
        <w:trPr>
          <w:trHeight w:val="285"/>
        </w:trPr>
        <w:tc>
          <w:tcPr>
            <w:tcW w:w="3119" w:type="dxa"/>
            <w:tcBorders>
              <w:top w:val="nil"/>
              <w:left w:val="nil"/>
              <w:bottom w:val="nil"/>
              <w:right w:val="nil"/>
            </w:tcBorders>
            <w:shd w:val="clear" w:color="auto" w:fill="auto"/>
            <w:noWrap/>
            <w:vAlign w:val="center"/>
          </w:tcPr>
          <w:p>
            <w:pPr>
              <w:widowControl/>
              <w:jc w:val="left"/>
              <w:rPr>
                <w:rFonts w:ascii="Times New Roman" w:cs="宋体" w:hAnsi="Times New Roman"/>
                <w:kern w:val="0"/>
                <w:sz w:val="24"/>
                <w:szCs w:val="24"/>
              </w:rPr>
            </w:pPr>
          </w:p>
        </w:tc>
        <w:tc>
          <w:tcPr>
            <w:tcW w:w="3402"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2551"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2410"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2598" w:type="dxa"/>
            <w:tcBorders>
              <w:top w:val="nil"/>
              <w:left w:val="nil"/>
              <w:bottom w:val="nil"/>
              <w:right w:val="nil"/>
            </w:tcBorders>
            <w:shd w:val="clear" w:color="auto" w:fill="auto"/>
            <w:noWrap/>
            <w:vAlign w:val="center"/>
          </w:tcPr>
          <w:p>
            <w:pPr>
              <w:widowControl/>
              <w:jc w:val="right"/>
              <w:rPr>
                <w:rFonts w:ascii="Times New Roman" w:eastAsia="黑体" w:cs="宋体" w:hAnsi="Times New Roman"/>
                <w:kern w:val="0"/>
                <w:sz w:val="20"/>
                <w:szCs w:val="20"/>
              </w:rPr>
            </w:pPr>
            <w:r>
              <w:rPr>
                <w:rFonts w:ascii="Times New Roman" w:eastAsia="黑体" w:cs="宋体" w:hAnsi="Times New Roman" w:hint="eastAsia"/>
                <w:kern w:val="0"/>
                <w:sz w:val="20"/>
                <w:szCs w:val="20"/>
              </w:rPr>
              <w:t>部门公开表8</w:t>
            </w:r>
          </w:p>
        </w:tc>
      </w:tr>
      <w:tr>
        <w:trPr>
          <w:trHeight w:val="450"/>
        </w:trPr>
        <w:tc>
          <w:tcPr>
            <w:tcW w:w="14080" w:type="dxa"/>
            <w:gridSpan w:val="5"/>
            <w:tcBorders>
              <w:top w:val="nil"/>
              <w:left w:val="nil"/>
              <w:bottom w:val="nil"/>
              <w:right w:val="nil"/>
            </w:tcBorders>
            <w:shd w:val="clear" w:color="auto" w:fill="auto"/>
            <w:vAlign w:val="center"/>
          </w:tcPr>
          <w:p>
            <w:pPr>
              <w:widowControl/>
              <w:jc w:val="center"/>
              <w:rPr>
                <w:rFonts w:ascii="Times New Roman" w:cs="宋体" w:hAnsi="Times New Roman"/>
                <w:kern w:val="0"/>
                <w:sz w:val="36"/>
                <w:szCs w:val="36"/>
              </w:rPr>
            </w:pPr>
            <w:r>
              <w:rPr>
                <w:rFonts w:ascii="Times New Roman" w:cs="宋体" w:hAnsi="Times New Roman" w:hint="eastAsia"/>
                <w:kern w:val="0"/>
                <w:sz w:val="36"/>
                <w:szCs w:val="36"/>
              </w:rPr>
              <w:t>国有资本经营预算支出表</w:t>
            </w:r>
          </w:p>
        </w:tc>
      </w:tr>
      <w:tr>
        <w:trPr>
          <w:trHeight w:val="285"/>
        </w:trPr>
        <w:tc>
          <w:tcPr>
            <w:tcW w:w="6521" w:type="dxa"/>
            <w:gridSpan w:val="2"/>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color w:val="000000"/>
                <w:kern w:val="0"/>
                <w:sz w:val="18"/>
                <w:szCs w:val="18"/>
              </w:rPr>
            </w:pPr>
            <w:r>
              <w:rPr>
                <w:rFonts w:ascii="Times New Roman" w:cs="宋体" w:hAnsi="Times New Roman" w:hint="eastAsia"/>
                <w:color w:val="000000"/>
                <w:kern w:val="0"/>
                <w:sz w:val="18"/>
                <w:szCs w:val="18"/>
              </w:rPr>
              <w:t>　单位名称：中华人民共和国呼和浩特海关</w:t>
            </w:r>
          </w:p>
        </w:tc>
        <w:tc>
          <w:tcPr>
            <w:tcW w:w="2551" w:type="dxa"/>
            <w:tcBorders>
              <w:top w:val="nil"/>
              <w:left w:val="nil"/>
              <w:bottom w:val="single" w:sz="4" w:space="0" w:color="auto"/>
              <w:right w:val="nil"/>
            </w:tcBorders>
            <w:shd w:val="clear" w:color="auto" w:fill="auto"/>
            <w:noWrap/>
            <w:vAlign w:val="center"/>
          </w:tcPr>
          <w:p>
            <w:pPr>
              <w:widowControl/>
              <w:jc w:val="center"/>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2410" w:type="dxa"/>
            <w:tcBorders>
              <w:top w:val="nil"/>
              <w:left w:val="nil"/>
              <w:bottom w:val="single" w:sz="4" w:space="0" w:color="auto"/>
              <w:right w:val="nil"/>
            </w:tcBorders>
            <w:shd w:val="clear" w:color="auto" w:fill="auto"/>
            <w:noWrap/>
            <w:vAlign w:val="center"/>
          </w:tcPr>
          <w:p>
            <w:pPr>
              <w:widowControl/>
              <w:jc w:val="center"/>
              <w:rPr>
                <w:rFonts w:ascii="Times New Roman" w:cs="宋体" w:hAnsi="Times New Roman"/>
                <w:color w:val="000000"/>
                <w:kern w:val="0"/>
                <w:sz w:val="22"/>
              </w:rPr>
            </w:pPr>
            <w:r>
              <w:rPr>
                <w:rFonts w:ascii="Times New Roman" w:cs="宋体" w:hAnsi="Times New Roman" w:hint="eastAsia"/>
                <w:color w:val="000000"/>
                <w:kern w:val="0"/>
                <w:sz w:val="22"/>
              </w:rPr>
              <w:t>　</w:t>
            </w:r>
          </w:p>
        </w:tc>
        <w:tc>
          <w:tcPr>
            <w:tcW w:w="2598" w:type="dxa"/>
            <w:tcBorders>
              <w:top w:val="nil"/>
              <w:left w:val="nil"/>
              <w:bottom w:val="nil"/>
              <w:right w:val="nil"/>
            </w:tcBorders>
            <w:shd w:val="clear" w:color="auto" w:fill="auto"/>
            <w:noWrap/>
            <w:vAlign w:val="center"/>
          </w:tcPr>
          <w:p>
            <w:pPr>
              <w:widowControl/>
              <w:jc w:val="right"/>
              <w:rPr>
                <w:rFonts w:ascii="Times New Roman" w:cs="宋体" w:hAnsi="Times New Roman"/>
                <w:color w:val="000000"/>
                <w:kern w:val="0"/>
                <w:sz w:val="20"/>
                <w:szCs w:val="20"/>
              </w:rPr>
            </w:pPr>
            <w:r>
              <w:rPr>
                <w:rFonts w:ascii="Times New Roman" w:cs="宋体" w:hAnsi="Times New Roman" w:hint="eastAsia"/>
                <w:color w:val="000000"/>
                <w:kern w:val="0"/>
                <w:sz w:val="20"/>
                <w:szCs w:val="20"/>
              </w:rPr>
              <w:t>单位：万元</w:t>
            </w:r>
          </w:p>
        </w:tc>
      </w:tr>
      <w:tr>
        <w:trPr>
          <w:trHeight w:hRule="exact" w:val="567"/>
        </w:trPr>
        <w:tc>
          <w:tcPr>
            <w:tcW w:w="3119"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科目编码</w:t>
            </w:r>
          </w:p>
        </w:tc>
        <w:tc>
          <w:tcPr>
            <w:tcW w:w="3402"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科目名称</w:t>
            </w:r>
          </w:p>
        </w:tc>
        <w:tc>
          <w:tcPr>
            <w:tcW w:w="7559" w:type="dxa"/>
            <w:gridSpan w:val="3"/>
            <w:tcBorders>
              <w:top w:val="single" w:sz="4" w:space="0" w:color="auto"/>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2023年国有资本经营预算支出</w:t>
            </w:r>
          </w:p>
        </w:tc>
      </w:tr>
      <w:tr>
        <w:trPr>
          <w:trHeight w:hRule="exact" w:val="567"/>
        </w:trPr>
        <w:tc>
          <w:tcPr>
            <w:tcW w:w="3119" w:type="dxa"/>
            <w:vMerge/>
            <w:tcBorders>
              <w:top w:val="nil"/>
              <w:left w:val="single" w:sz="4" w:space="0" w:color="auto"/>
              <w:bottom w:val="single" w:sz="4" w:space="0" w:color="auto"/>
              <w:right w:val="single" w:sz="4" w:space="0" w:color="auto"/>
            </w:tcBorders>
            <w:vAlign w:val="center"/>
          </w:tcPr>
          <w:p/>
        </w:tc>
        <w:tc>
          <w:tcPr>
            <w:tcW w:w="3402" w:type="dxa"/>
            <w:vMerge/>
            <w:tcBorders>
              <w:top w:val="nil"/>
              <w:left w:val="single" w:sz="4" w:space="0" w:color="auto"/>
              <w:bottom w:val="single" w:sz="4" w:space="0" w:color="auto"/>
              <w:right w:val="single" w:sz="4" w:space="0" w:color="auto"/>
            </w:tcBorders>
            <w:vAlign w:val="center"/>
          </w:tcPr>
          <w:p/>
        </w:tc>
        <w:tc>
          <w:tcPr>
            <w:tcW w:w="2551"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小计</w:t>
            </w:r>
          </w:p>
        </w:tc>
        <w:tc>
          <w:tcPr>
            <w:tcW w:w="2410"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基本支出</w:t>
            </w:r>
          </w:p>
        </w:tc>
        <w:tc>
          <w:tcPr>
            <w:tcW w:w="2598"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项目支出</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jc w:val="left"/>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r>
      <w:tr>
        <w:trPr>
          <w:trHeight w:hRule="exact" w:val="567"/>
        </w:trPr>
        <w:tc>
          <w:tcPr>
            <w:tcW w:w="65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合   计</w:t>
            </w:r>
          </w:p>
        </w:tc>
        <w:tc>
          <w:tcPr>
            <w:tcW w:w="2551"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宋体" w:hAnsi="Times New Roman"/>
                <w:color w:val="000000"/>
                <w:kern w:val="0"/>
                <w:sz w:val="20"/>
                <w:szCs w:val="20"/>
              </w:rPr>
            </w:pPr>
            <w:r>
              <w:rPr>
                <w:rFonts w:ascii="Times New Roman" w:cs="宋体" w:hAnsi="Times New Roman" w:hint="eastAsia"/>
                <w:color w:val="000000"/>
                <w:kern w:val="0"/>
                <w:sz w:val="20"/>
                <w:szCs w:val="20"/>
              </w:rPr>
              <w:t>　</w:t>
            </w:r>
          </w:p>
        </w:tc>
      </w:tr>
    </w:tbl>
    <w:p>
      <w:pPr>
        <w:rPr>
          <w:rFonts w:ascii="Times New Roman" w:eastAsia="方正仿宋_GBK" w:cs="Times New Roman" w:hAnsi="Times New Roman"/>
          <w:sz w:val="24"/>
          <w:szCs w:val="24"/>
        </w:rPr>
      </w:pPr>
      <w:r>
        <w:rPr>
          <w:rFonts w:ascii="Times New Roman" w:eastAsia="方正仿宋_GBK" w:cs="Times New Roman" w:hAnsi="Times New Roman" w:hint="eastAsia"/>
          <w:sz w:val="24"/>
          <w:szCs w:val="24"/>
        </w:rPr>
        <w:t>注</w:t>
      </w:r>
      <w:r>
        <w:rPr>
          <w:rFonts w:ascii="Times New Roman" w:eastAsia="方正仿宋_GBK" w:cs="Times New Roman" w:hAnsi="Times New Roman"/>
          <w:sz w:val="24"/>
          <w:szCs w:val="24"/>
        </w:rPr>
        <w:t>：</w:t>
      </w:r>
      <w:r>
        <w:rPr>
          <w:rFonts w:ascii="Times New Roman" w:eastAsia="方正仿宋_GBK" w:cs="Times New Roman" w:hAnsi="Times New Roman" w:hint="eastAsia"/>
          <w:sz w:val="24"/>
          <w:szCs w:val="24"/>
        </w:rPr>
        <w:t>呼和浩特</w:t>
      </w:r>
      <w:r>
        <w:rPr>
          <w:rFonts w:ascii="Times New Roman" w:eastAsia="方正仿宋_GBK" w:cs="Times New Roman" w:hAnsi="Times New Roman"/>
          <w:sz w:val="24"/>
          <w:szCs w:val="24"/>
        </w:rPr>
        <w:t>海关无</w:t>
      </w:r>
      <w:r>
        <w:rPr>
          <w:rFonts w:ascii="Times New Roman" w:eastAsia="方正仿宋_GBK" w:cs="Times New Roman" w:hAnsi="Times New Roman" w:hint="eastAsia"/>
          <w:sz w:val="24"/>
          <w:szCs w:val="24"/>
        </w:rPr>
        <w:t>国有资本经营</w:t>
      </w:r>
      <w:r>
        <w:rPr>
          <w:rFonts w:ascii="Times New Roman" w:eastAsia="方正仿宋_GBK" w:cs="Times New Roman" w:hAnsi="Times New Roman"/>
          <w:sz w:val="24"/>
          <w:szCs w:val="24"/>
        </w:rPr>
        <w:t>预算</w:t>
      </w:r>
      <w:r>
        <w:rPr>
          <w:rFonts w:ascii="Times New Roman" w:eastAsia="方正仿宋_GBK" w:cs="Times New Roman" w:hAnsi="Times New Roman" w:hint="eastAsia"/>
          <w:sz w:val="24"/>
          <w:szCs w:val="24"/>
        </w:rPr>
        <w:t>收入，也无国有资本经营预算安排的支出，故本表无数据。</w:t>
      </w:r>
    </w:p>
    <w:p>
      <w:pPr>
        <w:jc w:val="center"/>
        <w:rPr>
          <w:rFonts w:ascii="Times New Roman" w:eastAsia="方正仿宋_GBK" w:hAnsi="Times New Roman"/>
          <w:sz w:val="32"/>
          <w:szCs w:val="32"/>
        </w:rPr>
      </w:pPr>
    </w:p>
    <w:p>
      <w:pPr>
        <w:rPr>
          <w:rFonts w:ascii="Times New Roman" w:eastAsia="方正仿宋_GBK" w:hAnsi="Times New Roman"/>
          <w:sz w:val="32"/>
          <w:szCs w:val="32"/>
        </w:rPr>
      </w:pPr>
    </w:p>
    <w:tbl>
      <w:tblPr>
        <w:tblpPr w:leftFromText="180" w:rightFromText="180" w:horzAnchor="margin" w:tblpXSpec="center" w:tblpY="405"/>
        <w:tblW w:w="142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016"/>
        <w:gridCol w:w="1108"/>
        <w:gridCol w:w="1278"/>
        <w:gridCol w:w="1134"/>
        <w:gridCol w:w="1134"/>
        <w:gridCol w:w="1407"/>
        <w:gridCol w:w="1016"/>
        <w:gridCol w:w="1272"/>
        <w:gridCol w:w="1175"/>
        <w:gridCol w:w="1134"/>
        <w:gridCol w:w="1134"/>
        <w:gridCol w:w="1445"/>
      </w:tblGrid>
      <w:tr>
        <w:trPr>
          <w:trHeight w:val="285"/>
        </w:trPr>
        <w:tc>
          <w:tcPr>
            <w:tcW w:w="1016" w:type="dxa"/>
            <w:tcBorders>
              <w:top w:val="nil"/>
              <w:left w:val="nil"/>
              <w:bottom w:val="nil"/>
              <w:right w:val="nil"/>
            </w:tcBorders>
            <w:shd w:val="clear" w:color="auto" w:fill="auto"/>
            <w:noWrap/>
            <w:vAlign w:val="center"/>
          </w:tcPr>
          <w:p>
            <w:pPr>
              <w:widowControl/>
              <w:jc w:val="left"/>
              <w:rPr>
                <w:rFonts w:ascii="Times New Roman" w:cs="宋体" w:hAnsi="Times New Roman"/>
                <w:kern w:val="0"/>
                <w:sz w:val="24"/>
                <w:szCs w:val="24"/>
              </w:rPr>
            </w:pPr>
          </w:p>
        </w:tc>
        <w:tc>
          <w:tcPr>
            <w:tcW w:w="1108"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278"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134"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134"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407"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016"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272"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175"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134"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134" w:type="dxa"/>
            <w:tcBorders>
              <w:top w:val="nil"/>
              <w:left w:val="nil"/>
              <w:bottom w:val="nil"/>
              <w:right w:val="nil"/>
            </w:tcBorders>
            <w:shd w:val="clear" w:color="auto" w:fill="auto"/>
            <w:noWrap/>
            <w:vAlign w:val="center"/>
          </w:tcPr>
          <w:p>
            <w:pPr>
              <w:widowControl/>
              <w:jc w:val="left"/>
              <w:rPr>
                <w:rFonts w:ascii="Times New Roman" w:eastAsia="Times New Roman" w:cs="Times New Roman" w:hAnsi="Times New Roman"/>
                <w:kern w:val="0"/>
                <w:sz w:val="20"/>
                <w:szCs w:val="20"/>
              </w:rPr>
            </w:pPr>
          </w:p>
        </w:tc>
        <w:tc>
          <w:tcPr>
            <w:tcW w:w="1445" w:type="dxa"/>
            <w:tcBorders>
              <w:top w:val="nil"/>
              <w:left w:val="nil"/>
              <w:bottom w:val="nil"/>
              <w:right w:val="nil"/>
            </w:tcBorders>
            <w:shd w:val="clear" w:color="auto" w:fill="auto"/>
            <w:noWrap/>
            <w:vAlign w:val="center"/>
          </w:tcPr>
          <w:p>
            <w:pPr>
              <w:widowControl/>
              <w:jc w:val="right"/>
              <w:rPr>
                <w:rFonts w:ascii="Times New Roman" w:eastAsia="黑体" w:cs="宋体" w:hAnsi="Times New Roman"/>
                <w:kern w:val="0"/>
                <w:sz w:val="20"/>
                <w:szCs w:val="20"/>
              </w:rPr>
            </w:pPr>
            <w:r>
              <w:rPr>
                <w:rFonts w:ascii="Times New Roman" w:eastAsia="黑体" w:cs="宋体" w:hAnsi="Times New Roman" w:hint="eastAsia"/>
                <w:kern w:val="0"/>
                <w:sz w:val="20"/>
                <w:szCs w:val="20"/>
              </w:rPr>
              <w:t>部门公开表9</w:t>
            </w:r>
          </w:p>
        </w:tc>
      </w:tr>
      <w:tr>
        <w:trPr>
          <w:trHeight w:val="405"/>
        </w:trPr>
        <w:tc>
          <w:tcPr>
            <w:tcW w:w="14253" w:type="dxa"/>
            <w:gridSpan w:val="12"/>
            <w:tcBorders>
              <w:top w:val="nil"/>
              <w:left w:val="nil"/>
              <w:bottom w:val="nil"/>
              <w:right w:val="nil"/>
            </w:tcBorders>
            <w:shd w:val="clear" w:color="auto" w:fill="auto"/>
            <w:noWrap/>
            <w:vAlign w:val="center"/>
          </w:tcPr>
          <w:p>
            <w:pPr>
              <w:widowControl/>
              <w:jc w:val="center"/>
              <w:rPr>
                <w:rFonts w:ascii="Times New Roman" w:cs="宋体" w:hAnsi="Times New Roman"/>
                <w:kern w:val="0"/>
                <w:sz w:val="36"/>
                <w:szCs w:val="36"/>
              </w:rPr>
            </w:pPr>
            <w:r>
              <w:rPr>
                <w:rFonts w:ascii="Times New Roman" w:cs="宋体" w:hAnsi="Times New Roman" w:hint="eastAsia"/>
                <w:kern w:val="0"/>
                <w:sz w:val="36"/>
                <w:szCs w:val="36"/>
              </w:rPr>
              <w:t>财政拨款预算“三公”经费支出表</w:t>
            </w:r>
          </w:p>
        </w:tc>
      </w:tr>
      <w:tr>
        <w:trPr>
          <w:trHeight w:val="327"/>
        </w:trPr>
        <w:tc>
          <w:tcPr>
            <w:tcW w:w="4536" w:type="dxa"/>
            <w:gridSpan w:val="4"/>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r>
              <w:rPr>
                <w:rFonts w:ascii="Times New Roman" w:cs="宋体" w:hAnsi="Times New Roman" w:hint="eastAsia"/>
                <w:color w:val="000000"/>
                <w:kern w:val="0"/>
                <w:sz w:val="18"/>
                <w:szCs w:val="18"/>
              </w:rPr>
              <w:t>单位名称：中华人民共和国呼和浩特海关</w:t>
            </w:r>
          </w:p>
        </w:tc>
        <w:tc>
          <w:tcPr>
            <w:tcW w:w="1134"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407"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016"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272"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175"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134"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134" w:type="dxa"/>
            <w:tcBorders>
              <w:top w:val="nil"/>
              <w:left w:val="nil"/>
              <w:bottom w:val="single" w:sz="4" w:space="0" w:color="auto"/>
              <w:right w:val="nil"/>
            </w:tcBorders>
            <w:shd w:val="clear" w:color="auto" w:fill="auto"/>
            <w:noWrap/>
            <w:vAlign w:val="center"/>
          </w:tcPr>
          <w:p>
            <w:pPr>
              <w:widowControl/>
              <w:jc w:val="left"/>
              <w:rPr>
                <w:rFonts w:ascii="Times New Roman" w:cs="宋体" w:hAnsi="Times New Roman"/>
                <w:kern w:val="0"/>
                <w:sz w:val="18"/>
                <w:szCs w:val="18"/>
              </w:rPr>
            </w:pPr>
            <w:r>
              <w:rPr>
                <w:rFonts w:ascii="Times New Roman" w:cs="宋体" w:hAnsi="Times New Roman" w:hint="eastAsia"/>
                <w:kern w:val="0"/>
                <w:sz w:val="18"/>
                <w:szCs w:val="18"/>
              </w:rPr>
              <w:t>　</w:t>
            </w:r>
          </w:p>
        </w:tc>
        <w:tc>
          <w:tcPr>
            <w:tcW w:w="1445" w:type="dxa"/>
            <w:tcBorders>
              <w:top w:val="nil"/>
              <w:left w:val="nil"/>
              <w:bottom w:val="single" w:sz="4" w:space="0" w:color="auto"/>
              <w:right w:val="nil"/>
            </w:tcBorders>
            <w:shd w:val="clear" w:color="auto" w:fill="auto"/>
            <w:noWrap/>
            <w:vAlign w:val="center"/>
          </w:tcPr>
          <w:p>
            <w:pPr>
              <w:widowControl/>
              <w:jc w:val="right"/>
              <w:rPr>
                <w:rFonts w:ascii="Times New Roman" w:cs="宋体" w:hAnsi="Times New Roman"/>
                <w:kern w:val="0"/>
                <w:sz w:val="18"/>
                <w:szCs w:val="18"/>
              </w:rPr>
            </w:pPr>
            <w:r>
              <w:rPr>
                <w:rFonts w:ascii="Times New Roman" w:cs="宋体" w:hAnsi="Times New Roman" w:hint="eastAsia"/>
                <w:kern w:val="0"/>
                <w:sz w:val="18"/>
                <w:szCs w:val="18"/>
              </w:rPr>
              <w:t>单位：万元</w:t>
            </w:r>
          </w:p>
        </w:tc>
      </w:tr>
      <w:tr>
        <w:trPr>
          <w:trHeight w:val="660"/>
        </w:trPr>
        <w:tc>
          <w:tcPr>
            <w:tcW w:w="7077"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2022年预算数</w:t>
            </w:r>
          </w:p>
        </w:tc>
        <w:tc>
          <w:tcPr>
            <w:tcW w:w="7176" w:type="dxa"/>
            <w:gridSpan w:val="6"/>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2023年预算数</w:t>
            </w:r>
          </w:p>
        </w:tc>
      </w:tr>
      <w:tr>
        <w:trPr>
          <w:trHeight w:val="870"/>
        </w:trPr>
        <w:tc>
          <w:tcPr>
            <w:tcW w:w="1016"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合计</w:t>
            </w:r>
          </w:p>
        </w:tc>
        <w:tc>
          <w:tcPr>
            <w:tcW w:w="1108"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因公出国（境）费</w:t>
            </w:r>
          </w:p>
        </w:tc>
        <w:tc>
          <w:tcPr>
            <w:tcW w:w="3546" w:type="dxa"/>
            <w:gridSpan w:val="3"/>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公务用车购置及运行费</w:t>
            </w:r>
          </w:p>
        </w:tc>
        <w:tc>
          <w:tcPr>
            <w:tcW w:w="1407"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公务接待费</w:t>
            </w:r>
          </w:p>
        </w:tc>
        <w:tc>
          <w:tcPr>
            <w:tcW w:w="1016"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合计</w:t>
            </w:r>
          </w:p>
        </w:tc>
        <w:tc>
          <w:tcPr>
            <w:tcW w:w="1272"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因公出国（境）费</w:t>
            </w:r>
          </w:p>
        </w:tc>
        <w:tc>
          <w:tcPr>
            <w:tcW w:w="3443" w:type="dxa"/>
            <w:gridSpan w:val="3"/>
            <w:tcBorders>
              <w:top w:val="single" w:sz="4" w:space="0" w:color="auto"/>
              <w:left w:val="nil"/>
              <w:bottom w:val="single" w:sz="4" w:space="0" w:color="auto"/>
              <w:right w:val="single" w:sz="4" w:space="0" w:color="000000"/>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公务用车购置及运行费</w:t>
            </w:r>
          </w:p>
        </w:tc>
        <w:tc>
          <w:tcPr>
            <w:tcW w:w="1445" w:type="dxa"/>
            <w:vMerge w:val="restart"/>
            <w:tcBorders>
              <w:top w:val="nil"/>
              <w:left w:val="single" w:sz="4" w:space="0" w:color="auto"/>
              <w:bottom w:val="single" w:sz="4" w:space="0" w:color="000000"/>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公务接待费</w:t>
            </w:r>
          </w:p>
        </w:tc>
      </w:tr>
      <w:tr>
        <w:trPr>
          <w:trHeight w:val="735"/>
        </w:trPr>
        <w:tc>
          <w:tcPr>
            <w:tcW w:w="1016" w:type="dxa"/>
            <w:vMerge/>
            <w:tcBorders>
              <w:top w:val="nil"/>
              <w:left w:val="single" w:sz="4" w:space="0" w:color="auto"/>
              <w:bottom w:val="single" w:sz="4" w:space="0" w:color="000000"/>
              <w:right w:val="single" w:sz="4" w:space="0" w:color="auto"/>
            </w:tcBorders>
            <w:vAlign w:val="center"/>
          </w:tcPr>
          <w:p/>
        </w:tc>
        <w:tc>
          <w:tcPr>
            <w:tcW w:w="1108" w:type="dxa"/>
            <w:vMerge/>
            <w:tcBorders>
              <w:top w:val="nil"/>
              <w:left w:val="single" w:sz="4" w:space="0" w:color="auto"/>
              <w:bottom w:val="single" w:sz="4" w:space="0" w:color="000000"/>
              <w:right w:val="single" w:sz="4" w:space="0" w:color="auto"/>
            </w:tcBorders>
            <w:vAlign w:val="center"/>
          </w:tcPr>
          <w:p/>
        </w:tc>
        <w:tc>
          <w:tcPr>
            <w:tcW w:w="1278"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小计</w:t>
            </w:r>
          </w:p>
        </w:tc>
        <w:tc>
          <w:tcPr>
            <w:tcW w:w="1134"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公务用车购置费</w:t>
            </w:r>
          </w:p>
        </w:tc>
        <w:tc>
          <w:tcPr>
            <w:tcW w:w="1134"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公务用车运行费</w:t>
            </w:r>
          </w:p>
        </w:tc>
        <w:tc>
          <w:tcPr>
            <w:tcW w:w="1407" w:type="dxa"/>
            <w:vMerge/>
            <w:tcBorders>
              <w:top w:val="nil"/>
              <w:left w:val="single" w:sz="4" w:space="0" w:color="auto"/>
              <w:bottom w:val="single" w:sz="4" w:space="0" w:color="000000"/>
              <w:right w:val="single" w:sz="4" w:space="0" w:color="auto"/>
            </w:tcBorders>
            <w:vAlign w:val="center"/>
          </w:tcPr>
          <w:p/>
        </w:tc>
        <w:tc>
          <w:tcPr>
            <w:tcW w:w="1016" w:type="dxa"/>
            <w:vMerge/>
            <w:tcBorders>
              <w:top w:val="nil"/>
              <w:left w:val="single" w:sz="4" w:space="0" w:color="auto"/>
              <w:bottom w:val="single" w:sz="4" w:space="0" w:color="000000"/>
              <w:right w:val="single" w:sz="4" w:space="0" w:color="auto"/>
            </w:tcBorders>
            <w:vAlign w:val="center"/>
          </w:tcPr>
          <w:p/>
        </w:tc>
        <w:tc>
          <w:tcPr>
            <w:tcW w:w="1272" w:type="dxa"/>
            <w:vMerge/>
            <w:tcBorders>
              <w:top w:val="nil"/>
              <w:left w:val="single" w:sz="4" w:space="0" w:color="auto"/>
              <w:bottom w:val="single" w:sz="4" w:space="0" w:color="000000"/>
              <w:right w:val="single" w:sz="4" w:space="0" w:color="auto"/>
            </w:tcBorders>
            <w:vAlign w:val="center"/>
          </w:tcPr>
          <w:p/>
        </w:tc>
        <w:tc>
          <w:tcPr>
            <w:tcW w:w="1175"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小计</w:t>
            </w:r>
          </w:p>
        </w:tc>
        <w:tc>
          <w:tcPr>
            <w:tcW w:w="1134"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公务用车购置费</w:t>
            </w:r>
          </w:p>
        </w:tc>
        <w:tc>
          <w:tcPr>
            <w:tcW w:w="1134" w:type="dxa"/>
            <w:tcBorders>
              <w:top w:val="nil"/>
              <w:left w:val="nil"/>
              <w:bottom w:val="single" w:sz="4" w:space="0" w:color="auto"/>
              <w:right w:val="single" w:sz="4" w:space="0" w:color="auto"/>
            </w:tcBorders>
            <w:shd w:val="clear" w:color="auto" w:fill="auto"/>
            <w:vAlign w:val="center"/>
          </w:tcPr>
          <w:p>
            <w:pPr>
              <w:widowControl/>
              <w:jc w:val="center"/>
              <w:rPr>
                <w:rFonts w:ascii="Times New Roman" w:cs="宋体" w:hAnsi="Times New Roman"/>
                <w:kern w:val="0"/>
                <w:sz w:val="20"/>
                <w:szCs w:val="20"/>
              </w:rPr>
            </w:pPr>
            <w:r>
              <w:rPr>
                <w:rFonts w:ascii="Times New Roman" w:cs="宋体" w:hAnsi="Times New Roman" w:hint="eastAsia"/>
                <w:kern w:val="0"/>
                <w:sz w:val="20"/>
                <w:szCs w:val="20"/>
              </w:rPr>
              <w:t>公务用车运行费</w:t>
            </w:r>
          </w:p>
        </w:tc>
        <w:tc>
          <w:tcPr>
            <w:tcW w:w="1445" w:type="dxa"/>
            <w:vMerge/>
            <w:tcBorders>
              <w:top w:val="nil"/>
              <w:left w:val="single" w:sz="4" w:space="0" w:color="auto"/>
              <w:bottom w:val="single" w:sz="4" w:space="0" w:color="000000"/>
              <w:right w:val="single" w:sz="4" w:space="0" w:color="auto"/>
            </w:tcBorders>
            <w:vAlign w:val="center"/>
          </w:tcPr>
          <w:p/>
        </w:tc>
      </w:tr>
      <w:tr>
        <w:trPr>
          <w:trHeight w:val="1335"/>
        </w:trPr>
        <w:tc>
          <w:tcPr>
            <w:tcW w:w="1016" w:type="dxa"/>
            <w:tcBorders>
              <w:top w:val="nil"/>
              <w:left w:val="single" w:sz="4" w:space="0" w:color="auto"/>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845.81</w:t>
            </w:r>
          </w:p>
        </w:tc>
        <w:tc>
          <w:tcPr>
            <w:tcW w:w="110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p>
        </w:tc>
        <w:tc>
          <w:tcPr>
            <w:tcW w:w="1278"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hint="eastAsia"/>
                <w:kern w:val="0"/>
                <w:sz w:val="20"/>
                <w:szCs w:val="20"/>
              </w:rPr>
              <w:t>823.13</w:t>
            </w: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hint="eastAsia"/>
                <w:kern w:val="0"/>
                <w:sz w:val="20"/>
                <w:szCs w:val="20"/>
              </w:rPr>
              <w:t>75.00</w:t>
            </w: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hint="eastAsia"/>
                <w:kern w:val="0"/>
                <w:sz w:val="20"/>
                <w:szCs w:val="20"/>
              </w:rPr>
              <w:t>748.13</w:t>
            </w:r>
          </w:p>
        </w:tc>
        <w:tc>
          <w:tcPr>
            <w:tcW w:w="1407"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hint="eastAsia"/>
                <w:kern w:val="0"/>
                <w:sz w:val="20"/>
                <w:szCs w:val="20"/>
              </w:rPr>
              <w:t>22.68</w:t>
            </w:r>
          </w:p>
        </w:tc>
        <w:tc>
          <w:tcPr>
            <w:tcW w:w="1016"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kern w:val="0"/>
                <w:sz w:val="20"/>
                <w:szCs w:val="20"/>
              </w:rPr>
              <w:t>777.81</w:t>
            </w:r>
          </w:p>
        </w:tc>
        <w:tc>
          <w:tcPr>
            <w:tcW w:w="1272"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p>
        </w:tc>
        <w:tc>
          <w:tcPr>
            <w:tcW w:w="1175"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755.13</w:t>
            </w: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141.00</w:t>
            </w:r>
          </w:p>
        </w:tc>
        <w:tc>
          <w:tcPr>
            <w:tcW w:w="1134" w:type="dxa"/>
            <w:tcBorders>
              <w:top w:val="nil"/>
              <w:left w:val="nil"/>
              <w:bottom w:val="single" w:sz="4" w:space="0" w:color="auto"/>
              <w:right w:val="single" w:sz="4" w:space="0" w:color="auto"/>
            </w:tcBorders>
            <w:shd w:val="clear" w:color="auto" w:fill="auto"/>
            <w:noWrap/>
            <w:vAlign w:val="center"/>
          </w:tcPr>
          <w:p>
            <w:pPr>
              <w:widowControl/>
              <w:jc w:val="center"/>
              <w:rPr>
                <w:rFonts w:ascii="Times New Roman" w:cs="Times New Roman" w:hAnsi="Times New Roman"/>
                <w:kern w:val="0"/>
                <w:sz w:val="20"/>
                <w:szCs w:val="20"/>
              </w:rPr>
            </w:pPr>
            <w:r>
              <w:rPr>
                <w:rFonts w:ascii="Times New Roman" w:cs="Times New Roman" w:hAnsi="Times New Roman"/>
                <w:kern w:val="0"/>
                <w:sz w:val="20"/>
                <w:szCs w:val="20"/>
              </w:rPr>
              <w:t>614.13</w:t>
            </w:r>
          </w:p>
        </w:tc>
        <w:tc>
          <w:tcPr>
            <w:tcW w:w="1445" w:type="dxa"/>
            <w:tcBorders>
              <w:top w:val="nil"/>
              <w:left w:val="nil"/>
              <w:bottom w:val="single" w:sz="4" w:space="0" w:color="auto"/>
              <w:right w:val="single" w:sz="4" w:space="0" w:color="auto"/>
            </w:tcBorders>
            <w:shd w:val="clear" w:color="auto" w:fill="auto"/>
            <w:noWrap/>
            <w:vAlign w:val="center"/>
          </w:tcPr>
          <w:p>
            <w:pPr>
              <w:widowControl/>
              <w:jc w:val="right"/>
              <w:rPr>
                <w:rFonts w:ascii="Times New Roman" w:cs="Times New Roman" w:hAnsi="Times New Roman"/>
                <w:kern w:val="0"/>
                <w:sz w:val="20"/>
                <w:szCs w:val="20"/>
              </w:rPr>
            </w:pPr>
            <w:r>
              <w:rPr>
                <w:rFonts w:ascii="Times New Roman" w:cs="Times New Roman" w:hAnsi="Times New Roman" w:hint="eastAsia"/>
                <w:kern w:val="0"/>
                <w:sz w:val="20"/>
                <w:szCs w:val="20"/>
              </w:rPr>
              <w:t>22.68</w:t>
            </w:r>
          </w:p>
        </w:tc>
      </w:tr>
    </w:tbl>
    <w:p>
      <w:pPr>
        <w:rPr>
          <w:rFonts w:ascii="Times New Roman" w:eastAsia="方正仿宋_GBK" w:hAnsi="Times New Roman"/>
          <w:sz w:val="32"/>
          <w:szCs w:val="32"/>
        </w:rPr>
        <w:sectPr>
          <w:pgSz w:w="16838" w:h="11906" w:orient="landscape"/>
          <w:pgMar w:top="1800" w:right="1440" w:bottom="1800" w:left="1440" w:header="851" w:footer="992" w:gutter="0"/>
          <w:docGrid w:type="lines" w:linePitch="312" w:charSpace="0"/>
        </w:sectPr>
      </w:pPr>
    </w:p>
    <w:p>
      <w:pPr>
        <w:jc w:val="center"/>
        <w:rPr>
          <w:rFonts w:ascii="Times New Roman" w:hAnsi="Times New Roman"/>
          <w:b/>
          <w:sz w:val="84"/>
          <w:szCs w:val="84"/>
        </w:rPr>
      </w:pPr>
    </w:p>
    <w:p>
      <w:pPr>
        <w:jc w:val="center"/>
        <w:rPr>
          <w:rFonts w:ascii="Times New Roman" w:hAnsi="Times New Roman"/>
          <w:b/>
          <w:sz w:val="84"/>
          <w:szCs w:val="84"/>
        </w:rPr>
      </w:pPr>
    </w:p>
    <w:p>
      <w:pPr>
        <w:jc w:val="center"/>
        <w:rPr>
          <w:rFonts w:ascii="Times New Roman" w:hAnsi="Times New Roman"/>
          <w:b/>
          <w:sz w:val="84"/>
          <w:szCs w:val="84"/>
        </w:rPr>
      </w:pPr>
    </w:p>
    <w:p>
      <w:pPr>
        <w:jc w:val="center"/>
        <w:rPr>
          <w:rFonts w:ascii="Times New Roman" w:hAnsi="Times New Roman"/>
          <w:b/>
          <w:sz w:val="84"/>
          <w:szCs w:val="84"/>
        </w:rPr>
      </w:pPr>
    </w:p>
    <w:p>
      <w:pPr>
        <w:jc w:val="center"/>
        <w:rPr>
          <w:rFonts w:ascii="Times New Roman" w:hAnsi="Times New Roman"/>
          <w:b/>
          <w:sz w:val="84"/>
          <w:szCs w:val="84"/>
        </w:rPr>
      </w:pPr>
      <w:r>
        <w:rPr>
          <w:rFonts w:ascii="Times New Roman" w:hAnsi="Times New Roman" w:hint="eastAsia"/>
          <w:b/>
          <w:sz w:val="84"/>
          <w:szCs w:val="84"/>
        </w:rPr>
        <w:t>第三部分</w:t>
      </w:r>
      <w:r>
        <w:rPr>
          <w:rFonts w:ascii="Times New Roman" w:hAnsi="Times New Roman"/>
          <w:b/>
          <w:sz w:val="84"/>
          <w:szCs w:val="84"/>
        </w:rPr>
        <w:t xml:space="preserve">  </w:t>
      </w:r>
    </w:p>
    <w:p>
      <w:pPr>
        <w:jc w:val="center"/>
        <w:rPr>
          <w:rFonts w:ascii="Times New Roman" w:hAnsi="Times New Roman"/>
          <w:b/>
          <w:sz w:val="80"/>
          <w:szCs w:val="80"/>
        </w:rPr>
      </w:pPr>
      <w:r>
        <w:rPr>
          <w:rFonts w:ascii="Times New Roman" w:hAnsi="Times New Roman" w:hint="eastAsia"/>
          <w:b/>
          <w:sz w:val="80"/>
          <w:szCs w:val="80"/>
        </w:rPr>
        <w:t>海关</w:t>
      </w:r>
      <w:r>
        <w:rPr>
          <w:rFonts w:ascii="Times New Roman" w:hAnsi="Times New Roman"/>
          <w:b/>
          <w:sz w:val="80"/>
          <w:szCs w:val="80"/>
        </w:rPr>
        <w:t>2023</w:t>
      </w:r>
      <w:r>
        <w:rPr>
          <w:rFonts w:ascii="Times New Roman" w:hAnsi="Times New Roman" w:hint="eastAsia"/>
          <w:b/>
          <w:sz w:val="80"/>
          <w:szCs w:val="80"/>
        </w:rPr>
        <w:t>年</w:t>
      </w:r>
    </w:p>
    <w:p>
      <w:pPr>
        <w:jc w:val="center"/>
        <w:rPr>
          <w:rFonts w:ascii="Times New Roman" w:hAnsi="Times New Roman"/>
          <w:b/>
          <w:sz w:val="80"/>
          <w:szCs w:val="80"/>
        </w:rPr>
      </w:pPr>
      <w:r>
        <w:rPr>
          <w:rFonts w:ascii="Times New Roman" w:hAnsi="Times New Roman" w:hint="eastAsia"/>
          <w:b/>
          <w:sz w:val="80"/>
          <w:szCs w:val="80"/>
        </w:rPr>
        <w:t>部门预算情况说明</w:t>
      </w:r>
    </w:p>
    <w:p>
      <w:pPr>
        <w:pStyle w:val="18"/>
        <w:spacing w:line="560" w:lineRule="exact"/>
        <w:rPr>
          <w:b/>
          <w:sz w:val="84"/>
          <w:szCs w:val="84"/>
        </w:rPr>
      </w:pPr>
      <w:r>
        <w:rPr>
          <w:b/>
          <w:sz w:val="84"/>
          <w:szCs w:val="84"/>
        </w:rPr>
        <w:t xml:space="preserve"> </w:t>
      </w:r>
    </w:p>
    <w:p>
      <w:pPr>
        <w:rPr>
          <w:rFonts w:ascii="Times New Roman" w:hAnsi="Times New Roman"/>
          <w:b/>
          <w:sz w:val="84"/>
          <w:szCs w:val="84"/>
        </w:rPr>
      </w:pPr>
      <w:r>
        <w:rPr>
          <w:rFonts w:ascii="Times New Roman" w:hAnsi="Times New Roman"/>
          <w:b/>
          <w:sz w:val="84"/>
          <w:szCs w:val="84"/>
        </w:rPr>
        <w:t xml:space="preserve"> </w:t>
      </w:r>
    </w:p>
    <w:p>
      <w:pPr>
        <w:rPr>
          <w:rFonts w:ascii="Times New Roman" w:hAnsi="Times New Roman"/>
          <w:b/>
          <w:sz w:val="84"/>
          <w:szCs w:val="84"/>
        </w:rPr>
      </w:pPr>
      <w:r>
        <w:rPr>
          <w:rFonts w:ascii="Times New Roman" w:hAnsi="Times New Roman"/>
          <w:b/>
          <w:sz w:val="84"/>
          <w:szCs w:val="84"/>
        </w:rPr>
        <w:t xml:space="preserve"> </w:t>
      </w:r>
    </w:p>
    <w:p>
      <w:pPr>
        <w:rPr>
          <w:rFonts w:ascii="Times New Roman" w:hAnsi="Times New Roman"/>
          <w:b/>
          <w:sz w:val="84"/>
          <w:szCs w:val="84"/>
        </w:rPr>
        <w:sectPr>
          <w:pgSz w:w="11906" w:h="16838"/>
          <w:pgMar w:top="1440" w:right="1800" w:bottom="1440" w:left="1800" w:header="851" w:footer="992" w:gutter="0"/>
          <w:docGrid w:type="lines" w:linePitch="312" w:charSpace="0"/>
        </w:sectPr>
      </w:pPr>
      <w:r>
        <w:rPr>
          <w:rFonts w:ascii="Times New Roman" w:hAnsi="Times New Roman"/>
          <w:b/>
          <w:sz w:val="84"/>
          <w:szCs w:val="84"/>
        </w:rPr>
        <w:t xml:space="preserve"> </w:t>
      </w:r>
    </w:p>
    <w:p>
      <w:pPr>
        <w:pStyle w:val="18"/>
        <w:spacing w:line="560" w:lineRule="exact"/>
        <w:ind w:firstLineChars="200" w:firstLine="640"/>
        <w:rPr>
          <w:rFonts w:eastAsia="方正仿宋_GBK"/>
          <w:sz w:val="32"/>
          <w:szCs w:val="32"/>
        </w:rPr>
      </w:pPr>
      <w:r>
        <w:rPr>
          <w:rFonts w:eastAsia="方正黑体_GBK"/>
          <w:sz w:val="32"/>
          <w:szCs w:val="32"/>
        </w:rPr>
        <w:t>一、关于2023年收支预算情况的总体说明</w:t>
      </w:r>
    </w:p>
    <w:p>
      <w:pPr>
        <w:pStyle w:val="18"/>
        <w:spacing w:line="560" w:lineRule="exact"/>
        <w:ind w:firstLineChars="200" w:firstLine="640"/>
        <w:rPr>
          <w:rFonts w:eastAsia="方正仿宋_GBK"/>
          <w:sz w:val="32"/>
          <w:szCs w:val="32"/>
        </w:rPr>
      </w:pPr>
      <w:r>
        <w:rPr>
          <w:rFonts w:eastAsia="方正仿宋_GBK"/>
          <w:sz w:val="32"/>
          <w:szCs w:val="32"/>
        </w:rPr>
        <w:t>按照综合预算的原则，呼和浩特海关所有收入和支出均纳入部门预算管理。收入包括：一般公共预算拨款收入、事业收入、事业单位经营收入、其他收入、使用非财政拨款结余、上年结转；支出包括：一般公共服务支出、公共安全支出、社会保障和就业支出、卫生健康支出、住房保障支出。呼和浩特海关202</w:t>
      </w:r>
      <w:r>
        <w:rPr>
          <w:rFonts w:eastAsia="方正仿宋_GBK" w:hint="eastAsia"/>
          <w:sz w:val="32"/>
          <w:szCs w:val="32"/>
        </w:rPr>
        <w:t>3</w:t>
      </w:r>
      <w:r>
        <w:rPr>
          <w:rFonts w:eastAsia="方正仿宋_GBK"/>
          <w:sz w:val="32"/>
          <w:szCs w:val="32"/>
        </w:rPr>
        <w:t>年收支总预算47854.72万元。</w:t>
      </w:r>
    </w:p>
    <w:p>
      <w:pPr>
        <w:pStyle w:val="18"/>
        <w:spacing w:line="560" w:lineRule="exact"/>
        <w:ind w:firstLineChars="200" w:firstLine="640"/>
        <w:rPr>
          <w:rFonts w:eastAsia="方正黑体_GBK"/>
          <w:sz w:val="32"/>
          <w:szCs w:val="32"/>
        </w:rPr>
      </w:pPr>
      <w:r>
        <w:rPr>
          <w:rFonts w:eastAsia="方正黑体_GBK"/>
          <w:sz w:val="32"/>
          <w:szCs w:val="32"/>
        </w:rPr>
        <w:t>二、关于2023年收入预算情况说明</w:t>
      </w:r>
    </w:p>
    <w:p>
      <w:pPr>
        <w:pStyle w:val="30"/>
        <w:spacing w:line="560" w:lineRule="exact"/>
        <w:ind w:firstLineChars="200" w:firstLine="640"/>
        <w:rPr>
          <w:rFonts w:eastAsia="方正仿宋_GBK"/>
          <w:sz w:val="32"/>
          <w:szCs w:val="32"/>
        </w:rPr>
      </w:pPr>
      <w:r>
        <w:rPr>
          <w:rFonts w:eastAsia="方正仿宋_GBK" w:hint="eastAsia"/>
          <w:sz w:val="32"/>
          <w:szCs w:val="32"/>
        </w:rPr>
        <w:t>呼和浩特</w:t>
      </w:r>
      <w:r>
        <w:rPr>
          <w:rFonts w:eastAsia="方正仿宋_GBK"/>
          <w:sz w:val="32"/>
          <w:szCs w:val="32"/>
        </w:rPr>
        <w:t>海关2023年收入预算47854.72万元，其中：上年结转 2132.81 万元，占</w:t>
      </w:r>
      <w:r>
        <w:rPr>
          <w:rFonts w:eastAsia="方正仿宋_GBK" w:hint="eastAsia"/>
          <w:sz w:val="32"/>
          <w:szCs w:val="32"/>
        </w:rPr>
        <w:t>4.46</w:t>
      </w:r>
      <w:r>
        <w:rPr>
          <w:rFonts w:eastAsia="方正仿宋_GBK"/>
          <w:sz w:val="32"/>
          <w:szCs w:val="32"/>
        </w:rPr>
        <w:t>%；一般公共预算财政拨款  33162.88万元，占</w:t>
      </w:r>
      <w:r>
        <w:rPr>
          <w:rFonts w:eastAsia="方正仿宋_GBK" w:hint="eastAsia"/>
          <w:sz w:val="32"/>
          <w:szCs w:val="32"/>
        </w:rPr>
        <w:t>69.30</w:t>
      </w:r>
      <w:r>
        <w:rPr>
          <w:rFonts w:eastAsia="方正仿宋_GBK"/>
          <w:sz w:val="32"/>
          <w:szCs w:val="32"/>
        </w:rPr>
        <w:t>%；事业收入4617.92万元，占9.</w:t>
      </w:r>
      <w:r>
        <w:rPr>
          <w:rFonts w:eastAsia="方正仿宋_GBK" w:hint="eastAsia"/>
          <w:sz w:val="32"/>
          <w:szCs w:val="32"/>
        </w:rPr>
        <w:t>65</w:t>
      </w:r>
      <w:r>
        <w:rPr>
          <w:rFonts w:eastAsia="方正仿宋_GBK"/>
          <w:sz w:val="32"/>
          <w:szCs w:val="32"/>
        </w:rPr>
        <w:t>%；事业单位经营收入5</w:t>
      </w:r>
      <w:r>
        <w:rPr>
          <w:rFonts w:eastAsia="方正仿宋_GBK" w:hint="eastAsia"/>
          <w:sz w:val="32"/>
          <w:szCs w:val="32"/>
        </w:rPr>
        <w:t>0</w:t>
      </w:r>
      <w:r>
        <w:rPr>
          <w:rFonts w:eastAsia="方正仿宋_GBK"/>
          <w:sz w:val="32"/>
          <w:szCs w:val="32"/>
        </w:rPr>
        <w:t>.</w:t>
      </w:r>
      <w:r>
        <w:rPr>
          <w:rFonts w:eastAsia="方正仿宋_GBK" w:hint="eastAsia"/>
          <w:sz w:val="32"/>
          <w:szCs w:val="32"/>
        </w:rPr>
        <w:t>0</w:t>
      </w:r>
      <w:r>
        <w:rPr>
          <w:rFonts w:eastAsia="方正仿宋_GBK"/>
          <w:sz w:val="32"/>
          <w:szCs w:val="32"/>
        </w:rPr>
        <w:t>0万元，占0.</w:t>
      </w:r>
      <w:r>
        <w:rPr>
          <w:rFonts w:eastAsia="方正仿宋_GBK" w:hint="eastAsia"/>
          <w:sz w:val="32"/>
          <w:szCs w:val="32"/>
        </w:rPr>
        <w:t>10</w:t>
      </w:r>
      <w:r>
        <w:rPr>
          <w:rFonts w:eastAsia="方正仿宋_GBK"/>
          <w:sz w:val="32"/>
          <w:szCs w:val="32"/>
        </w:rPr>
        <w:t>%；其他收入6467.68万元，占</w:t>
      </w:r>
      <w:r>
        <w:rPr>
          <w:rFonts w:eastAsia="方正仿宋_GBK" w:hint="eastAsia"/>
          <w:sz w:val="32"/>
          <w:szCs w:val="32"/>
        </w:rPr>
        <w:t>13.52</w:t>
      </w:r>
      <w:r>
        <w:rPr>
          <w:rFonts w:eastAsia="方正仿宋_GBK"/>
          <w:sz w:val="32"/>
          <w:szCs w:val="32"/>
        </w:rPr>
        <w:t>%；使用非财政拨款结余1423.43万元，占2.</w:t>
      </w:r>
      <w:r>
        <w:rPr>
          <w:rFonts w:eastAsia="方正仿宋_GBK" w:hint="eastAsia"/>
          <w:sz w:val="32"/>
          <w:szCs w:val="32"/>
        </w:rPr>
        <w:t>9</w:t>
      </w:r>
      <w:r>
        <w:rPr>
          <w:rFonts w:eastAsia="方正仿宋_GBK"/>
          <w:sz w:val="32"/>
          <w:szCs w:val="32"/>
        </w:rPr>
        <w:t>7%。</w:t>
      </w:r>
    </w:p>
    <w:p>
      <w:pPr>
        <w:pStyle w:val="18"/>
        <w:spacing w:line="560" w:lineRule="exact"/>
        <w:ind w:firstLineChars="200" w:firstLine="640"/>
        <w:rPr>
          <w:rFonts w:eastAsia="方正仿宋_GBK"/>
          <w:sz w:val="32"/>
          <w:szCs w:val="32"/>
        </w:rPr>
      </w:pPr>
      <w:r>
        <w:rPr>
          <w:rFonts w:eastAsia="方正仿宋_GBK"/>
          <w:sz w:val="32"/>
          <w:szCs w:val="32"/>
          <w:lang w:bidi="mn-Mong-CN"/>
        </w:rPr>
        <w:drawing>
          <wp:anchor distT="0" distB="0" distL="114300" distR="114300" simplePos="0" relativeHeight="16" behindDoc="0" locked="0" layoutInCell="1" hidden="0" allowOverlap="1">
            <wp:simplePos x="0" y="0"/>
            <wp:positionH relativeFrom="column">
              <wp:posOffset>79816</wp:posOffset>
            </wp:positionH>
            <wp:positionV relativeFrom="paragraph">
              <wp:posOffset>270719</wp:posOffset>
            </wp:positionV>
            <wp:extent cx="4981213" cy="2847372"/>
            <wp:effectExtent l="0" t="0" r="0" b="0"/>
            <wp:wrapNone/>
            <wp:docPr id="4" name="对象 4"/>
            <wp:cNvGraphicFramePr>
              <a:graphicFrameLocks noChangeAspect="0"/>
            </wp:cNvGraphicFramePr>
            <a:graphic>
              <a:graphicData uri="http://schemas.openxmlformats.org/drawingml/2006/picture">
                <pic:pic>
                  <pic:nvPicPr>
                    <pic:cNvPr id="6" name="对象 6"/>
                    <pic:cNvPicPr/>
                  </pic:nvPicPr>
                  <pic:blipFill>
                    <a:blip r:embed="rId4"/>
                    <a:stretch>
                      <a:fillRect/>
                    </a:stretch>
                  </pic:blipFill>
                  <pic:spPr>
                    <a:xfrm rot="0">
                      <a:off x="0" y="0"/>
                      <a:ext cx="4981213" cy="2847372"/>
                    </a:xfrm>
                    <a:prstGeom prst="rect"/>
                    <a:ln w="9525" cmpd="sng" cap="flat">
                      <a:solidFill>
                        <a:srgbClr val="000000"/>
                      </a:solidFill>
                      <a:prstDash val="solid"/>
                      <a:miter/>
                    </a:ln>
                  </pic:spPr>
                </pic:pic>
              </a:graphicData>
            </a:graphic>
          </wp:anchor>
        </w:drawing>
      </w:r>
    </w:p>
    <w:p>
      <w:pPr>
        <w:pStyle w:val="18"/>
        <w:spacing w:line="560" w:lineRule="exact"/>
        <w:ind w:firstLineChars="200" w:firstLine="640"/>
        <w:rPr>
          <w:rFonts w:eastAsia="方正仿宋_GBK"/>
          <w:sz w:val="32"/>
          <w:szCs w:val="32"/>
        </w:rPr>
      </w:pPr>
    </w:p>
    <w:p>
      <w:pPr>
        <w:pStyle w:val="18"/>
        <w:spacing w:line="560" w:lineRule="exact"/>
        <w:ind w:firstLineChars="200" w:firstLine="640"/>
        <w:rPr>
          <w:rFonts w:eastAsia="方正仿宋_GBK"/>
          <w:sz w:val="32"/>
          <w:szCs w:val="32"/>
        </w:rPr>
      </w:pPr>
    </w:p>
    <w:p>
      <w:pPr>
        <w:pStyle w:val="18"/>
        <w:spacing w:line="560" w:lineRule="exact"/>
        <w:ind w:firstLineChars="200" w:firstLine="640"/>
        <w:rPr>
          <w:rFonts w:eastAsia="方正仿宋_GBK"/>
          <w:sz w:val="32"/>
          <w:szCs w:val="32"/>
        </w:rPr>
      </w:pPr>
    </w:p>
    <w:p>
      <w:pPr>
        <w:pStyle w:val="18"/>
        <w:spacing w:line="560" w:lineRule="exact"/>
        <w:ind w:firstLineChars="200" w:firstLine="640"/>
        <w:rPr>
          <w:rFonts w:eastAsia="方正仿宋_GBK"/>
          <w:sz w:val="32"/>
          <w:szCs w:val="32"/>
        </w:rPr>
      </w:pPr>
    </w:p>
    <w:p>
      <w:pPr>
        <w:pStyle w:val="18"/>
        <w:spacing w:line="560" w:lineRule="exact"/>
        <w:ind w:firstLineChars="200" w:firstLine="640"/>
        <w:rPr>
          <w:rFonts w:eastAsia="方正仿宋_GBK"/>
          <w:sz w:val="32"/>
          <w:szCs w:val="32"/>
        </w:rPr>
      </w:pPr>
    </w:p>
    <w:p>
      <w:pPr>
        <w:pStyle w:val="18"/>
        <w:spacing w:line="560" w:lineRule="exact"/>
        <w:ind w:firstLineChars="200" w:firstLine="640"/>
        <w:rPr>
          <w:rFonts w:eastAsia="方正仿宋_GBK"/>
          <w:sz w:val="32"/>
          <w:szCs w:val="32"/>
        </w:rPr>
      </w:pPr>
    </w:p>
    <w:p>
      <w:pPr>
        <w:pStyle w:val="18"/>
        <w:spacing w:line="560" w:lineRule="exact"/>
        <w:ind w:firstLineChars="200" w:firstLine="640"/>
        <w:rPr>
          <w:rFonts w:eastAsia="方正仿宋_GBK"/>
          <w:sz w:val="32"/>
          <w:szCs w:val="32"/>
        </w:rPr>
      </w:pPr>
    </w:p>
    <w:p>
      <w:pPr>
        <w:pStyle w:val="18"/>
        <w:spacing w:line="560" w:lineRule="exact"/>
        <w:ind w:firstLineChars="200" w:firstLine="640"/>
        <w:rPr>
          <w:rFonts w:eastAsia="方正仿宋_GBK"/>
          <w:sz w:val="32"/>
          <w:szCs w:val="32"/>
        </w:rPr>
      </w:pPr>
    </w:p>
    <w:p>
      <w:pPr>
        <w:pStyle w:val="18"/>
        <w:spacing w:line="560" w:lineRule="exact"/>
        <w:ind w:firstLineChars="200" w:firstLine="640"/>
        <w:rPr>
          <w:rFonts w:eastAsia="方正仿宋_GBK"/>
          <w:sz w:val="32"/>
          <w:szCs w:val="32"/>
        </w:rPr>
      </w:pPr>
    </w:p>
    <w:p>
      <w:pPr>
        <w:pStyle w:val="18"/>
        <w:spacing w:line="560" w:lineRule="exact"/>
        <w:ind w:firstLineChars="200" w:firstLine="640"/>
        <w:rPr>
          <w:rFonts w:eastAsia="方正黑体_GBK"/>
          <w:sz w:val="32"/>
          <w:szCs w:val="32"/>
        </w:rPr>
      </w:pPr>
      <w:r>
        <w:rPr>
          <w:rFonts w:eastAsia="方正黑体_GBK" w:hint="eastAsia"/>
          <w:sz w:val="32"/>
          <w:szCs w:val="32"/>
        </w:rPr>
        <w:t>三、关于</w:t>
      </w:r>
      <w:r>
        <w:rPr>
          <w:rFonts w:eastAsia="方正黑体_GBK"/>
          <w:sz w:val="32"/>
          <w:szCs w:val="32"/>
        </w:rPr>
        <w:t>2023</w:t>
      </w:r>
      <w:r>
        <w:rPr>
          <w:rFonts w:eastAsia="方正黑体_GBK" w:hint="eastAsia"/>
          <w:sz w:val="32"/>
          <w:szCs w:val="32"/>
        </w:rPr>
        <w:t>年支出预算情况说明</w:t>
      </w:r>
    </w:p>
    <w:p>
      <w:pPr>
        <w:pStyle w:val="18"/>
        <w:spacing w:line="560" w:lineRule="exact"/>
        <w:ind w:firstLineChars="200" w:firstLine="640"/>
        <w:rPr>
          <w:rFonts w:eastAsia="方正仿宋_GBK"/>
          <w:sz w:val="32"/>
          <w:szCs w:val="32"/>
        </w:rPr>
      </w:pPr>
      <w:r>
        <w:rPr>
          <w:rFonts w:eastAsia="方正仿宋_GBK" w:hint="eastAsia"/>
          <w:sz w:val="32"/>
          <w:szCs w:val="32"/>
        </w:rPr>
        <w:t>呼和浩特海关</w:t>
      </w:r>
      <w:r>
        <w:rPr>
          <w:rFonts w:eastAsia="方正仿宋_GBK"/>
          <w:sz w:val="32"/>
          <w:szCs w:val="32"/>
        </w:rPr>
        <w:t>2023</w:t>
      </w:r>
      <w:r>
        <w:rPr>
          <w:rFonts w:eastAsia="方正仿宋_GBK" w:hint="eastAsia"/>
          <w:sz w:val="32"/>
          <w:szCs w:val="32"/>
        </w:rPr>
        <w:t>年支出预算</w:t>
      </w:r>
      <w:r>
        <w:rPr>
          <w:rFonts w:eastAsia="方正仿宋_GBK"/>
          <w:sz w:val="32"/>
          <w:szCs w:val="32"/>
        </w:rPr>
        <w:t>47854.72</w:t>
      </w:r>
      <w:r>
        <w:rPr>
          <w:rFonts w:eastAsia="方正仿宋_GBK" w:hint="eastAsia"/>
          <w:sz w:val="32"/>
          <w:szCs w:val="32"/>
        </w:rPr>
        <w:t>万元，其中：基本支出</w:t>
      </w:r>
      <w:r>
        <w:rPr>
          <w:rFonts w:eastAsia="方正仿宋_GBK"/>
          <w:sz w:val="32"/>
          <w:szCs w:val="32"/>
        </w:rPr>
        <w:t>35136.56</w:t>
      </w:r>
      <w:r>
        <w:rPr>
          <w:rFonts w:eastAsia="方正仿宋_GBK" w:hint="eastAsia"/>
          <w:sz w:val="32"/>
          <w:szCs w:val="32"/>
        </w:rPr>
        <w:t>万元，占73.42</w:t>
      </w:r>
      <w:r>
        <w:rPr>
          <w:rFonts w:eastAsia="方正仿宋_GBK"/>
          <w:sz w:val="32"/>
          <w:szCs w:val="32"/>
        </w:rPr>
        <w:t>%</w:t>
      </w:r>
      <w:r>
        <w:rPr>
          <w:rFonts w:eastAsia="方正仿宋_GBK" w:hint="eastAsia"/>
          <w:sz w:val="32"/>
          <w:szCs w:val="32"/>
        </w:rPr>
        <w:t>；项目支出</w:t>
      </w:r>
      <w:r>
        <w:rPr>
          <w:rFonts w:eastAsia="方正仿宋_GBK"/>
          <w:sz w:val="32"/>
          <w:szCs w:val="32"/>
        </w:rPr>
        <w:t>12718.16</w:t>
      </w:r>
      <w:r>
        <w:rPr>
          <w:rFonts w:eastAsia="方正仿宋_GBK" w:hint="eastAsia"/>
          <w:sz w:val="32"/>
          <w:szCs w:val="32"/>
        </w:rPr>
        <w:t>万元，占26.58</w:t>
      </w:r>
      <w:r>
        <w:rPr>
          <w:rFonts w:eastAsia="方正仿宋_GBK"/>
          <w:sz w:val="32"/>
          <w:szCs w:val="32"/>
        </w:rPr>
        <w:t>%</w:t>
      </w:r>
      <w:r>
        <w:rPr>
          <w:rFonts w:eastAsia="方正仿宋_GBK" w:hint="eastAsia"/>
          <w:sz w:val="32"/>
          <w:szCs w:val="32"/>
        </w:rPr>
        <w:t>。</w:t>
      </w:r>
    </w:p>
    <w:p>
      <w:pPr>
        <w:pStyle w:val="18"/>
        <w:spacing w:line="560" w:lineRule="exact"/>
        <w:ind w:firstLineChars="200" w:firstLine="640"/>
        <w:rPr>
          <w:rFonts w:eastAsia="方正仿宋_GBK"/>
          <w:sz w:val="32"/>
          <w:szCs w:val="32"/>
        </w:rPr>
      </w:pPr>
      <w:r>
        <w:rPr>
          <w:rFonts w:eastAsia="方正仿宋_GBK"/>
          <w:sz w:val="32"/>
          <w:szCs w:val="32"/>
          <w:lang w:bidi="mn-Mong-CN"/>
        </w:rPr>
        <w:drawing>
          <wp:anchor distT="0" distB="0" distL="114300" distR="114300" simplePos="0" relativeHeight="2" behindDoc="1" locked="0" layoutInCell="1" hidden="0" allowOverlap="1">
            <wp:simplePos x="0" y="0"/>
            <wp:positionH relativeFrom="column">
              <wp:posOffset>212926</wp:posOffset>
            </wp:positionH>
            <wp:positionV relativeFrom="paragraph">
              <wp:posOffset>180694</wp:posOffset>
            </wp:positionV>
            <wp:extent cx="4625863" cy="2210764"/>
            <wp:effectExtent l="0" t="0" r="0" b="0"/>
            <wp:wrapNone/>
            <wp:docPr id="7" name="对象 7"/>
            <wp:cNvGraphicFramePr>
              <a:graphicFrameLocks noChangeAspect="0"/>
            </wp:cNvGraphicFramePr>
            <a:graphic>
              <a:graphicData uri="http://schemas.openxmlformats.org/drawingml/2006/picture">
                <pic:pic>
                  <pic:nvPicPr>
                    <pic:cNvPr id="9" name="对象 9"/>
                    <pic:cNvPicPr/>
                  </pic:nvPicPr>
                  <pic:blipFill>
                    <a:blip r:embed="rId5"/>
                    <a:stretch>
                      <a:fillRect/>
                    </a:stretch>
                  </pic:blipFill>
                  <pic:spPr>
                    <a:xfrm rot="0">
                      <a:off x="0" y="0"/>
                      <a:ext cx="4625863" cy="2210764"/>
                    </a:xfrm>
                    <a:prstGeom prst="rect"/>
                    <a:ln w="9525" cmpd="sng" cap="flat">
                      <a:solidFill>
                        <a:srgbClr val="000000"/>
                      </a:solidFill>
                      <a:prstDash val="solid"/>
                      <a:miter/>
                    </a:ln>
                  </pic:spPr>
                </pic:pic>
              </a:graphicData>
            </a:graphic>
          </wp:anchor>
        </w:drawing>
      </w:r>
    </w:p>
    <w:p>
      <w:pPr>
        <w:pStyle w:val="18"/>
        <w:spacing w:line="560" w:lineRule="exact"/>
        <w:rPr>
          <w:sz w:val="32"/>
          <w:szCs w:val="32"/>
        </w:rPr>
      </w:pPr>
    </w:p>
    <w:p>
      <w:pPr>
        <w:pStyle w:val="18"/>
        <w:spacing w:line="560" w:lineRule="exact"/>
        <w:rPr>
          <w:sz w:val="32"/>
          <w:szCs w:val="32"/>
        </w:rPr>
      </w:pPr>
    </w:p>
    <w:p>
      <w:pPr>
        <w:pStyle w:val="18"/>
        <w:spacing w:line="560" w:lineRule="exact"/>
        <w:rPr>
          <w:sz w:val="32"/>
          <w:szCs w:val="32"/>
        </w:rPr>
      </w:pPr>
    </w:p>
    <w:p>
      <w:pPr>
        <w:pStyle w:val="18"/>
        <w:spacing w:line="560" w:lineRule="exact"/>
        <w:rPr>
          <w:sz w:val="32"/>
          <w:szCs w:val="32"/>
        </w:rPr>
      </w:pPr>
    </w:p>
    <w:p>
      <w:pPr>
        <w:pStyle w:val="18"/>
        <w:spacing w:line="560" w:lineRule="exact"/>
        <w:rPr>
          <w:sz w:val="32"/>
          <w:szCs w:val="32"/>
        </w:rPr>
      </w:pPr>
    </w:p>
    <w:p>
      <w:pPr>
        <w:pStyle w:val="18"/>
        <w:spacing w:line="560" w:lineRule="exact"/>
        <w:rPr>
          <w:sz w:val="32"/>
          <w:szCs w:val="32"/>
        </w:rPr>
      </w:pPr>
    </w:p>
    <w:p>
      <w:pPr>
        <w:pStyle w:val="18"/>
        <w:spacing w:line="560" w:lineRule="exact"/>
        <w:ind w:firstLineChars="200" w:firstLine="640"/>
        <w:rPr>
          <w:rFonts w:eastAsia="方正黑体_GBK"/>
          <w:sz w:val="32"/>
          <w:szCs w:val="32"/>
        </w:rPr>
      </w:pPr>
      <w:r>
        <w:rPr>
          <w:rFonts w:eastAsia="方正黑体_GBK" w:hint="eastAsia"/>
          <w:sz w:val="32"/>
          <w:szCs w:val="32"/>
        </w:rPr>
        <w:t>四、关于202</w:t>
      </w:r>
      <w:r>
        <w:rPr>
          <w:rFonts w:eastAsia="方正黑体_GBK"/>
          <w:sz w:val="32"/>
          <w:szCs w:val="32"/>
        </w:rPr>
        <w:t>3</w:t>
      </w:r>
      <w:r>
        <w:rPr>
          <w:rFonts w:eastAsia="方正黑体_GBK" w:hint="eastAsia"/>
          <w:sz w:val="32"/>
          <w:szCs w:val="32"/>
        </w:rPr>
        <w:t>年财政拨款收支预算情况的总体说明</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呼和浩特海关20</w:t>
      </w:r>
      <w:r>
        <w:rPr>
          <w:rFonts w:ascii="Times New Roman" w:eastAsia="方正仿宋_GBK" w:hAnsi="Times New Roman"/>
          <w:sz w:val="32"/>
          <w:szCs w:val="32"/>
        </w:rPr>
        <w:t>23</w:t>
      </w:r>
      <w:r>
        <w:rPr>
          <w:rFonts w:ascii="Times New Roman" w:eastAsia="方正仿宋_GBK" w:hAnsi="Times New Roman" w:hint="eastAsia"/>
          <w:sz w:val="32"/>
          <w:szCs w:val="32"/>
        </w:rPr>
        <w:t>年财政拨款收支总预算</w:t>
      </w:r>
      <w:r>
        <w:rPr>
          <w:rFonts w:ascii="Times New Roman" w:eastAsia="方正仿宋_GBK" w:hAnsi="Times New Roman"/>
          <w:sz w:val="32"/>
          <w:szCs w:val="32"/>
        </w:rPr>
        <w:t>33834.04</w:t>
      </w:r>
      <w:r>
        <w:rPr>
          <w:rFonts w:ascii="Times New Roman" w:eastAsia="方正仿宋_GBK" w:hAnsi="Times New Roman" w:hint="eastAsia"/>
          <w:sz w:val="32"/>
          <w:szCs w:val="32"/>
        </w:rPr>
        <w:t>万元。收入全部为一般公共预算拨款，无政府性基金预算拨款和</w:t>
      </w:r>
      <w:r>
        <w:rPr>
          <w:rFonts w:ascii="Times New Roman" w:eastAsia="方正仿宋_GBK" w:hAnsi="Times New Roman"/>
          <w:sz w:val="32"/>
          <w:szCs w:val="32"/>
        </w:rPr>
        <w:t>国有资本经营预算</w:t>
      </w:r>
      <w:r>
        <w:rPr>
          <w:rFonts w:ascii="Times New Roman" w:eastAsia="方正仿宋_GBK" w:hAnsi="Times New Roman" w:hint="eastAsia"/>
          <w:sz w:val="32"/>
          <w:szCs w:val="32"/>
        </w:rPr>
        <w:t>拨款。收入包括：一般公共预算当年财政拨款收入</w:t>
      </w:r>
      <w:r>
        <w:rPr>
          <w:rFonts w:ascii="Times New Roman" w:eastAsia="方正仿宋_GBK" w:hAnsi="Times New Roman"/>
          <w:sz w:val="32"/>
          <w:szCs w:val="32"/>
        </w:rPr>
        <w:t>33162.88</w:t>
      </w:r>
      <w:r>
        <w:rPr>
          <w:rFonts w:ascii="Times New Roman" w:eastAsia="方正仿宋_GBK" w:hAnsi="Times New Roman" w:hint="eastAsia"/>
          <w:sz w:val="32"/>
          <w:szCs w:val="32"/>
        </w:rPr>
        <w:t>万元、上年结转</w:t>
      </w:r>
      <w:r>
        <w:rPr>
          <w:rFonts w:ascii="Times New Roman" w:eastAsia="方正仿宋_GBK" w:hAnsi="Times New Roman"/>
          <w:sz w:val="32"/>
          <w:szCs w:val="32"/>
        </w:rPr>
        <w:t>671.16</w:t>
      </w:r>
      <w:r>
        <w:rPr>
          <w:rFonts w:ascii="Times New Roman" w:eastAsia="方正仿宋_GBK" w:hAnsi="Times New Roman" w:hint="eastAsia"/>
          <w:sz w:val="32"/>
          <w:szCs w:val="32"/>
        </w:rPr>
        <w:t>万元。支出包括：一般公共服务支出</w:t>
      </w:r>
      <w:r>
        <w:rPr>
          <w:rFonts w:ascii="Times New Roman" w:eastAsia="方正仿宋_GBK" w:hAnsi="Times New Roman"/>
          <w:sz w:val="32"/>
          <w:szCs w:val="32"/>
        </w:rPr>
        <w:t>25123.42</w:t>
      </w:r>
      <w:r>
        <w:rPr>
          <w:rFonts w:ascii="Times New Roman" w:eastAsia="方正仿宋_GBK" w:hAnsi="Times New Roman" w:hint="eastAsia"/>
          <w:sz w:val="32"/>
          <w:szCs w:val="32"/>
        </w:rPr>
        <w:t>万元、公共安全支出</w:t>
      </w:r>
      <w:r>
        <w:rPr>
          <w:rFonts w:ascii="Times New Roman" w:eastAsia="方正仿宋_GBK" w:hAnsi="Times New Roman"/>
          <w:sz w:val="32"/>
          <w:szCs w:val="32"/>
        </w:rPr>
        <w:t>2229.15</w:t>
      </w:r>
      <w:r>
        <w:rPr>
          <w:rFonts w:ascii="Times New Roman" w:eastAsia="方正仿宋_GBK" w:hAnsi="Times New Roman" w:hint="eastAsia"/>
          <w:sz w:val="32"/>
          <w:szCs w:val="32"/>
        </w:rPr>
        <w:t>万元、社会保障和就业支出</w:t>
      </w:r>
      <w:r>
        <w:rPr>
          <w:rFonts w:ascii="Times New Roman" w:eastAsia="方正仿宋_GBK" w:hAnsi="Times New Roman"/>
          <w:sz w:val="32"/>
          <w:szCs w:val="32"/>
        </w:rPr>
        <w:t>2531.58</w:t>
      </w:r>
      <w:r>
        <w:rPr>
          <w:rFonts w:ascii="Times New Roman" w:eastAsia="方正仿宋_GBK" w:hAnsi="Times New Roman" w:hint="eastAsia"/>
          <w:sz w:val="32"/>
          <w:szCs w:val="32"/>
        </w:rPr>
        <w:t>万元、卫生健康支出</w:t>
      </w:r>
      <w:r>
        <w:rPr>
          <w:rFonts w:ascii="Times New Roman" w:eastAsia="方正仿宋_GBK" w:hAnsi="Times New Roman"/>
          <w:sz w:val="32"/>
          <w:szCs w:val="32"/>
        </w:rPr>
        <w:t>1032.48</w:t>
      </w:r>
      <w:r>
        <w:rPr>
          <w:rFonts w:ascii="Times New Roman" w:eastAsia="方正仿宋_GBK" w:hAnsi="Times New Roman" w:hint="eastAsia"/>
          <w:sz w:val="32"/>
          <w:szCs w:val="32"/>
        </w:rPr>
        <w:t>万元、住房保障支出</w:t>
      </w:r>
      <w:r>
        <w:rPr>
          <w:rFonts w:ascii="Times New Roman" w:eastAsia="方正仿宋_GBK" w:hAnsi="Times New Roman"/>
          <w:sz w:val="32"/>
          <w:szCs w:val="32"/>
        </w:rPr>
        <w:t>2917.41</w:t>
      </w:r>
      <w:r>
        <w:rPr>
          <w:rFonts w:ascii="Times New Roman" w:eastAsia="方正仿宋_GBK" w:hAnsi="Times New Roman" w:hint="eastAsia"/>
          <w:sz w:val="32"/>
          <w:szCs w:val="32"/>
        </w:rPr>
        <w:t>万元。</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lang w:bidi="mn-Mong-CN"/>
        </w:rPr>
        <w:drawing>
          <wp:anchor distT="0" distB="0" distL="114300" distR="114300" simplePos="0" relativeHeight="17" behindDoc="0" locked="0" layoutInCell="1" hidden="0" allowOverlap="1">
            <wp:simplePos x="0" y="0"/>
            <wp:positionH relativeFrom="column">
              <wp:posOffset>332740</wp:posOffset>
            </wp:positionH>
            <wp:positionV relativeFrom="paragraph">
              <wp:posOffset>159385</wp:posOffset>
            </wp:positionV>
            <wp:extent cx="4472940" cy="2025015"/>
            <wp:effectExtent l="0" t="0" r="0" b="0"/>
            <wp:wrapNone/>
            <wp:docPr id="10" name="对象 10"/>
            <wp:cNvGraphicFramePr>
              <a:graphicFrameLocks noChangeAspect="0"/>
            </wp:cNvGraphicFramePr>
            <a:graphic>
              <a:graphicData uri="http://schemas.openxmlformats.org/drawingml/2006/picture">
                <pic:pic>
                  <pic:nvPicPr>
                    <pic:cNvPr id="12" name="对象 12"/>
                    <pic:cNvPicPr/>
                  </pic:nvPicPr>
                  <pic:blipFill>
                    <a:blip r:embed="rId6"/>
                    <a:stretch>
                      <a:fillRect/>
                    </a:stretch>
                  </pic:blipFill>
                  <pic:spPr>
                    <a:xfrm rot="0">
                      <a:off x="0" y="0"/>
                      <a:ext cx="4472940" cy="2025015"/>
                    </a:xfrm>
                    <a:prstGeom prst="rect"/>
                    <a:ln w="9525" cmpd="sng" cap="flat">
                      <a:solidFill>
                        <a:srgbClr val="000000"/>
                      </a:solidFill>
                      <a:prstDash val="solid"/>
                      <a:miter/>
                    </a:ln>
                  </pic:spPr>
                </pic:pic>
              </a:graphicData>
            </a:graphic>
          </wp:anchor>
        </w:drawing>
      </w:r>
    </w:p>
    <w:p>
      <w:pPr>
        <w:spacing w:line="560" w:lineRule="exact"/>
        <w:ind w:firstLineChars="200" w:firstLine="640"/>
        <w:rPr>
          <w:rFonts w:ascii="Times New Roman" w:eastAsia="方正仿宋_GBK" w:hAnsi="Times New Roman"/>
          <w:sz w:val="32"/>
          <w:szCs w:val="32"/>
        </w:rPr>
      </w:pPr>
    </w:p>
    <w:p>
      <w:pPr>
        <w:spacing w:line="560" w:lineRule="exact"/>
        <w:ind w:firstLineChars="200" w:firstLine="640"/>
        <w:rPr>
          <w:rFonts w:ascii="Times New Roman" w:eastAsia="方正仿宋_GBK" w:hAnsi="Times New Roman"/>
          <w:sz w:val="32"/>
          <w:szCs w:val="32"/>
        </w:rPr>
      </w:pPr>
    </w:p>
    <w:p>
      <w:pPr>
        <w:spacing w:line="560" w:lineRule="exact"/>
        <w:ind w:firstLineChars="200" w:firstLine="640"/>
        <w:rPr>
          <w:rFonts w:ascii="Times New Roman" w:eastAsia="方正仿宋_GBK" w:hAnsi="Times New Roman"/>
          <w:sz w:val="32"/>
          <w:szCs w:val="32"/>
        </w:rPr>
      </w:pPr>
    </w:p>
    <w:p>
      <w:pPr>
        <w:spacing w:line="560" w:lineRule="exact"/>
        <w:ind w:firstLineChars="200" w:firstLine="640"/>
        <w:rPr>
          <w:rFonts w:ascii="Times New Roman" w:eastAsia="方正仿宋_GBK" w:hAnsi="Times New Roman"/>
          <w:sz w:val="32"/>
          <w:szCs w:val="32"/>
        </w:rPr>
      </w:pPr>
    </w:p>
    <w:p>
      <w:pPr>
        <w:spacing w:line="56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五、关于202</w:t>
      </w:r>
      <w:r>
        <w:rPr>
          <w:rFonts w:ascii="Times New Roman" w:eastAsia="方正黑体_GBK" w:hAnsi="Times New Roman"/>
          <w:sz w:val="32"/>
          <w:szCs w:val="32"/>
        </w:rPr>
        <w:t>3</w:t>
      </w:r>
      <w:r>
        <w:rPr>
          <w:rFonts w:ascii="Times New Roman" w:eastAsia="方正黑体_GBK" w:hAnsi="Times New Roman" w:hint="eastAsia"/>
          <w:sz w:val="32"/>
          <w:szCs w:val="32"/>
        </w:rPr>
        <w:t>年一般公共预算当年财政拨款情况说明</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（一）一般公共预算当年财政拨款规模变化情况。</w:t>
      </w:r>
    </w:p>
    <w:p>
      <w:pPr>
        <w:spacing w:line="560" w:lineRule="exact"/>
        <w:ind w:firstLineChars="200" w:firstLine="640"/>
        <w:rPr>
          <w:rFonts w:ascii="Times New Roman" w:hAnsi="Times New Roman"/>
          <w:szCs w:val="21"/>
        </w:rPr>
      </w:pPr>
      <w:r>
        <w:rPr>
          <w:rFonts w:ascii="Times New Roman" w:eastAsia="方正仿宋_GBK" w:hAnsi="Times New Roman" w:hint="eastAsia"/>
          <w:sz w:val="32"/>
          <w:szCs w:val="32"/>
        </w:rPr>
        <w:t>呼和浩特海关202</w:t>
      </w:r>
      <w:r>
        <w:rPr>
          <w:rFonts w:ascii="Times New Roman" w:eastAsia="方正仿宋_GBK" w:hAnsi="Times New Roman"/>
          <w:sz w:val="32"/>
          <w:szCs w:val="32"/>
        </w:rPr>
        <w:t>3</w:t>
      </w:r>
      <w:r>
        <w:rPr>
          <w:rFonts w:ascii="Times New Roman" w:eastAsia="方正仿宋_GBK" w:hAnsi="Times New Roman" w:hint="eastAsia"/>
          <w:sz w:val="32"/>
          <w:szCs w:val="32"/>
        </w:rPr>
        <w:t>年一般公共预算当年财政拨款预算</w:t>
      </w:r>
      <w:r>
        <w:rPr>
          <w:rFonts w:ascii="Times New Roman" w:eastAsia="方正仿宋_GBK" w:hAnsi="Times New Roman"/>
          <w:sz w:val="32"/>
          <w:szCs w:val="32"/>
        </w:rPr>
        <w:t>33162.88</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年执行数减少2499.13万元，减少7.01%。202</w:t>
      </w:r>
      <w:r>
        <w:rPr>
          <w:rFonts w:ascii="Times New Roman" w:eastAsia="方正仿宋_GBK" w:hAnsi="Times New Roman"/>
          <w:sz w:val="32"/>
          <w:szCs w:val="32"/>
        </w:rPr>
        <w:t>3</w:t>
      </w:r>
      <w:r>
        <w:rPr>
          <w:rFonts w:ascii="Times New Roman" w:eastAsia="方正仿宋_GBK" w:hAnsi="Times New Roman" w:hint="eastAsia"/>
          <w:sz w:val="32"/>
          <w:szCs w:val="32"/>
        </w:rPr>
        <w:t>年，按照党中央、国务院关于过紧日子的有关要求，全面加强</w:t>
      </w:r>
      <w:r>
        <w:rPr>
          <w:rFonts w:ascii="Times New Roman" w:eastAsia="方正仿宋_GBK" w:hAnsi="Times New Roman"/>
          <w:sz w:val="32"/>
          <w:szCs w:val="32"/>
        </w:rPr>
        <w:t>各类资源统筹，优化支出结构，坚持钱要花到要</w:t>
      </w:r>
      <w:r>
        <w:rPr>
          <w:rFonts w:ascii="Times New Roman" w:eastAsia="方正仿宋_GBK" w:hAnsi="Times New Roman" w:hint="eastAsia"/>
          <w:sz w:val="32"/>
          <w:szCs w:val="32"/>
        </w:rPr>
        <w:t>处</w:t>
      </w:r>
      <w:r>
        <w:rPr>
          <w:rFonts w:ascii="Times New Roman" w:eastAsia="方正仿宋_GBK" w:hAnsi="Times New Roman"/>
          <w:sz w:val="32"/>
          <w:szCs w:val="32"/>
        </w:rPr>
        <w:t>，坚持优先保障民生、</w:t>
      </w:r>
      <w:r>
        <w:rPr>
          <w:rFonts w:ascii="Times New Roman" w:eastAsia="方正仿宋_GBK" w:hAnsi="Times New Roman" w:hint="eastAsia"/>
          <w:sz w:val="32"/>
          <w:szCs w:val="32"/>
        </w:rPr>
        <w:t>重点保障刚性运转</w:t>
      </w:r>
      <w:r>
        <w:rPr>
          <w:rFonts w:ascii="Times New Roman" w:eastAsia="方正仿宋_GBK" w:hAnsi="Times New Roman"/>
          <w:sz w:val="32"/>
          <w:szCs w:val="32"/>
        </w:rPr>
        <w:t>，精准保障海关改革发展。</w:t>
      </w:r>
      <w:r>
        <w:rPr>
          <w:rFonts w:ascii="Times New Roman" w:eastAsia="方正仿宋_GBK" w:hAnsi="Times New Roman" w:hint="eastAsia"/>
          <w:sz w:val="32"/>
          <w:szCs w:val="32"/>
        </w:rPr>
        <w:t>大力压减</w:t>
      </w:r>
      <w:r>
        <w:rPr>
          <w:rFonts w:ascii="Times New Roman" w:eastAsia="方正仿宋_GBK" w:hAnsi="Times New Roman"/>
          <w:sz w:val="32"/>
          <w:szCs w:val="32"/>
        </w:rPr>
        <w:t>一般性支出，</w:t>
      </w:r>
      <w:r>
        <w:rPr>
          <w:rFonts w:ascii="Times New Roman" w:eastAsia="方正仿宋_GBK" w:hAnsi="Times New Roman" w:hint="eastAsia"/>
          <w:sz w:val="32"/>
          <w:szCs w:val="32"/>
        </w:rPr>
        <w:t>重点压减非急需非刚性支出，同时合理保障了海关关务、检验检疫、缉私警察等必要支出需求，体现在有关支出科目中。</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（二）一般公共预算当年财政拨款结构情况。</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w:t>
      </w:r>
      <w:r>
        <w:rPr>
          <w:rFonts w:ascii="Times New Roman" w:eastAsia="方正仿宋_GBK" w:hAnsi="Times New Roman"/>
          <w:sz w:val="32"/>
          <w:szCs w:val="32"/>
        </w:rPr>
        <w:t>3</w:t>
      </w:r>
      <w:r>
        <w:rPr>
          <w:rFonts w:ascii="Times New Roman" w:eastAsia="方正仿宋_GBK" w:hAnsi="Times New Roman" w:hint="eastAsia"/>
          <w:sz w:val="32"/>
          <w:szCs w:val="32"/>
        </w:rPr>
        <w:t>年部门预算中，一般公共预算当年财政拨款用于以下方面：一般公共服务（类）支出</w:t>
      </w:r>
      <w:r>
        <w:rPr>
          <w:rFonts w:ascii="Times New Roman" w:eastAsia="方正仿宋_GBK" w:hAnsi="Times New Roman"/>
          <w:sz w:val="32"/>
          <w:szCs w:val="32"/>
        </w:rPr>
        <w:t>25123.42</w:t>
      </w:r>
      <w:r>
        <w:rPr>
          <w:rFonts w:ascii="Times New Roman" w:eastAsia="方正仿宋_GBK" w:hAnsi="Times New Roman" w:hint="eastAsia"/>
          <w:sz w:val="32"/>
          <w:szCs w:val="32"/>
        </w:rPr>
        <w:t>万元，占74.25%；公共安全（类）支出</w:t>
      </w:r>
      <w:r>
        <w:rPr>
          <w:rFonts w:ascii="Times New Roman" w:eastAsia="方正仿宋_GBK" w:hAnsi="Times New Roman"/>
          <w:sz w:val="32"/>
          <w:szCs w:val="32"/>
        </w:rPr>
        <w:t>2229.15</w:t>
      </w:r>
      <w:r>
        <w:rPr>
          <w:rFonts w:ascii="Times New Roman" w:eastAsia="方正仿宋_GBK" w:hAnsi="Times New Roman" w:hint="eastAsia"/>
          <w:sz w:val="32"/>
          <w:szCs w:val="32"/>
        </w:rPr>
        <w:t>万元，占6.59%；社会保障和就业（类）支出</w:t>
      </w:r>
      <w:r>
        <w:rPr>
          <w:rFonts w:ascii="Times New Roman" w:eastAsia="方正仿宋_GBK" w:hAnsi="Times New Roman"/>
          <w:sz w:val="32"/>
          <w:szCs w:val="32"/>
        </w:rPr>
        <w:t>2531.58</w:t>
      </w:r>
      <w:r>
        <w:rPr>
          <w:rFonts w:ascii="Times New Roman" w:eastAsia="方正仿宋_GBK" w:hAnsi="Times New Roman" w:hint="eastAsia"/>
          <w:sz w:val="32"/>
          <w:szCs w:val="32"/>
        </w:rPr>
        <w:t>万元，占7.48%；卫生健康（类）支出</w:t>
      </w:r>
      <w:r>
        <w:rPr>
          <w:rFonts w:ascii="Times New Roman" w:eastAsia="方正仿宋_GBK" w:hAnsi="Times New Roman"/>
          <w:sz w:val="32"/>
          <w:szCs w:val="32"/>
        </w:rPr>
        <w:t>1032.48</w:t>
      </w:r>
      <w:r>
        <w:rPr>
          <w:rFonts w:ascii="Times New Roman" w:eastAsia="方正仿宋_GBK" w:hAnsi="Times New Roman" w:hint="eastAsia"/>
          <w:sz w:val="32"/>
          <w:szCs w:val="32"/>
        </w:rPr>
        <w:t>万元，占3.05%；住房保障（类）支出</w:t>
      </w:r>
      <w:r>
        <w:rPr>
          <w:rFonts w:ascii="Times New Roman" w:eastAsia="方正仿宋_GBK" w:hAnsi="Times New Roman"/>
          <w:sz w:val="32"/>
          <w:szCs w:val="32"/>
        </w:rPr>
        <w:t>2917.41</w:t>
      </w:r>
      <w:r>
        <w:rPr>
          <w:rFonts w:ascii="Times New Roman" w:eastAsia="方正仿宋_GBK" w:hAnsi="Times New Roman" w:hint="eastAsia"/>
          <w:sz w:val="32"/>
          <w:szCs w:val="32"/>
        </w:rPr>
        <w:t>万元，占8.62%。</w:t>
      </w:r>
    </w:p>
    <w:p>
      <w:pPr>
        <w:spacing w:line="560" w:lineRule="exact"/>
        <w:rPr>
          <w:rFonts w:ascii="Times New Roman" w:eastAsia="方正仿宋_GBK" w:hAnsi="Times New Roman"/>
          <w:sz w:val="32"/>
          <w:szCs w:val="32"/>
        </w:rPr>
      </w:pPr>
      <w:r>
        <w:rPr>
          <w:rFonts w:ascii="Times New Roman" w:eastAsia="方正仿宋_GBK" w:hAnsi="Times New Roman"/>
          <w:sz w:val="32"/>
          <w:szCs w:val="32"/>
          <w:lang w:bidi="mn-Mong-CN"/>
        </w:rPr>
        <w:drawing>
          <wp:anchor distT="0" distB="0" distL="114300" distR="114300" simplePos="0" relativeHeight="18" behindDoc="0" locked="0" layoutInCell="1" hidden="0" allowOverlap="1">
            <wp:simplePos x="0" y="0"/>
            <wp:positionH relativeFrom="column">
              <wp:posOffset>235584</wp:posOffset>
            </wp:positionH>
            <wp:positionV relativeFrom="paragraph">
              <wp:posOffset>106680</wp:posOffset>
            </wp:positionV>
            <wp:extent cx="4899025" cy="2427605"/>
            <wp:effectExtent l="0" t="0" r="0" b="0"/>
            <wp:wrapNone/>
            <wp:docPr id="13" name="对象 13"/>
            <wp:cNvGraphicFramePr>
              <a:graphicFrameLocks noChangeAspect="0"/>
            </wp:cNvGraphicFramePr>
            <a:graphic>
              <a:graphicData uri="http://schemas.openxmlformats.org/drawingml/2006/picture">
                <pic:pic>
                  <pic:nvPicPr>
                    <pic:cNvPr id="15" name="对象 15"/>
                    <pic:cNvPicPr/>
                  </pic:nvPicPr>
                  <pic:blipFill>
                    <a:blip r:embed="rId7"/>
                    <a:stretch>
                      <a:fillRect/>
                    </a:stretch>
                  </pic:blipFill>
                  <pic:spPr>
                    <a:xfrm rot="0">
                      <a:off x="0" y="0"/>
                      <a:ext cx="4899025" cy="2427605"/>
                    </a:xfrm>
                    <a:prstGeom prst="rect"/>
                    <a:ln w="9525" cmpd="sng" cap="flat">
                      <a:solidFill>
                        <a:srgbClr val="000000"/>
                      </a:solidFill>
                      <a:prstDash val="solid"/>
                      <a:miter/>
                    </a:ln>
                  </pic:spPr>
                </pic:pic>
              </a:graphicData>
            </a:graphic>
          </wp:anchor>
        </w:drawing>
      </w:r>
    </w:p>
    <w:p>
      <w:pPr>
        <w:spacing w:line="560" w:lineRule="exact"/>
        <w:rPr>
          <w:rFonts w:ascii="Times New Roman" w:eastAsia="方正仿宋_GBK" w:hAnsi="Times New Roman"/>
          <w:sz w:val="32"/>
          <w:szCs w:val="32"/>
        </w:rPr>
      </w:pPr>
    </w:p>
    <w:p>
      <w:pPr>
        <w:spacing w:line="560" w:lineRule="exact"/>
        <w:rPr>
          <w:rFonts w:ascii="Times New Roman" w:eastAsia="方正仿宋_GBK" w:hAnsi="Times New Roman"/>
          <w:sz w:val="32"/>
          <w:szCs w:val="32"/>
        </w:rPr>
      </w:pPr>
    </w:p>
    <w:p>
      <w:pPr>
        <w:spacing w:line="560" w:lineRule="exact"/>
        <w:rPr>
          <w:rFonts w:ascii="Times New Roman" w:eastAsia="方正仿宋_GBK" w:hAnsi="Times New Roman"/>
          <w:sz w:val="32"/>
          <w:szCs w:val="32"/>
        </w:rPr>
      </w:pPr>
    </w:p>
    <w:p>
      <w:pPr>
        <w:spacing w:line="560" w:lineRule="exact"/>
        <w:rPr>
          <w:rFonts w:ascii="Times New Roman" w:eastAsia="方正仿宋_GBK" w:hAnsi="Times New Roman"/>
          <w:sz w:val="32"/>
          <w:szCs w:val="32"/>
        </w:rPr>
      </w:pPr>
    </w:p>
    <w:p>
      <w:pPr>
        <w:spacing w:line="560" w:lineRule="exact"/>
        <w:rPr>
          <w:rFonts w:ascii="Times New Roman" w:eastAsia="方正仿宋_GBK" w:hAnsi="Times New Roman"/>
          <w:sz w:val="32"/>
          <w:szCs w:val="32"/>
        </w:rPr>
      </w:pPr>
    </w:p>
    <w:p>
      <w:pPr>
        <w:spacing w:line="560" w:lineRule="exact"/>
        <w:ind w:firstLineChars="200" w:firstLine="640"/>
        <w:rPr>
          <w:rFonts w:ascii="Times New Roman" w:eastAsia="方正楷体_GBK" w:hAnsi="Times New Roman"/>
          <w:b/>
          <w:bCs/>
          <w:sz w:val="32"/>
          <w:szCs w:val="32"/>
        </w:rPr>
      </w:pPr>
    </w:p>
    <w:p>
      <w:pPr>
        <w:spacing w:line="560" w:lineRule="exact"/>
        <w:ind w:firstLineChars="200" w:firstLine="640"/>
        <w:rPr>
          <w:rFonts w:ascii="Times New Roman" w:eastAsia="方正楷体_GBK" w:hAnsi="Times New Roman"/>
          <w:b/>
          <w:bCs/>
          <w:sz w:val="32"/>
          <w:szCs w:val="32"/>
        </w:rPr>
      </w:pPr>
      <w:r>
        <w:rPr>
          <w:rFonts w:ascii="Times New Roman" w:eastAsia="方正楷体_GBK" w:hAnsi="Times New Roman" w:hint="eastAsia"/>
          <w:b/>
          <w:bCs/>
          <w:sz w:val="32"/>
          <w:szCs w:val="32"/>
        </w:rPr>
        <w:t>（三）一般公共预算当年财政拨款具体使用情况。</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1．一般公共服务支出（类）海关事务（款）202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25123.42</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年执行数减少</w:t>
      </w:r>
      <w:r>
        <w:rPr>
          <w:rFonts w:ascii="Times New Roman" w:eastAsia="方正仿宋_GBK" w:hAnsi="Times New Roman"/>
          <w:sz w:val="32"/>
          <w:szCs w:val="32"/>
        </w:rPr>
        <w:t>2760.88</w:t>
      </w:r>
      <w:r>
        <w:rPr>
          <w:rFonts w:ascii="Times New Roman" w:eastAsia="方正仿宋_GBK" w:hAnsi="Times New Roman" w:hint="eastAsia"/>
          <w:sz w:val="32"/>
          <w:szCs w:val="32"/>
        </w:rPr>
        <w:t>万元，下降10.12%，其中：</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（1）行政运行（项）202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17965.54</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年执行数减少</w:t>
      </w:r>
      <w:r>
        <w:rPr>
          <w:rFonts w:ascii="Times New Roman" w:eastAsia="方正仿宋_GBK" w:hAnsi="Times New Roman"/>
          <w:sz w:val="32"/>
          <w:szCs w:val="32"/>
        </w:rPr>
        <w:t>1918.67</w:t>
      </w:r>
      <w:r>
        <w:rPr>
          <w:rFonts w:ascii="Times New Roman" w:eastAsia="方正仿宋_GBK" w:hAnsi="Times New Roman" w:hint="eastAsia"/>
          <w:sz w:val="32"/>
          <w:szCs w:val="32"/>
        </w:rPr>
        <w:t>万元，下降</w:t>
      </w:r>
      <w:r>
        <w:rPr>
          <w:rFonts w:ascii="Times New Roman" w:eastAsia="方正仿宋_GBK" w:hAnsi="Times New Roman"/>
          <w:sz w:val="32"/>
          <w:szCs w:val="32"/>
        </w:rPr>
        <w:t>9.65</w:t>
      </w:r>
      <w:r>
        <w:rPr>
          <w:rFonts w:ascii="Times New Roman" w:eastAsia="方正仿宋_GBK" w:hAnsi="Times New Roman" w:hint="eastAsia"/>
          <w:sz w:val="32"/>
          <w:szCs w:val="32"/>
        </w:rPr>
        <w:t>%。主要是落实过紧日子要求，压减相关经费。</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（2）一般行政管理事务（项）202</w:t>
      </w:r>
      <w:r>
        <w:rPr>
          <w:rFonts w:ascii="Times New Roman" w:eastAsia="方正仿宋_GBK" w:hAnsi="Times New Roman"/>
          <w:sz w:val="32"/>
          <w:szCs w:val="32"/>
        </w:rPr>
        <w:t>3</w:t>
      </w:r>
      <w:r>
        <w:rPr>
          <w:rFonts w:ascii="Times New Roman" w:eastAsia="方正仿宋_GBK" w:hAnsi="Times New Roman" w:hint="eastAsia"/>
          <w:sz w:val="32"/>
          <w:szCs w:val="32"/>
        </w:rPr>
        <w:t>年预算5.00万元，比202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年执行数减少</w:t>
      </w:r>
      <w:r>
        <w:rPr>
          <w:rFonts w:ascii="Times New Roman" w:eastAsia="方正仿宋_GBK" w:hAnsi="Times New Roman"/>
          <w:sz w:val="32"/>
          <w:szCs w:val="32"/>
        </w:rPr>
        <w:t>135</w:t>
      </w:r>
      <w:r>
        <w:rPr>
          <w:rFonts w:ascii="Times New Roman" w:eastAsia="方正仿宋_GBK" w:hAnsi="Times New Roman" w:hint="eastAsia"/>
          <w:sz w:val="32"/>
          <w:szCs w:val="32"/>
        </w:rPr>
        <w:t>.00万元，下降</w:t>
      </w:r>
      <w:r>
        <w:rPr>
          <w:rFonts w:ascii="Times New Roman" w:eastAsia="方正仿宋_GBK" w:hAnsi="Times New Roman"/>
          <w:sz w:val="32"/>
          <w:szCs w:val="32"/>
        </w:rPr>
        <w:t>96.43</w:t>
      </w:r>
      <w:r>
        <w:rPr>
          <w:rFonts w:ascii="Times New Roman" w:eastAsia="方正仿宋_GBK" w:hAnsi="Times New Roman" w:hint="eastAsia"/>
          <w:sz w:val="32"/>
          <w:szCs w:val="32"/>
        </w:rPr>
        <w:t>%。主要是2023年中央基建投资</w:t>
      </w:r>
      <w:r>
        <w:rPr>
          <w:rFonts w:ascii="Times New Roman" w:eastAsia="方正仿宋_GBK" w:hAnsi="Times New Roman"/>
          <w:sz w:val="32"/>
          <w:szCs w:val="32"/>
        </w:rPr>
        <w:t>尚未下达预算</w:t>
      </w:r>
      <w:r>
        <w:rPr>
          <w:rFonts w:ascii="Times New Roman" w:eastAsia="方正仿宋_GBK" w:hAnsi="Times New Roman" w:hint="eastAsia"/>
          <w:sz w:val="32"/>
          <w:szCs w:val="32"/>
        </w:rPr>
        <w:t>。</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（3）机关服务（项）202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401</w:t>
      </w:r>
      <w:r>
        <w:rPr>
          <w:rFonts w:ascii="Times New Roman" w:eastAsia="方正仿宋_GBK" w:hAnsi="Times New Roman" w:hint="eastAsia"/>
          <w:sz w:val="32"/>
          <w:szCs w:val="32"/>
        </w:rPr>
        <w:t>.00万元，比202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年执行数减少0.94万元，下降</w:t>
      </w:r>
      <w:r>
        <w:rPr>
          <w:rFonts w:ascii="Times New Roman" w:eastAsia="方正仿宋_GBK" w:hAnsi="Times New Roman"/>
          <w:sz w:val="32"/>
          <w:szCs w:val="32"/>
        </w:rPr>
        <w:t>0.</w:t>
      </w:r>
      <w:r>
        <w:rPr>
          <w:rFonts w:ascii="Times New Roman" w:eastAsia="方正仿宋_GBK" w:hAnsi="Times New Roman" w:hint="eastAsia"/>
          <w:sz w:val="32"/>
          <w:szCs w:val="32"/>
        </w:rPr>
        <w:t>2</w:t>
      </w:r>
      <w:r>
        <w:rPr>
          <w:rFonts w:ascii="Times New Roman" w:eastAsia="方正仿宋_GBK" w:hAnsi="Times New Roman"/>
          <w:sz w:val="32"/>
          <w:szCs w:val="32"/>
        </w:rPr>
        <w:t>3</w:t>
      </w:r>
      <w:r>
        <w:rPr>
          <w:rFonts w:ascii="Times New Roman" w:eastAsia="方正仿宋_GBK" w:hAnsi="Times New Roman" w:hint="eastAsia"/>
          <w:sz w:val="32"/>
          <w:szCs w:val="32"/>
        </w:rPr>
        <w:t>%。主要是机关服务支出减少。</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（4）缉私办案（项）202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93</w:t>
      </w:r>
      <w:r>
        <w:rPr>
          <w:rFonts w:ascii="Times New Roman" w:eastAsia="方正仿宋_GBK" w:hAnsi="Times New Roman" w:hint="eastAsia"/>
          <w:sz w:val="32"/>
          <w:szCs w:val="32"/>
        </w:rPr>
        <w:t>.00万元，比202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年执行数增加58.00万元，增长</w:t>
      </w:r>
      <w:r>
        <w:rPr>
          <w:rFonts w:ascii="Times New Roman" w:eastAsia="方正仿宋_GBK" w:hAnsi="Times New Roman"/>
          <w:sz w:val="32"/>
          <w:szCs w:val="32"/>
        </w:rPr>
        <w:t>165.71</w:t>
      </w:r>
      <w:r>
        <w:rPr>
          <w:rFonts w:ascii="Times New Roman" w:eastAsia="方正仿宋_GBK" w:hAnsi="Times New Roman" w:hint="eastAsia"/>
          <w:sz w:val="32"/>
          <w:szCs w:val="32"/>
        </w:rPr>
        <w:t>%，主要是缉私办案支出增加。</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（5）口岸管理（项）202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39.2</w:t>
      </w:r>
      <w:r>
        <w:rPr>
          <w:rFonts w:ascii="Times New Roman" w:eastAsia="方正仿宋_GBK" w:hAnsi="Times New Roman" w:hint="eastAsia"/>
          <w:sz w:val="32"/>
          <w:szCs w:val="32"/>
        </w:rPr>
        <w:t>0万元，比202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年执行数减少7.00万元，下降</w:t>
      </w:r>
      <w:r>
        <w:rPr>
          <w:rFonts w:ascii="Times New Roman" w:eastAsia="方正仿宋_GBK" w:hAnsi="Times New Roman"/>
          <w:sz w:val="32"/>
          <w:szCs w:val="32"/>
        </w:rPr>
        <w:t>1</w:t>
      </w:r>
      <w:r>
        <w:rPr>
          <w:rFonts w:ascii="Times New Roman" w:eastAsia="方正仿宋_GBK" w:hAnsi="Times New Roman" w:hint="eastAsia"/>
          <w:sz w:val="32"/>
          <w:szCs w:val="32"/>
        </w:rPr>
        <w:t>5</w:t>
      </w:r>
      <w:r>
        <w:rPr>
          <w:rFonts w:ascii="Times New Roman" w:eastAsia="方正仿宋_GBK" w:hAnsi="Times New Roman"/>
          <w:sz w:val="32"/>
          <w:szCs w:val="32"/>
        </w:rPr>
        <w:t>.1</w:t>
      </w:r>
      <w:r>
        <w:rPr>
          <w:rFonts w:ascii="Times New Roman" w:eastAsia="方正仿宋_GBK" w:hAnsi="Times New Roman" w:hint="eastAsia"/>
          <w:sz w:val="32"/>
          <w:szCs w:val="32"/>
        </w:rPr>
        <w:t>5%。主要是口岸管理支出减少。</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（6）信息化建设（项）202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414</w:t>
      </w:r>
      <w:r>
        <w:rPr>
          <w:rFonts w:ascii="Times New Roman" w:eastAsia="方正仿宋_GBK" w:hAnsi="Times New Roman" w:hint="eastAsia"/>
          <w:sz w:val="32"/>
          <w:szCs w:val="32"/>
        </w:rPr>
        <w:t>.00万元，比202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年执行数增加</w:t>
      </w:r>
      <w:r>
        <w:rPr>
          <w:rFonts w:ascii="Times New Roman" w:eastAsia="方正仿宋_GBK" w:hAnsi="Times New Roman"/>
          <w:sz w:val="32"/>
          <w:szCs w:val="32"/>
        </w:rPr>
        <w:t>85.00</w:t>
      </w:r>
      <w:r>
        <w:rPr>
          <w:rFonts w:ascii="Times New Roman" w:eastAsia="方正仿宋_GBK" w:hAnsi="Times New Roman" w:hint="eastAsia"/>
          <w:sz w:val="32"/>
          <w:szCs w:val="32"/>
        </w:rPr>
        <w:t>万元，增长</w:t>
      </w:r>
      <w:r>
        <w:rPr>
          <w:rFonts w:ascii="Times New Roman" w:eastAsia="方正仿宋_GBK" w:hAnsi="Times New Roman"/>
          <w:sz w:val="32"/>
          <w:szCs w:val="32"/>
        </w:rPr>
        <w:t>25.84</w:t>
      </w:r>
      <w:r>
        <w:rPr>
          <w:rFonts w:ascii="Times New Roman" w:eastAsia="方正仿宋_GBK" w:hAnsi="Times New Roman" w:hint="eastAsia"/>
          <w:sz w:val="32"/>
          <w:szCs w:val="32"/>
        </w:rPr>
        <w:t>%。主要是信息化建设支出增加。</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（7）海关关务（项）202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4269</w:t>
      </w:r>
      <w:r>
        <w:rPr>
          <w:rFonts w:ascii="Times New Roman" w:eastAsia="方正仿宋_GBK" w:hAnsi="Times New Roman" w:hint="eastAsia"/>
          <w:sz w:val="32"/>
          <w:szCs w:val="32"/>
        </w:rPr>
        <w:t>.00万元，比202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年执行数增加</w:t>
      </w:r>
      <w:r>
        <w:rPr>
          <w:rFonts w:ascii="Times New Roman" w:eastAsia="方正仿宋_GBK" w:hAnsi="Times New Roman"/>
          <w:sz w:val="32"/>
          <w:szCs w:val="32"/>
        </w:rPr>
        <w:t>1048.3</w:t>
      </w:r>
      <w:r>
        <w:rPr>
          <w:rFonts w:ascii="Times New Roman" w:eastAsia="方正仿宋_GBK" w:hAnsi="Times New Roman" w:hint="eastAsia"/>
          <w:sz w:val="32"/>
          <w:szCs w:val="32"/>
        </w:rPr>
        <w:t>0万元，增长</w:t>
      </w:r>
      <w:r>
        <w:rPr>
          <w:rFonts w:ascii="Times New Roman" w:eastAsia="方正仿宋_GBK" w:hAnsi="Times New Roman"/>
          <w:sz w:val="32"/>
          <w:szCs w:val="32"/>
        </w:rPr>
        <w:t>32.55</w:t>
      </w:r>
      <w:r>
        <w:rPr>
          <w:rFonts w:ascii="Times New Roman" w:eastAsia="方正仿宋_GBK" w:hAnsi="Times New Roman" w:hint="eastAsia"/>
          <w:sz w:val="32"/>
          <w:szCs w:val="32"/>
        </w:rPr>
        <w:t>%。主要是海关业务保障支出增加。</w:t>
      </w:r>
    </w:p>
    <w:p>
      <w:pPr>
        <w:spacing w:line="560" w:lineRule="exact"/>
        <w:ind w:firstLineChars="200" w:firstLine="640"/>
        <w:rPr>
          <w:rFonts w:ascii="Times New Roman" w:eastAsia="方正仿宋_GBK" w:hAnsi="Times New Roman"/>
          <w:sz w:val="32"/>
          <w:szCs w:val="32"/>
        </w:rPr>
      </w:pPr>
      <w:r>
        <w:rPr>
          <w:rFonts w:ascii="Times New Roman" w:hAnsi="Times New Roman" w:hint="eastAsia"/>
          <w:sz w:val="32"/>
          <w:szCs w:val="32"/>
        </w:rPr>
        <w:t>（</w:t>
      </w:r>
      <w:r>
        <w:rPr>
          <w:rFonts w:ascii="Times New Roman" w:eastAsia="方正仿宋_GBK" w:hAnsi="Times New Roman" w:hint="eastAsia"/>
          <w:sz w:val="32"/>
          <w:szCs w:val="32"/>
        </w:rPr>
        <w:t>8）海关监管（项）202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315.43</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年执行数减少</w:t>
      </w:r>
      <w:r>
        <w:rPr>
          <w:rFonts w:ascii="Times New Roman" w:eastAsia="方正仿宋_GBK" w:hAnsi="Times New Roman"/>
          <w:sz w:val="32"/>
          <w:szCs w:val="32"/>
        </w:rPr>
        <w:t>28.38</w:t>
      </w:r>
      <w:r>
        <w:rPr>
          <w:rFonts w:ascii="Times New Roman" w:eastAsia="方正仿宋_GBK" w:hAnsi="Times New Roman" w:hint="eastAsia"/>
          <w:sz w:val="32"/>
          <w:szCs w:val="32"/>
        </w:rPr>
        <w:t>万元，下降</w:t>
      </w:r>
      <w:r>
        <w:rPr>
          <w:rFonts w:ascii="Times New Roman" w:eastAsia="方正仿宋_GBK" w:hAnsi="Times New Roman"/>
          <w:sz w:val="32"/>
          <w:szCs w:val="32"/>
        </w:rPr>
        <w:t>8.25</w:t>
      </w:r>
      <w:r>
        <w:rPr>
          <w:rFonts w:ascii="Times New Roman" w:eastAsia="方正仿宋_GBK" w:hAnsi="Times New Roman" w:hint="eastAsia"/>
          <w:sz w:val="32"/>
          <w:szCs w:val="32"/>
        </w:rPr>
        <w:t>%。主要是海关监管支出减少。</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（9）检验检疫（项）202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402.83</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年执行数减少</w:t>
      </w:r>
      <w:r>
        <w:rPr>
          <w:rFonts w:ascii="Times New Roman" w:eastAsia="方正仿宋_GBK" w:hAnsi="Times New Roman"/>
          <w:sz w:val="32"/>
          <w:szCs w:val="32"/>
        </w:rPr>
        <w:t>1823.56</w:t>
      </w:r>
      <w:r>
        <w:rPr>
          <w:rFonts w:ascii="Times New Roman" w:eastAsia="方正仿宋_GBK" w:hAnsi="Times New Roman" w:hint="eastAsia"/>
          <w:sz w:val="32"/>
          <w:szCs w:val="32"/>
        </w:rPr>
        <w:t>万元，降低</w:t>
      </w:r>
      <w:r>
        <w:rPr>
          <w:rFonts w:ascii="Times New Roman" w:eastAsia="方正仿宋_GBK" w:hAnsi="Times New Roman"/>
          <w:sz w:val="32"/>
          <w:szCs w:val="32"/>
        </w:rPr>
        <w:t>81.91</w:t>
      </w:r>
      <w:r>
        <w:rPr>
          <w:rFonts w:ascii="Times New Roman" w:eastAsia="方正仿宋_GBK" w:hAnsi="Times New Roman" w:hint="eastAsia"/>
          <w:sz w:val="32"/>
          <w:szCs w:val="32"/>
        </w:rPr>
        <w:t>%。主要是检验检疫支出减少。</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（10）事业运行（项）202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605.6</w:t>
      </w:r>
      <w:r>
        <w:rPr>
          <w:rFonts w:ascii="Times New Roman" w:eastAsia="方正仿宋_GBK" w:hAnsi="Times New Roman" w:hint="eastAsia"/>
          <w:sz w:val="32"/>
          <w:szCs w:val="32"/>
        </w:rPr>
        <w:t>0万元，比202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年执行数减少</w:t>
      </w:r>
      <w:r>
        <w:rPr>
          <w:rFonts w:ascii="Times New Roman" w:eastAsia="方正仿宋_GBK" w:hAnsi="Times New Roman"/>
          <w:sz w:val="32"/>
          <w:szCs w:val="32"/>
        </w:rPr>
        <w:t>38.62</w:t>
      </w:r>
      <w:r>
        <w:rPr>
          <w:rFonts w:ascii="Times New Roman" w:eastAsia="方正仿宋_GBK" w:hAnsi="Times New Roman" w:hint="eastAsia"/>
          <w:sz w:val="32"/>
          <w:szCs w:val="32"/>
        </w:rPr>
        <w:t>万元，下降5.99%。主要是事业单位运行</w:t>
      </w:r>
      <w:r>
        <w:rPr>
          <w:rFonts w:ascii="Times New Roman" w:eastAsia="方正仿宋_GBK" w:hAnsi="Times New Roman"/>
          <w:sz w:val="32"/>
          <w:szCs w:val="32"/>
        </w:rPr>
        <w:t>支出</w:t>
      </w:r>
      <w:r>
        <w:rPr>
          <w:rFonts w:ascii="Times New Roman" w:eastAsia="方正仿宋_GBK" w:hAnsi="Times New Roman" w:hint="eastAsia"/>
          <w:sz w:val="32"/>
          <w:szCs w:val="32"/>
        </w:rPr>
        <w:t>减少。</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2．公共安全支出（类）缉私警察（款）202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2228.27</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年执行数减少</w:t>
      </w:r>
      <w:r>
        <w:rPr>
          <w:rFonts w:ascii="Times New Roman" w:eastAsia="方正仿宋_GBK" w:hAnsi="Times New Roman"/>
          <w:sz w:val="32"/>
          <w:szCs w:val="32"/>
        </w:rPr>
        <w:t>15.16</w:t>
      </w:r>
      <w:r>
        <w:rPr>
          <w:rFonts w:ascii="Times New Roman" w:eastAsia="方正仿宋_GBK" w:hAnsi="Times New Roman" w:hint="eastAsia"/>
          <w:sz w:val="32"/>
          <w:szCs w:val="32"/>
        </w:rPr>
        <w:t>万元，下降0.68%。主要是打击走私等项目支出减少。</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3．社会保障和就业支出（类）行政事业单位养老支出（款）202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2477.72</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年执行数增加</w:t>
      </w:r>
      <w:r>
        <w:rPr>
          <w:rFonts w:ascii="Times New Roman" w:eastAsia="方正仿宋_GBK" w:hAnsi="Times New Roman"/>
          <w:sz w:val="32"/>
          <w:szCs w:val="32"/>
        </w:rPr>
        <w:t>9.94</w:t>
      </w:r>
      <w:r>
        <w:rPr>
          <w:rFonts w:ascii="Times New Roman" w:eastAsia="方正仿宋_GBK" w:hAnsi="Times New Roman" w:hint="eastAsia"/>
          <w:sz w:val="32"/>
          <w:szCs w:val="32"/>
        </w:rPr>
        <w:t>万元，增长0.40%。其中：</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（1）行政单位离退休（项）202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237.14</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年执行数增加</w:t>
      </w:r>
      <w:r>
        <w:rPr>
          <w:rFonts w:ascii="Times New Roman" w:eastAsia="方正仿宋_GBK" w:hAnsi="Times New Roman"/>
          <w:sz w:val="32"/>
          <w:szCs w:val="32"/>
        </w:rPr>
        <w:t>0.58</w:t>
      </w:r>
      <w:r>
        <w:rPr>
          <w:rFonts w:ascii="Times New Roman" w:eastAsia="方正仿宋_GBK" w:hAnsi="Times New Roman" w:hint="eastAsia"/>
          <w:sz w:val="32"/>
          <w:szCs w:val="32"/>
        </w:rPr>
        <w:t>万元，增长</w:t>
      </w:r>
      <w:r>
        <w:rPr>
          <w:rFonts w:ascii="Times New Roman" w:eastAsia="方正仿宋_GBK" w:hAnsi="Times New Roman"/>
          <w:sz w:val="32"/>
          <w:szCs w:val="32"/>
        </w:rPr>
        <w:t>0.25</w:t>
      </w:r>
      <w:r>
        <w:rPr>
          <w:rFonts w:ascii="Times New Roman" w:eastAsia="方正仿宋_GBK" w:hAnsi="Times New Roman" w:hint="eastAsia"/>
          <w:sz w:val="32"/>
          <w:szCs w:val="32"/>
        </w:rPr>
        <w:t>%。主要是行政单位离退休经费增加。</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（2）机关事业单位基本养老保险缴费支出（项）202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1463.89</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年执行数减少</w:t>
      </w:r>
      <w:r>
        <w:rPr>
          <w:rFonts w:ascii="Times New Roman" w:eastAsia="方正仿宋_GBK" w:hAnsi="Times New Roman"/>
          <w:sz w:val="32"/>
          <w:szCs w:val="32"/>
        </w:rPr>
        <w:t>26.26</w:t>
      </w:r>
      <w:r>
        <w:rPr>
          <w:rFonts w:ascii="Times New Roman" w:eastAsia="方正仿宋_GBK" w:hAnsi="Times New Roman" w:hint="eastAsia"/>
          <w:sz w:val="32"/>
          <w:szCs w:val="32"/>
        </w:rPr>
        <w:t>万元，下降1.76%。主要是基本养老保险单位缴费经费减少。</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（3）机关事业单位职业年金缴费支出（项）202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776.69</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年执行数增加</w:t>
      </w:r>
      <w:r>
        <w:rPr>
          <w:rFonts w:ascii="Times New Roman" w:eastAsia="方正仿宋_GBK" w:hAnsi="Times New Roman"/>
          <w:sz w:val="32"/>
          <w:szCs w:val="32"/>
        </w:rPr>
        <w:t>35.62</w:t>
      </w:r>
      <w:r>
        <w:rPr>
          <w:rFonts w:ascii="Times New Roman" w:eastAsia="方正仿宋_GBK" w:hAnsi="Times New Roman" w:hint="eastAsia"/>
          <w:sz w:val="32"/>
          <w:szCs w:val="32"/>
        </w:rPr>
        <w:t>万元，增长</w:t>
      </w:r>
      <w:r>
        <w:rPr>
          <w:rFonts w:ascii="Times New Roman" w:eastAsia="方正仿宋_GBK" w:hAnsi="Times New Roman"/>
          <w:sz w:val="32"/>
          <w:szCs w:val="32"/>
        </w:rPr>
        <w:t>4.</w:t>
      </w:r>
      <w:r>
        <w:rPr>
          <w:rFonts w:ascii="Times New Roman" w:eastAsia="方正仿宋_GBK" w:hAnsi="Times New Roman" w:hint="eastAsia"/>
          <w:sz w:val="32"/>
          <w:szCs w:val="32"/>
        </w:rPr>
        <w:t>81%。主要是职业年金单位缴费经费增加。</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4．卫生健康支出（类）行政事业单位医疗（款）202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1032.48</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年执行数减少</w:t>
      </w:r>
      <w:r>
        <w:rPr>
          <w:rFonts w:ascii="Times New Roman" w:eastAsia="方正仿宋_GBK" w:hAnsi="Times New Roman"/>
          <w:sz w:val="32"/>
          <w:szCs w:val="32"/>
        </w:rPr>
        <w:t>132.75</w:t>
      </w:r>
      <w:r>
        <w:rPr>
          <w:rFonts w:ascii="Times New Roman" w:eastAsia="方正仿宋_GBK" w:hAnsi="Times New Roman" w:hint="eastAsia"/>
          <w:sz w:val="32"/>
          <w:szCs w:val="32"/>
        </w:rPr>
        <w:t>万元，下降1</w:t>
      </w:r>
      <w:r>
        <w:rPr>
          <w:rFonts w:ascii="Times New Roman" w:eastAsia="方正仿宋_GBK" w:hAnsi="Times New Roman"/>
          <w:sz w:val="32"/>
          <w:szCs w:val="32"/>
        </w:rPr>
        <w:t>1.39</w:t>
      </w:r>
      <w:r>
        <w:rPr>
          <w:rFonts w:ascii="Times New Roman" w:eastAsia="方正仿宋_GBK" w:hAnsi="Times New Roman" w:hint="eastAsia"/>
          <w:sz w:val="32"/>
          <w:szCs w:val="32"/>
        </w:rPr>
        <w:t>%。其中：</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（1）行政单位医疗（项）202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707.2</w:t>
      </w:r>
      <w:r>
        <w:rPr>
          <w:rFonts w:ascii="Times New Roman" w:eastAsia="方正仿宋_GBK" w:hAnsi="Times New Roman" w:hint="eastAsia"/>
          <w:sz w:val="32"/>
          <w:szCs w:val="32"/>
        </w:rPr>
        <w:t>0万元，比202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年执行数减少</w:t>
      </w:r>
      <w:r>
        <w:rPr>
          <w:rFonts w:ascii="Times New Roman" w:eastAsia="方正仿宋_GBK" w:hAnsi="Times New Roman"/>
          <w:sz w:val="32"/>
          <w:szCs w:val="32"/>
        </w:rPr>
        <w:t>159.24</w:t>
      </w:r>
      <w:r>
        <w:rPr>
          <w:rFonts w:ascii="Times New Roman" w:eastAsia="方正仿宋_GBK" w:hAnsi="Times New Roman" w:hint="eastAsia"/>
          <w:sz w:val="32"/>
          <w:szCs w:val="32"/>
        </w:rPr>
        <w:t>万元，下降</w:t>
      </w:r>
      <w:r>
        <w:rPr>
          <w:rFonts w:ascii="Times New Roman" w:eastAsia="方正仿宋_GBK" w:hAnsi="Times New Roman"/>
          <w:sz w:val="32"/>
          <w:szCs w:val="32"/>
        </w:rPr>
        <w:t>18.38</w:t>
      </w:r>
      <w:r>
        <w:rPr>
          <w:rFonts w:ascii="Times New Roman" w:eastAsia="方正仿宋_GBK" w:hAnsi="Times New Roman" w:hint="eastAsia"/>
          <w:sz w:val="32"/>
          <w:szCs w:val="32"/>
        </w:rPr>
        <w:t>%。主要是行政单位医疗经费减少。</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（2）公务员医疗补助（项）202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310.89</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年执行数增加</w:t>
      </w:r>
      <w:r>
        <w:rPr>
          <w:rFonts w:ascii="Times New Roman" w:eastAsia="方正仿宋_GBK" w:hAnsi="Times New Roman"/>
          <w:sz w:val="32"/>
          <w:szCs w:val="32"/>
        </w:rPr>
        <w:t>12.1</w:t>
      </w:r>
      <w:r>
        <w:rPr>
          <w:rFonts w:ascii="Times New Roman" w:eastAsia="方正仿宋_GBK" w:hAnsi="Times New Roman" w:hint="eastAsia"/>
          <w:sz w:val="32"/>
          <w:szCs w:val="32"/>
        </w:rPr>
        <w:t>0万元，增长</w:t>
      </w:r>
      <w:r>
        <w:rPr>
          <w:rFonts w:ascii="Times New Roman" w:eastAsia="方正仿宋_GBK" w:hAnsi="Times New Roman"/>
          <w:sz w:val="32"/>
          <w:szCs w:val="32"/>
        </w:rPr>
        <w:t>4.05</w:t>
      </w:r>
      <w:r>
        <w:rPr>
          <w:rFonts w:ascii="Times New Roman" w:eastAsia="方正仿宋_GBK" w:hAnsi="Times New Roman" w:hint="eastAsia"/>
          <w:sz w:val="32"/>
          <w:szCs w:val="32"/>
        </w:rPr>
        <w:t>%。主要是公务员医疗补助经费增加。</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cs="Times New Roman" w:hAnsi="Times New Roman"/>
          <w:sz w:val="32"/>
          <w:szCs w:val="32"/>
        </w:rPr>
        <w:t>3</w:t>
      </w:r>
      <w:r>
        <w:rPr>
          <w:rFonts w:ascii="Times New Roman" w:eastAsia="方正仿宋_GBK" w:hAnsi="Times New Roman" w:hint="eastAsia"/>
          <w:sz w:val="32"/>
          <w:szCs w:val="32"/>
        </w:rPr>
        <w:t>）其他行政事业单位医疗支出（项）2023年</w:t>
      </w:r>
      <w:r>
        <w:rPr>
          <w:rFonts w:ascii="Times New Roman" w:eastAsia="方正仿宋_GBK" w:hAnsi="Times New Roman"/>
          <w:sz w:val="32"/>
          <w:szCs w:val="32"/>
        </w:rPr>
        <w:t>预算14.39</w:t>
      </w:r>
      <w:r>
        <w:rPr>
          <w:rFonts w:ascii="Times New Roman" w:eastAsia="方正仿宋_GBK" w:hAnsi="Times New Roman" w:hint="eastAsia"/>
          <w:sz w:val="32"/>
          <w:szCs w:val="32"/>
        </w:rPr>
        <w:t>万元</w:t>
      </w:r>
      <w:r>
        <w:rPr>
          <w:rFonts w:ascii="Times New Roman" w:eastAsia="方正仿宋_GBK" w:hAnsi="Times New Roman"/>
          <w:sz w:val="32"/>
          <w:szCs w:val="32"/>
        </w:rPr>
        <w:t>，比</w:t>
      </w:r>
      <w:r>
        <w:rPr>
          <w:rFonts w:ascii="Times New Roman" w:eastAsia="方正仿宋_GBK" w:hAnsi="Times New Roman" w:hint="eastAsia"/>
          <w:sz w:val="32"/>
          <w:szCs w:val="32"/>
        </w:rPr>
        <w:t>2022年</w:t>
      </w:r>
      <w:r>
        <w:rPr>
          <w:rFonts w:ascii="Times New Roman" w:eastAsia="方正仿宋_GBK" w:hAnsi="Times New Roman"/>
          <w:sz w:val="32"/>
          <w:szCs w:val="32"/>
        </w:rPr>
        <w:t>执行数增加14.39</w:t>
      </w:r>
      <w:r>
        <w:rPr>
          <w:rFonts w:ascii="Times New Roman" w:eastAsia="方正仿宋_GBK" w:hAnsi="Times New Roman" w:hint="eastAsia"/>
          <w:sz w:val="32"/>
          <w:szCs w:val="32"/>
        </w:rPr>
        <w:t>万元</w:t>
      </w:r>
      <w:r>
        <w:rPr>
          <w:rFonts w:ascii="Times New Roman" w:eastAsia="方正仿宋_GBK" w:hAnsi="Times New Roman"/>
          <w:sz w:val="32"/>
          <w:szCs w:val="32"/>
        </w:rPr>
        <w:t>，增长</w:t>
      </w:r>
      <w:r>
        <w:rPr>
          <w:rFonts w:ascii="Times New Roman" w:eastAsia="方正仿宋_GBK" w:hAnsi="Times New Roman" w:hint="eastAsia"/>
          <w:sz w:val="32"/>
          <w:szCs w:val="32"/>
        </w:rPr>
        <w:t>100</w:t>
      </w:r>
      <w:r>
        <w:rPr>
          <w:rFonts w:ascii="Times New Roman" w:eastAsia="方正仿宋_GBK" w:hAnsi="Times New Roman"/>
          <w:sz w:val="32"/>
          <w:szCs w:val="32"/>
        </w:rPr>
        <w:t>%</w:t>
      </w:r>
      <w:r>
        <w:rPr>
          <w:rFonts w:ascii="Times New Roman" w:eastAsia="方正仿宋_GBK" w:hAnsi="Times New Roman" w:hint="eastAsia"/>
          <w:sz w:val="32"/>
          <w:szCs w:val="32"/>
        </w:rPr>
        <w:t>，</w:t>
      </w:r>
      <w:r>
        <w:rPr>
          <w:rFonts w:ascii="Times New Roman" w:eastAsia="方正仿宋_GBK" w:hAnsi="Times New Roman"/>
          <w:sz w:val="32"/>
          <w:szCs w:val="32"/>
        </w:rPr>
        <w:t>主要是今年新增安排工伤保险缴费预算</w:t>
      </w:r>
      <w:r>
        <w:rPr>
          <w:rFonts w:ascii="Times New Roman" w:eastAsia="方正仿宋_GBK" w:hAnsi="Times New Roman" w:hint="eastAsia"/>
          <w:sz w:val="32"/>
          <w:szCs w:val="32"/>
        </w:rPr>
        <w:t>。</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5．住房保障支出（类）住房改革支出（款）202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2913.81</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年执行数增加</w:t>
      </w:r>
      <w:r>
        <w:rPr>
          <w:rFonts w:ascii="Times New Roman" w:eastAsia="方正仿宋_GBK" w:hAnsi="Times New Roman"/>
          <w:sz w:val="32"/>
          <w:szCs w:val="32"/>
        </w:rPr>
        <w:t>399.71</w:t>
      </w:r>
      <w:r>
        <w:rPr>
          <w:rFonts w:ascii="Times New Roman" w:eastAsia="方正仿宋_GBK" w:hAnsi="Times New Roman" w:hint="eastAsia"/>
          <w:sz w:val="32"/>
          <w:szCs w:val="32"/>
        </w:rPr>
        <w:t>万元，增长</w:t>
      </w:r>
      <w:r>
        <w:rPr>
          <w:rFonts w:ascii="Times New Roman" w:eastAsia="方正仿宋_GBK" w:hAnsi="Times New Roman"/>
          <w:sz w:val="32"/>
          <w:szCs w:val="32"/>
        </w:rPr>
        <w:t>15.9</w:t>
      </w:r>
      <w:r>
        <w:rPr>
          <w:rFonts w:ascii="Times New Roman" w:eastAsia="方正仿宋_GBK" w:hAnsi="Times New Roman" w:hint="eastAsia"/>
          <w:sz w:val="32"/>
          <w:szCs w:val="32"/>
        </w:rPr>
        <w:t>%。主要是缴存基数调整和职务职级变动相应增加经费支出。其中：</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（1）住房公积金（项）202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1988.03</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年执行数增加</w:t>
      </w:r>
      <w:r>
        <w:rPr>
          <w:rFonts w:ascii="Times New Roman" w:eastAsia="方正仿宋_GBK" w:hAnsi="Times New Roman"/>
          <w:sz w:val="32"/>
          <w:szCs w:val="32"/>
        </w:rPr>
        <w:t>267.93</w:t>
      </w:r>
      <w:r>
        <w:rPr>
          <w:rFonts w:ascii="Times New Roman" w:eastAsia="方正仿宋_GBK" w:hAnsi="Times New Roman" w:hint="eastAsia"/>
          <w:sz w:val="32"/>
          <w:szCs w:val="32"/>
        </w:rPr>
        <w:t>万元，增长</w:t>
      </w:r>
      <w:r>
        <w:rPr>
          <w:rFonts w:ascii="Times New Roman" w:eastAsia="方正仿宋_GBK" w:hAnsi="Times New Roman"/>
          <w:sz w:val="32"/>
          <w:szCs w:val="32"/>
        </w:rPr>
        <w:t>15.58</w:t>
      </w:r>
      <w:r>
        <w:rPr>
          <w:rFonts w:ascii="Times New Roman" w:eastAsia="方正仿宋_GBK" w:hAnsi="Times New Roman" w:hint="eastAsia"/>
          <w:sz w:val="32"/>
          <w:szCs w:val="32"/>
        </w:rPr>
        <w:t>%。</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（2）购房补贴（项）202</w:t>
      </w:r>
      <w:r>
        <w:rPr>
          <w:rFonts w:ascii="Times New Roman" w:eastAsia="方正仿宋_GBK" w:hAnsi="Times New Roman"/>
          <w:sz w:val="32"/>
          <w:szCs w:val="32"/>
        </w:rPr>
        <w:t>3</w:t>
      </w:r>
      <w:r>
        <w:rPr>
          <w:rFonts w:ascii="Times New Roman" w:eastAsia="方正仿宋_GBK" w:hAnsi="Times New Roman" w:hint="eastAsia"/>
          <w:sz w:val="32"/>
          <w:szCs w:val="32"/>
        </w:rPr>
        <w:t>年预算</w:t>
      </w:r>
      <w:r>
        <w:rPr>
          <w:rFonts w:ascii="Times New Roman" w:eastAsia="方正仿宋_GBK" w:hAnsi="Times New Roman"/>
          <w:sz w:val="32"/>
          <w:szCs w:val="32"/>
        </w:rPr>
        <w:t>925.78</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年执行数增加</w:t>
      </w:r>
      <w:r>
        <w:rPr>
          <w:rFonts w:ascii="Times New Roman" w:eastAsia="方正仿宋_GBK" w:hAnsi="Times New Roman"/>
          <w:sz w:val="32"/>
          <w:szCs w:val="32"/>
        </w:rPr>
        <w:t>131.78</w:t>
      </w:r>
      <w:r>
        <w:rPr>
          <w:rFonts w:ascii="Times New Roman" w:eastAsia="方正仿宋_GBK" w:hAnsi="Times New Roman" w:hint="eastAsia"/>
          <w:sz w:val="32"/>
          <w:szCs w:val="32"/>
        </w:rPr>
        <w:t>万元，增长</w:t>
      </w:r>
      <w:r>
        <w:rPr>
          <w:rFonts w:ascii="Times New Roman" w:eastAsia="方正仿宋_GBK" w:hAnsi="Times New Roman"/>
          <w:sz w:val="32"/>
          <w:szCs w:val="32"/>
        </w:rPr>
        <w:t>16.6</w:t>
      </w:r>
      <w:r>
        <w:rPr>
          <w:rFonts w:ascii="Times New Roman" w:eastAsia="方正仿宋_GBK" w:hAnsi="Times New Roman" w:hint="eastAsia"/>
          <w:sz w:val="32"/>
          <w:szCs w:val="32"/>
        </w:rPr>
        <w:t>0%。</w:t>
      </w:r>
    </w:p>
    <w:p>
      <w:pPr>
        <w:pStyle w:val="18"/>
        <w:spacing w:line="560" w:lineRule="exact"/>
        <w:ind w:firstLineChars="200" w:firstLine="640"/>
        <w:rPr>
          <w:rFonts w:eastAsia="方正黑体_GBK"/>
          <w:sz w:val="32"/>
          <w:szCs w:val="32"/>
        </w:rPr>
      </w:pPr>
      <w:r>
        <w:rPr>
          <w:rFonts w:eastAsia="方正黑体_GBK" w:hint="eastAsia"/>
          <w:sz w:val="32"/>
          <w:szCs w:val="32"/>
        </w:rPr>
        <w:t>六、关于2022年一般公共预算基本支出情况说明</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呼和浩特海关202</w:t>
      </w:r>
      <w:r>
        <w:rPr>
          <w:rFonts w:ascii="Times New Roman" w:eastAsia="方正仿宋_GBK" w:hAnsi="Times New Roman"/>
          <w:sz w:val="32"/>
          <w:szCs w:val="32"/>
        </w:rPr>
        <w:t>3</w:t>
      </w:r>
      <w:r>
        <w:rPr>
          <w:rFonts w:ascii="Times New Roman" w:eastAsia="方正仿宋_GBK" w:hAnsi="Times New Roman" w:hint="eastAsia"/>
          <w:sz w:val="32"/>
          <w:szCs w:val="32"/>
        </w:rPr>
        <w:t>年一般公共预算基本支出</w:t>
      </w:r>
      <w:r>
        <w:rPr>
          <w:rFonts w:ascii="Times New Roman" w:eastAsia="方正仿宋_GBK" w:hAnsi="Times New Roman"/>
          <w:sz w:val="32"/>
          <w:szCs w:val="32"/>
        </w:rPr>
        <w:t>27167.43</w:t>
      </w:r>
      <w:r>
        <w:rPr>
          <w:rFonts w:ascii="Times New Roman" w:eastAsia="方正仿宋_GBK" w:hAnsi="Times New Roman" w:hint="eastAsia"/>
          <w:sz w:val="32"/>
          <w:szCs w:val="32"/>
        </w:rPr>
        <w:t>万元，其中：</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人员经费</w:t>
      </w:r>
      <w:r>
        <w:rPr>
          <w:rFonts w:ascii="Times New Roman" w:eastAsia="方正仿宋_GBK" w:hAnsi="Times New Roman"/>
          <w:sz w:val="32"/>
          <w:szCs w:val="32"/>
        </w:rPr>
        <w:t>19329.29</w:t>
      </w:r>
      <w:r>
        <w:rPr>
          <w:rFonts w:ascii="Times New Roman" w:eastAsia="方正仿宋_GBK" w:hAnsi="Times New Roman" w:hint="eastAsia"/>
          <w:sz w:val="32"/>
          <w:szCs w:val="32"/>
        </w:rPr>
        <w:t>万元，主要包括：基本工资、津贴补贴、奖金、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p>
    <w:p>
      <w:pPr>
        <w:autoSpaceDE w:val="0"/>
        <w:autoSpaceDN w:val="0"/>
        <w:adjustRightInd w:val="0"/>
        <w:spacing w:line="560" w:lineRule="atLeast"/>
        <w:ind w:firstLine="640"/>
        <w:rPr>
          <w:rFonts w:ascii="Times New Roman" w:eastAsia="方正仿宋_GBK" w:hAnsi="Times New Roman"/>
          <w:sz w:val="32"/>
          <w:szCs w:val="32"/>
        </w:rPr>
      </w:pPr>
      <w:r>
        <w:rPr>
          <w:rFonts w:ascii="Times New Roman" w:eastAsia="方正仿宋_GBK" w:hAnsi="Times New Roman" w:hint="eastAsia"/>
          <w:sz w:val="32"/>
          <w:szCs w:val="32"/>
        </w:rPr>
        <w:t>日常公用经费</w:t>
      </w:r>
      <w:r>
        <w:rPr>
          <w:rFonts w:ascii="Times New Roman" w:eastAsia="方正仿宋_GBK" w:hAnsi="Times New Roman"/>
          <w:sz w:val="32"/>
          <w:szCs w:val="32"/>
        </w:rPr>
        <w:t>7838.14</w:t>
      </w:r>
      <w:r>
        <w:rPr>
          <w:rFonts w:ascii="Times New Roman" w:eastAsia="方正仿宋_GBK" w:hAnsi="Times New Roman" w:hint="eastAsia"/>
          <w:sz w:val="32"/>
          <w:szCs w:val="32"/>
        </w:rPr>
        <w:t>万元，主要包括：办公费、印刷费、咨询费、手续费、水费、电费、邮电费、取暖费、物业管理费、差旅费、维修（护）费、租赁费、会议费、培训费、公务接待费、专用材料费、被装购置费、专用燃料费、劳务费、委托业务费、工会经费、福利费、公务用车运行维护费、其他交通费用、税金及附加费用、其他商品和服务支出、办公设备购置、专用设备购置。</w:t>
      </w:r>
    </w:p>
    <w:p>
      <w:pPr>
        <w:pStyle w:val="18"/>
        <w:spacing w:line="560" w:lineRule="exact"/>
        <w:ind w:firstLineChars="200" w:firstLine="640"/>
        <w:rPr>
          <w:rFonts w:eastAsia="方正黑体_GBK"/>
          <w:sz w:val="32"/>
          <w:szCs w:val="32"/>
        </w:rPr>
      </w:pPr>
      <w:r>
        <w:rPr>
          <w:rFonts w:eastAsia="方正黑体_GBK" w:hint="eastAsia"/>
          <w:sz w:val="32"/>
          <w:szCs w:val="32"/>
        </w:rPr>
        <w:t>七、关于202</w:t>
      </w:r>
      <w:r>
        <w:rPr>
          <w:rFonts w:eastAsia="方正黑体_GBK"/>
          <w:sz w:val="32"/>
          <w:szCs w:val="32"/>
        </w:rPr>
        <w:t>3</w:t>
      </w:r>
      <w:r>
        <w:rPr>
          <w:rFonts w:eastAsia="方正黑体_GBK" w:hint="eastAsia"/>
          <w:sz w:val="32"/>
          <w:szCs w:val="32"/>
        </w:rPr>
        <w:t>年“三公”经费预算情况说明</w:t>
      </w:r>
    </w:p>
    <w:p>
      <w:pPr>
        <w:spacing w:line="560" w:lineRule="exact"/>
        <w:ind w:firstLineChars="200" w:firstLine="640"/>
        <w:rPr>
          <w:rFonts w:ascii="Times New Roman" w:hAnsi="Times New Roman"/>
          <w:sz w:val="32"/>
          <w:szCs w:val="32"/>
        </w:rPr>
      </w:pPr>
      <w:r>
        <w:rPr>
          <w:rFonts w:ascii="Times New Roman" w:eastAsia="方正仿宋_GBK" w:hAnsi="Times New Roman" w:hint="eastAsia"/>
          <w:sz w:val="32"/>
          <w:szCs w:val="32"/>
        </w:rPr>
        <w:t>呼和浩特海关202</w:t>
      </w:r>
      <w:r>
        <w:rPr>
          <w:rFonts w:ascii="Times New Roman" w:eastAsia="方正仿宋_GBK" w:hAnsi="Times New Roman"/>
          <w:sz w:val="32"/>
          <w:szCs w:val="32"/>
        </w:rPr>
        <w:t>3</w:t>
      </w:r>
      <w:r>
        <w:rPr>
          <w:rFonts w:ascii="Times New Roman" w:eastAsia="方正仿宋_GBK" w:hAnsi="Times New Roman" w:hint="eastAsia"/>
          <w:sz w:val="32"/>
          <w:szCs w:val="32"/>
        </w:rPr>
        <w:t>年“三公”经费预算数为</w:t>
      </w:r>
      <w:r>
        <w:rPr>
          <w:rFonts w:ascii="Times New Roman" w:eastAsia="方正仿宋_GBK" w:hAnsi="Times New Roman"/>
          <w:sz w:val="32"/>
          <w:szCs w:val="32"/>
        </w:rPr>
        <w:t>777.81</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年预算数减少68.00万元。其中：公务用车购置费14</w:t>
      </w:r>
      <w:r>
        <w:rPr>
          <w:rFonts w:ascii="Times New Roman" w:eastAsia="方正仿宋_GBK" w:hAnsi="Times New Roman"/>
          <w:sz w:val="32"/>
          <w:szCs w:val="32"/>
        </w:rPr>
        <w:t>1</w:t>
      </w:r>
      <w:r>
        <w:rPr>
          <w:rFonts w:ascii="Times New Roman" w:eastAsia="方正仿宋_GBK" w:hAnsi="Times New Roman" w:hint="eastAsia"/>
          <w:sz w:val="32"/>
          <w:szCs w:val="32"/>
        </w:rPr>
        <w:t>.00元，比202</w:t>
      </w:r>
      <w:r>
        <w:rPr>
          <w:rFonts w:ascii="Times New Roman" w:eastAsia="方正仿宋_GBK" w:hAnsi="Times New Roman"/>
          <w:sz w:val="32"/>
          <w:szCs w:val="32"/>
        </w:rPr>
        <w:t>2</w:t>
      </w:r>
      <w:r>
        <w:rPr>
          <w:rFonts w:ascii="Times New Roman" w:eastAsia="方正仿宋_GBK" w:hAnsi="Times New Roman" w:hint="eastAsia"/>
          <w:sz w:val="32"/>
          <w:szCs w:val="32"/>
        </w:rPr>
        <w:t>年预算数增加66.00万元；公务用车运行费</w:t>
      </w:r>
      <w:r>
        <w:rPr>
          <w:rFonts w:ascii="Times New Roman" w:eastAsia="方正仿宋_GBK" w:hAnsi="Times New Roman"/>
          <w:sz w:val="32"/>
          <w:szCs w:val="32"/>
        </w:rPr>
        <w:t>614.13</w:t>
      </w:r>
      <w:r>
        <w:rPr>
          <w:rFonts w:ascii="Times New Roman" w:eastAsia="方正仿宋_GBK" w:hAnsi="Times New Roman" w:hint="eastAsia"/>
          <w:sz w:val="32"/>
          <w:szCs w:val="32"/>
        </w:rPr>
        <w:t>万元，比202</w:t>
      </w:r>
      <w:r>
        <w:rPr>
          <w:rFonts w:ascii="Times New Roman" w:eastAsia="方正仿宋_GBK" w:hAnsi="Times New Roman"/>
          <w:sz w:val="32"/>
          <w:szCs w:val="32"/>
        </w:rPr>
        <w:t>2</w:t>
      </w:r>
      <w:r>
        <w:rPr>
          <w:rFonts w:ascii="Times New Roman" w:eastAsia="方正仿宋_GBK" w:hAnsi="Times New Roman" w:hint="eastAsia"/>
          <w:sz w:val="32"/>
          <w:szCs w:val="32"/>
        </w:rPr>
        <w:t>年预算数减少134.00万元；公务接待费22.68万元，与202</w:t>
      </w:r>
      <w:r>
        <w:rPr>
          <w:rFonts w:ascii="Times New Roman" w:eastAsia="方正仿宋_GBK" w:hAnsi="Times New Roman"/>
          <w:sz w:val="32"/>
          <w:szCs w:val="32"/>
        </w:rPr>
        <w:t>2</w:t>
      </w:r>
      <w:r>
        <w:rPr>
          <w:rFonts w:ascii="Times New Roman" w:eastAsia="方正仿宋_GBK" w:hAnsi="Times New Roman" w:hint="eastAsia"/>
          <w:sz w:val="32"/>
          <w:szCs w:val="32"/>
        </w:rPr>
        <w:t>年预算数持平。主要是</w:t>
      </w:r>
      <w:r>
        <w:rPr>
          <w:rFonts w:ascii="Times New Roman" w:eastAsia="方正仿宋_GBK" w:hAnsi="Times New Roman"/>
          <w:sz w:val="32"/>
          <w:szCs w:val="32"/>
        </w:rPr>
        <w:t>海关系统公务用车老化严重，</w:t>
      </w:r>
      <w:r>
        <w:rPr>
          <w:rFonts w:ascii="Times New Roman" w:eastAsia="方正仿宋_GBK" w:hAnsi="Times New Roman" w:hint="eastAsia"/>
          <w:sz w:val="32"/>
          <w:szCs w:val="32"/>
        </w:rPr>
        <w:t>2023年</w:t>
      </w:r>
      <w:r>
        <w:rPr>
          <w:rFonts w:ascii="Times New Roman" w:eastAsia="方正仿宋_GBK" w:hAnsi="Times New Roman"/>
          <w:sz w:val="32"/>
          <w:szCs w:val="32"/>
        </w:rPr>
        <w:t>根据实际需求</w:t>
      </w:r>
      <w:r>
        <w:rPr>
          <w:rFonts w:ascii="Times New Roman" w:eastAsia="方正仿宋_GBK" w:hAnsi="Times New Roman" w:hint="eastAsia"/>
          <w:sz w:val="32"/>
          <w:szCs w:val="32"/>
        </w:rPr>
        <w:t>增加</w:t>
      </w:r>
      <w:r>
        <w:rPr>
          <w:rFonts w:ascii="Times New Roman" w:eastAsia="方正仿宋_GBK" w:hAnsi="Times New Roman"/>
          <w:sz w:val="32"/>
          <w:szCs w:val="32"/>
        </w:rPr>
        <w:t>公务用车购置，相应</w:t>
      </w:r>
      <w:r>
        <w:rPr>
          <w:rFonts w:ascii="Times New Roman" w:eastAsia="方正仿宋_GBK" w:hAnsi="Times New Roman" w:hint="eastAsia"/>
          <w:sz w:val="32"/>
          <w:szCs w:val="32"/>
        </w:rPr>
        <w:t>减少</w:t>
      </w:r>
      <w:r>
        <w:rPr>
          <w:rFonts w:ascii="Times New Roman" w:eastAsia="方正仿宋_GBK" w:hAnsi="Times New Roman"/>
          <w:sz w:val="32"/>
          <w:szCs w:val="32"/>
        </w:rPr>
        <w:t>公务用车运行费支出。</w:t>
      </w:r>
    </w:p>
    <w:p>
      <w:pPr>
        <w:pStyle w:val="18"/>
        <w:spacing w:line="560" w:lineRule="exact"/>
        <w:ind w:firstLineChars="200" w:firstLine="640"/>
        <w:rPr>
          <w:rFonts w:eastAsia="方正黑体_GBK"/>
          <w:sz w:val="32"/>
          <w:szCs w:val="32"/>
        </w:rPr>
      </w:pPr>
      <w:r>
        <w:rPr>
          <w:rFonts w:eastAsia="方正黑体_GBK" w:hint="eastAsia"/>
          <w:sz w:val="32"/>
          <w:szCs w:val="32"/>
        </w:rPr>
        <w:t>八、关于202</w:t>
      </w:r>
      <w:r>
        <w:rPr>
          <w:rFonts w:eastAsia="方正黑体_GBK"/>
          <w:sz w:val="32"/>
          <w:szCs w:val="32"/>
        </w:rPr>
        <w:t>3</w:t>
      </w:r>
      <w:r>
        <w:rPr>
          <w:rFonts w:eastAsia="方正黑体_GBK" w:hint="eastAsia"/>
          <w:sz w:val="32"/>
          <w:szCs w:val="32"/>
        </w:rPr>
        <w:t>年政府性基金预算收支情况说明</w:t>
      </w:r>
    </w:p>
    <w:p>
      <w:pPr>
        <w:spacing w:line="560" w:lineRule="exact"/>
        <w:ind w:firstLineChars="200" w:firstLine="640"/>
        <w:rPr>
          <w:rFonts w:ascii="Times New Roman" w:hAnsi="Times New Roman"/>
          <w:sz w:val="32"/>
          <w:szCs w:val="32"/>
        </w:rPr>
      </w:pPr>
      <w:r>
        <w:rPr>
          <w:rFonts w:ascii="Times New Roman" w:eastAsia="方正仿宋_GBK" w:hAnsi="Times New Roman" w:hint="eastAsia"/>
          <w:sz w:val="32"/>
          <w:szCs w:val="32"/>
        </w:rPr>
        <w:t>呼和浩特海关202</w:t>
      </w:r>
      <w:r>
        <w:rPr>
          <w:rFonts w:ascii="Times New Roman" w:eastAsia="方正仿宋_GBK" w:hAnsi="Times New Roman"/>
          <w:sz w:val="32"/>
          <w:szCs w:val="32"/>
        </w:rPr>
        <w:t>3</w:t>
      </w:r>
      <w:r>
        <w:rPr>
          <w:rFonts w:ascii="Times New Roman" w:eastAsia="方正仿宋_GBK" w:hAnsi="Times New Roman" w:hint="eastAsia"/>
          <w:sz w:val="32"/>
          <w:szCs w:val="32"/>
        </w:rPr>
        <w:t>年无政府性基金预算收支。</w:t>
      </w:r>
    </w:p>
    <w:p>
      <w:pPr>
        <w:pStyle w:val="18"/>
        <w:spacing w:line="560" w:lineRule="exact"/>
        <w:ind w:firstLineChars="200" w:firstLine="640"/>
        <w:rPr>
          <w:rFonts w:eastAsia="方正黑体_GBK"/>
          <w:sz w:val="32"/>
          <w:szCs w:val="32"/>
        </w:rPr>
      </w:pPr>
      <w:r>
        <w:rPr>
          <w:rFonts w:eastAsia="方正黑体_GBK" w:hint="eastAsia"/>
          <w:sz w:val="32"/>
          <w:szCs w:val="32"/>
        </w:rPr>
        <w:t>九、关于202</w:t>
      </w:r>
      <w:r>
        <w:rPr>
          <w:rFonts w:eastAsia="方正黑体_GBK"/>
          <w:sz w:val="32"/>
          <w:szCs w:val="32"/>
        </w:rPr>
        <w:t>3</w:t>
      </w:r>
      <w:r>
        <w:rPr>
          <w:rFonts w:eastAsia="方正黑体_GBK" w:hint="eastAsia"/>
          <w:sz w:val="32"/>
          <w:szCs w:val="32"/>
        </w:rPr>
        <w:t>年国有资本经营预算收支情况说明</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呼和浩特海关202</w:t>
      </w:r>
      <w:r>
        <w:rPr>
          <w:rFonts w:ascii="Times New Roman" w:eastAsia="方正仿宋_GBK" w:hAnsi="Times New Roman"/>
          <w:sz w:val="32"/>
          <w:szCs w:val="32"/>
        </w:rPr>
        <w:t>3</w:t>
      </w:r>
      <w:r>
        <w:rPr>
          <w:rFonts w:ascii="Times New Roman" w:eastAsia="方正仿宋_GBK" w:hAnsi="Times New Roman" w:hint="eastAsia"/>
          <w:sz w:val="32"/>
          <w:szCs w:val="32"/>
        </w:rPr>
        <w:t>年无国有资本经营预算收支。</w:t>
      </w:r>
    </w:p>
    <w:p>
      <w:pPr>
        <w:pStyle w:val="18"/>
        <w:spacing w:line="560" w:lineRule="exact"/>
        <w:ind w:firstLineChars="200" w:firstLine="640"/>
        <w:rPr>
          <w:rFonts w:eastAsia="方正黑体_GBK"/>
          <w:sz w:val="32"/>
          <w:szCs w:val="32"/>
        </w:rPr>
      </w:pPr>
      <w:r>
        <w:rPr>
          <w:rFonts w:eastAsia="方正黑体_GBK" w:hint="eastAsia"/>
          <w:sz w:val="32"/>
          <w:szCs w:val="32"/>
        </w:rPr>
        <w:t>十、其他重要事项情况说明</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（一）机关运行经费。</w:t>
      </w:r>
    </w:p>
    <w:p>
      <w:pPr>
        <w:autoSpaceDE w:val="0"/>
        <w:autoSpaceDN w:val="0"/>
        <w:adjustRightInd w:val="0"/>
        <w:spacing w:line="560" w:lineRule="atLeast"/>
        <w:ind w:firstLine="640"/>
        <w:rPr>
          <w:rFonts w:ascii="Times New Roman" w:eastAsia="方正仿宋_GBK" w:hAnsi="Times New Roman"/>
          <w:sz w:val="32"/>
          <w:szCs w:val="32"/>
        </w:rPr>
      </w:pPr>
      <w:r>
        <w:rPr>
          <w:rFonts w:ascii="Times New Roman" w:eastAsia="方正仿宋_GBK" w:hAnsi="Times New Roman" w:hint="eastAsia"/>
          <w:sz w:val="32"/>
          <w:szCs w:val="32"/>
        </w:rPr>
        <w:t>202</w:t>
      </w:r>
      <w:r>
        <w:rPr>
          <w:rFonts w:ascii="Times New Roman" w:eastAsia="方正仿宋_GBK" w:hAnsi="Times New Roman"/>
          <w:sz w:val="32"/>
          <w:szCs w:val="32"/>
        </w:rPr>
        <w:t>3</w:t>
      </w:r>
      <w:r>
        <w:rPr>
          <w:rFonts w:ascii="Times New Roman" w:eastAsia="方正仿宋_GBK" w:hAnsi="Times New Roman" w:hint="eastAsia"/>
          <w:sz w:val="32"/>
          <w:szCs w:val="32"/>
        </w:rPr>
        <w:t>年呼和浩特海关运行经费财政拨款预</w:t>
      </w:r>
      <w:r>
        <w:rPr>
          <w:rFonts w:ascii="Times New Roman" w:eastAsia="方正仿宋_GBK" w:hAnsi="Times New Roman" w:hint="eastAsia"/>
          <w:color w:val="000000"/>
          <w:sz w:val="32"/>
          <w:szCs w:val="32"/>
        </w:rPr>
        <w:t>算7544.60</w:t>
      </w:r>
      <w:r>
        <w:rPr>
          <w:rFonts w:ascii="Times New Roman" w:eastAsia="方正仿宋_GBK" w:hAnsi="Times New Roman" w:hint="eastAsia"/>
          <w:sz w:val="32"/>
          <w:szCs w:val="32"/>
        </w:rPr>
        <w:t>万元，较202</w:t>
      </w:r>
      <w:r>
        <w:rPr>
          <w:rFonts w:ascii="Times New Roman" w:eastAsia="方正仿宋_GBK" w:hAnsi="Times New Roman"/>
          <w:sz w:val="32"/>
          <w:szCs w:val="32"/>
        </w:rPr>
        <w:t>2</w:t>
      </w:r>
      <w:r>
        <w:rPr>
          <w:rFonts w:ascii="Times New Roman" w:eastAsia="方正仿宋_GBK" w:hAnsi="Times New Roman" w:hint="eastAsia"/>
          <w:sz w:val="32"/>
          <w:szCs w:val="32"/>
        </w:rPr>
        <w:t>年预</w:t>
      </w:r>
      <w:r>
        <w:rPr>
          <w:rFonts w:ascii="Times New Roman" w:eastAsia="方正仿宋_GBK" w:hAnsi="Times New Roman" w:hint="eastAsia"/>
          <w:color w:val="000000"/>
          <w:sz w:val="32"/>
          <w:szCs w:val="32"/>
        </w:rPr>
        <w:t>算减少535.40万元，减少6.63%。</w:t>
      </w:r>
      <w:r>
        <w:rPr>
          <w:rFonts w:ascii="Times New Roman" w:eastAsia="方正仿宋_GBK" w:hAnsi="Times New Roman" w:hint="eastAsia"/>
          <w:sz w:val="32"/>
          <w:szCs w:val="32"/>
        </w:rPr>
        <w:t>主要是</w:t>
      </w:r>
      <w:r>
        <w:rPr>
          <w:rFonts w:ascii="Times New Roman" w:eastAsia="方正仿宋_GBK" w:cs="宋体" w:hAnsi="Times New Roman" w:hint="eastAsia"/>
          <w:sz w:val="32"/>
          <w:szCs w:val="32"/>
          <w:lang w:val="zh-CN" w:bidi="mn-Mong-CN"/>
        </w:rPr>
        <w:t>落实</w:t>
      </w:r>
      <w:r>
        <w:rPr>
          <w:rFonts w:ascii="Times New Roman" w:eastAsia="方正仿宋_GBK" w:hAnsi="Times New Roman" w:hint="eastAsia"/>
          <w:sz w:val="32"/>
          <w:szCs w:val="32"/>
        </w:rPr>
        <w:t>过紧日子要求，压减相关经费。</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（二）政府采购情况。</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w:t>
      </w:r>
      <w:r>
        <w:rPr>
          <w:rFonts w:ascii="Times New Roman" w:eastAsia="方正仿宋_GBK" w:hAnsi="Times New Roman"/>
          <w:sz w:val="32"/>
          <w:szCs w:val="32"/>
        </w:rPr>
        <w:t>3</w:t>
      </w:r>
      <w:r>
        <w:rPr>
          <w:rFonts w:ascii="Times New Roman" w:eastAsia="方正仿宋_GBK" w:hAnsi="Times New Roman" w:hint="eastAsia"/>
          <w:sz w:val="32"/>
          <w:szCs w:val="32"/>
        </w:rPr>
        <w:t>年呼和浩特海关政府采购预算总额</w:t>
      </w:r>
      <w:r>
        <w:rPr>
          <w:rFonts w:ascii="Times New Roman" w:eastAsia="方正仿宋_GBK" w:hAnsi="Times New Roman"/>
          <w:sz w:val="32"/>
          <w:szCs w:val="32"/>
        </w:rPr>
        <w:t>6054.46</w:t>
      </w:r>
      <w:r>
        <w:rPr>
          <w:rFonts w:ascii="Times New Roman" w:eastAsia="方正仿宋_GBK" w:hAnsi="Times New Roman" w:hint="eastAsia"/>
          <w:sz w:val="32"/>
          <w:szCs w:val="32"/>
        </w:rPr>
        <w:t>万元，其中：政府采购货物预算</w:t>
      </w:r>
      <w:r>
        <w:rPr>
          <w:rFonts w:ascii="Times New Roman" w:eastAsia="方正仿宋_GBK" w:hAnsi="Times New Roman"/>
          <w:sz w:val="32"/>
          <w:szCs w:val="32"/>
        </w:rPr>
        <w:t>3416.76</w:t>
      </w:r>
      <w:r>
        <w:rPr>
          <w:rFonts w:ascii="Times New Roman" w:eastAsia="方正仿宋_GBK" w:hAnsi="Times New Roman" w:hint="eastAsia"/>
          <w:sz w:val="32"/>
          <w:szCs w:val="32"/>
        </w:rPr>
        <w:t>万元、政府采购工程预算</w:t>
      </w:r>
      <w:r>
        <w:rPr>
          <w:rFonts w:ascii="Times New Roman" w:eastAsia="方正仿宋_GBK" w:hAnsi="Times New Roman"/>
          <w:sz w:val="32"/>
          <w:szCs w:val="32"/>
        </w:rPr>
        <w:t>226</w:t>
      </w:r>
      <w:r>
        <w:rPr>
          <w:rFonts w:ascii="Times New Roman" w:eastAsia="方正仿宋_GBK" w:hAnsi="Times New Roman" w:hint="eastAsia"/>
          <w:sz w:val="32"/>
          <w:szCs w:val="32"/>
        </w:rPr>
        <w:t>.00万元、政府采购服务预算</w:t>
      </w:r>
      <w:r>
        <w:rPr>
          <w:rFonts w:ascii="Times New Roman" w:eastAsia="方正仿宋_GBK" w:hAnsi="Times New Roman"/>
          <w:sz w:val="32"/>
          <w:szCs w:val="32"/>
        </w:rPr>
        <w:t>2411.7</w:t>
      </w:r>
      <w:r>
        <w:rPr>
          <w:rFonts w:ascii="Times New Roman" w:eastAsia="方正仿宋_GBK" w:hAnsi="Times New Roman" w:hint="eastAsia"/>
          <w:sz w:val="32"/>
          <w:szCs w:val="32"/>
        </w:rPr>
        <w:t>0万元。</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（三）国有资产占有使用情况。</w:t>
      </w:r>
    </w:p>
    <w:p>
      <w:pPr>
        <w:spacing w:line="560" w:lineRule="exact"/>
        <w:ind w:firstLineChars="200" w:firstLine="640"/>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截至2022年8月31日，呼和浩特海关所属各隶属单位共有车辆149辆，其中，机要通信用车23辆、执法执勤用车85辆、特种专业技术用车2辆、其他用车39辆，其他用车主要是事业单位载客载货车辆。单位价值100万元以上的设备119台（套）。</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w:t>
      </w:r>
      <w:r>
        <w:rPr>
          <w:rFonts w:ascii="Times New Roman" w:eastAsia="方正仿宋_GBK" w:hAnsi="Times New Roman"/>
          <w:sz w:val="32"/>
          <w:szCs w:val="32"/>
        </w:rPr>
        <w:t>3</w:t>
      </w:r>
      <w:r>
        <w:rPr>
          <w:rFonts w:ascii="Times New Roman" w:eastAsia="方正仿宋_GBK" w:hAnsi="Times New Roman" w:hint="eastAsia"/>
          <w:sz w:val="32"/>
          <w:szCs w:val="32"/>
        </w:rPr>
        <w:t>年部门预算安排购置车辆10辆，其中，机要通信用车1辆、其他用车2辆。</w:t>
      </w:r>
    </w:p>
    <w:p>
      <w:pPr>
        <w:spacing w:line="560" w:lineRule="exact"/>
        <w:ind w:firstLineChars="200" w:firstLine="640"/>
        <w:jc w:val="left"/>
        <w:rPr>
          <w:rFonts w:ascii="Times New Roman" w:eastAsia="方正楷体_GBK" w:hAnsi="Times New Roman"/>
          <w:b/>
          <w:bCs/>
          <w:sz w:val="32"/>
          <w:szCs w:val="32"/>
        </w:rPr>
      </w:pPr>
      <w:r>
        <w:rPr>
          <w:rFonts w:ascii="Times New Roman" w:eastAsia="方正楷体_GBK" w:hAnsi="Times New Roman" w:hint="eastAsia"/>
          <w:b/>
          <w:bCs/>
          <w:sz w:val="32"/>
          <w:szCs w:val="32"/>
        </w:rPr>
        <w:t>（四）预算绩效情况说明。</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2023年对呼和浩特海关一般公共预算拨款项目全面实施绩效目标管理，涉及</w:t>
      </w:r>
      <w:r>
        <w:rPr>
          <w:rFonts w:ascii="Times New Roman" w:eastAsia="方正仿宋_GBK" w:hAnsi="Times New Roman"/>
          <w:sz w:val="32"/>
          <w:szCs w:val="32"/>
        </w:rPr>
        <w:t>1</w:t>
      </w:r>
      <w:r>
        <w:rPr>
          <w:rFonts w:ascii="Times New Roman" w:eastAsia="方正仿宋_GBK" w:hAnsi="Times New Roman" w:hint="eastAsia"/>
          <w:sz w:val="32"/>
          <w:szCs w:val="32"/>
        </w:rPr>
        <w:t>5个三级预算单位的一般公共预算当年拨款</w:t>
      </w:r>
      <w:r>
        <w:rPr>
          <w:rFonts w:ascii="Times New Roman" w:eastAsia="方正仿宋_GBK" w:hAnsi="Times New Roman"/>
          <w:sz w:val="32"/>
          <w:szCs w:val="32"/>
        </w:rPr>
        <w:t>5995.45</w:t>
      </w:r>
      <w:r>
        <w:rPr>
          <w:rFonts w:ascii="Times New Roman" w:eastAsia="方正仿宋_GBK" w:hAnsi="Times New Roman" w:hint="eastAsia"/>
          <w:sz w:val="32"/>
          <w:szCs w:val="32"/>
        </w:rPr>
        <w:t>万元，一级项目12个，二级项目</w:t>
      </w:r>
      <w:r>
        <w:rPr>
          <w:rFonts w:ascii="Times New Roman" w:eastAsia="方正仿宋_GBK" w:hAnsi="Times New Roman"/>
          <w:sz w:val="32"/>
          <w:szCs w:val="32"/>
        </w:rPr>
        <w:t>1</w:t>
      </w:r>
      <w:r>
        <w:rPr>
          <w:rFonts w:ascii="Times New Roman" w:eastAsia="方正仿宋_GBK" w:hAnsi="Times New Roman" w:hint="eastAsia"/>
          <w:sz w:val="32"/>
          <w:szCs w:val="32"/>
        </w:rPr>
        <w:t>27个。根据以前年度绩效评价结果，优化进出口商品质量安全检验监管专项、进出口食品及化妆品安全专项等项目支出2023年预算安排，并进一步改进管理、完善政策。</w:t>
      </w:r>
    </w:p>
    <w:p>
      <w:pPr>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p>
      <w:pPr>
        <w:jc w:val="center"/>
        <w:rPr>
          <w:rFonts w:ascii="Times New Roman" w:eastAsia="方正仿宋_GBK" w:hAnsi="Times New Roman"/>
          <w:sz w:val="32"/>
          <w:szCs w:val="32"/>
        </w:rPr>
      </w:pPr>
    </w:p>
    <w:p>
      <w:pPr>
        <w:jc w:val="center"/>
        <w:rPr>
          <w:rFonts w:ascii="Times New Roman" w:hAnsi="Times New Roman"/>
          <w:b/>
          <w:sz w:val="32"/>
          <w:szCs w:val="32"/>
        </w:rPr>
      </w:pPr>
    </w:p>
    <w:p>
      <w:pPr>
        <w:jc w:val="center"/>
        <w:rPr>
          <w:rFonts w:ascii="Times New Roman" w:hAnsi="Times New Roman"/>
          <w:b/>
          <w:sz w:val="32"/>
          <w:szCs w:val="32"/>
        </w:rPr>
      </w:pPr>
      <w:r>
        <w:rPr>
          <w:rFonts w:ascii="Times New Roman" w:hAnsi="Times New Roman" w:hint="eastAsia"/>
          <w:b/>
          <w:sz w:val="32"/>
          <w:szCs w:val="32"/>
        </w:rPr>
        <w:t xml:space="preserve"> </w:t>
      </w: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p>
    <w:p>
      <w:pPr>
        <w:jc w:val="center"/>
        <w:rPr>
          <w:rFonts w:ascii="Times New Roman" w:hAnsi="Times New Roman"/>
          <w:b/>
          <w:sz w:val="32"/>
          <w:szCs w:val="32"/>
        </w:rPr>
      </w:pPr>
      <w:r>
        <w:rPr>
          <w:rFonts w:ascii="Times New Roman" w:hAnsi="Times New Roman" w:hint="eastAsia"/>
          <w:b/>
          <w:sz w:val="32"/>
          <w:szCs w:val="32"/>
        </w:rPr>
        <w:t xml:space="preserve"> </w:t>
      </w:r>
    </w:p>
    <w:p>
      <w:pPr>
        <w:jc w:val="center"/>
        <w:rPr>
          <w:rFonts w:ascii="Times New Roman" w:hAnsi="Times New Roman"/>
          <w:b/>
          <w:sz w:val="84"/>
          <w:szCs w:val="84"/>
        </w:rPr>
      </w:pPr>
      <w:r>
        <w:rPr>
          <w:rFonts w:ascii="Times New Roman" w:hAnsi="Times New Roman" w:hint="eastAsia"/>
          <w:b/>
          <w:sz w:val="84"/>
          <w:szCs w:val="84"/>
        </w:rPr>
        <w:t>第四部分</w:t>
      </w:r>
      <w:r>
        <w:rPr>
          <w:rFonts w:ascii="Times New Roman" w:hAnsi="Times New Roman"/>
          <w:b/>
          <w:sz w:val="84"/>
          <w:szCs w:val="84"/>
        </w:rPr>
        <w:t xml:space="preserve">  </w:t>
      </w:r>
    </w:p>
    <w:p>
      <w:pPr>
        <w:jc w:val="center"/>
        <w:rPr>
          <w:rFonts w:ascii="Times New Roman" w:hAnsi="Times New Roman"/>
          <w:b/>
          <w:sz w:val="84"/>
          <w:szCs w:val="84"/>
        </w:rPr>
      </w:pPr>
      <w:r>
        <w:rPr>
          <w:rFonts w:ascii="Times New Roman" w:hAnsi="Times New Roman" w:hint="eastAsia"/>
          <w:b/>
          <w:sz w:val="84"/>
          <w:szCs w:val="84"/>
        </w:rPr>
        <w:t>名词解释</w:t>
      </w:r>
    </w:p>
    <w:p>
      <w:pPr>
        <w:rPr>
          <w:rFonts w:ascii="Times New Roman" w:hAnsi="Times New Roman"/>
          <w:b/>
          <w:sz w:val="84"/>
          <w:szCs w:val="84"/>
        </w:rPr>
        <w:sectPr>
          <w:pgSz w:w="11906" w:h="16838"/>
          <w:pgMar w:top="1440" w:right="1800" w:bottom="1440" w:left="1800" w:header="851" w:footer="992" w:gutter="0"/>
          <w:docGrid w:type="lines" w:linePitch="312" w:charSpace="0"/>
        </w:sectPr>
      </w:pP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一、一般公共预算拨款收入</w:t>
      </w:r>
      <w:r>
        <w:rPr>
          <w:rFonts w:ascii="Times New Roman" w:eastAsia="方正仿宋_GBK" w:hAnsi="Times New Roman" w:hint="eastAsia"/>
          <w:sz w:val="32"/>
          <w:szCs w:val="32"/>
        </w:rPr>
        <w:t>：指中央财政当年拨付的资金。</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二、事业收入</w:t>
      </w:r>
      <w:r>
        <w:rPr>
          <w:rFonts w:ascii="Times New Roman" w:eastAsia="方正仿宋_GBK" w:hAnsi="Times New Roman" w:hint="eastAsia"/>
          <w:sz w:val="32"/>
          <w:szCs w:val="32"/>
        </w:rPr>
        <w:t>：指海关系统所属事业单位开展专业业务活动及辅助活动取得的收入。</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三、事业单位经营收入</w:t>
      </w:r>
      <w:r>
        <w:rPr>
          <w:rFonts w:ascii="Times New Roman" w:eastAsia="方正仿宋_GBK" w:hAnsi="Times New Roman" w:hint="eastAsia"/>
          <w:sz w:val="32"/>
          <w:szCs w:val="32"/>
        </w:rPr>
        <w:t>：指海关系统所属事业单位在专业业务活动及辅助活动之外，开展非独立核算经营活动取得的收入。</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四、其他收入</w:t>
      </w:r>
      <w:r>
        <w:rPr>
          <w:rFonts w:ascii="Times New Roman" w:eastAsia="方正仿宋_GBK" w:hAnsi="Times New Roman" w:hint="eastAsia"/>
          <w:sz w:val="32"/>
          <w:szCs w:val="32"/>
        </w:rPr>
        <w:t>：指海关系统取得的除上述财政拨款收入、事业收入、事业单位经营收入等以外的收入。</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五、使用非财政拨款结余</w:t>
      </w:r>
      <w:r>
        <w:rPr>
          <w:rFonts w:ascii="Times New Roman" w:eastAsia="方正仿宋_GBK" w:hAnsi="Times New Roman" w:hint="eastAsia"/>
          <w:sz w:val="32"/>
          <w:szCs w:val="32"/>
        </w:rPr>
        <w:t>：指海关系统所属事业单位预计收入小于支出时，用非财政拨款结余弥补本年度收支差额的数额。</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六、上年结转</w:t>
      </w:r>
      <w:r>
        <w:rPr>
          <w:rFonts w:ascii="Times New Roman" w:eastAsia="方正仿宋_GBK" w:hAnsi="Times New Roman" w:hint="eastAsia"/>
          <w:sz w:val="32"/>
          <w:szCs w:val="32"/>
        </w:rPr>
        <w:t>：指以前年度尚未完成、结转到本年仍按原规定用途继续使用的资金等。</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七、一般公共服务支出（类）海关事务（款）</w:t>
      </w:r>
      <w:r>
        <w:rPr>
          <w:rFonts w:ascii="Times New Roman" w:eastAsia="方正仿宋_GBK" w:hAnsi="Times New Roman" w:hint="eastAsia"/>
          <w:sz w:val="32"/>
          <w:szCs w:val="32"/>
        </w:rPr>
        <w:t>：反映海关用于系统行政和事业单位的基本支出及完成专项业务工作的项目支出。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（一）行政运行（项）</w:t>
      </w:r>
      <w:r>
        <w:rPr>
          <w:rFonts w:ascii="Times New Roman" w:eastAsia="方正仿宋_GBK" w:hAnsi="Times New Roman" w:hint="eastAsia"/>
          <w:sz w:val="32"/>
          <w:szCs w:val="32"/>
        </w:rPr>
        <w:t>：反映海关系统行政单位（包括实行公务员管理的事业单位）的基本支出。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（二）一般行政管理事务（项）</w:t>
      </w:r>
      <w:r>
        <w:rPr>
          <w:rFonts w:ascii="Times New Roman" w:eastAsia="方正仿宋_GBK" w:hAnsi="Times New Roman" w:hint="eastAsia"/>
          <w:sz w:val="32"/>
          <w:szCs w:val="32"/>
        </w:rPr>
        <w:t>：反映海关系统行政单位（包括实行公务员管理的事业单位）未单独设置项级科目的其他项目支出。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（三）机关服务（项）</w:t>
      </w:r>
      <w:r>
        <w:rPr>
          <w:rFonts w:ascii="Times New Roman" w:eastAsia="方正仿宋_GBK" w:hAnsi="Times New Roman" w:hint="eastAsia"/>
          <w:sz w:val="32"/>
          <w:szCs w:val="32"/>
        </w:rPr>
        <w:t>：反映海关系统为行政单位（包括实行公务员管理的事业单位）提供后勤服务的各类后勤服务中心、医务室等附属事业单位的支出。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（四）缉私办案（项）</w:t>
      </w:r>
      <w:r>
        <w:rPr>
          <w:rFonts w:ascii="Times New Roman" w:eastAsia="方正仿宋_GBK" w:hAnsi="Times New Roman" w:hint="eastAsia"/>
          <w:sz w:val="32"/>
          <w:szCs w:val="32"/>
        </w:rPr>
        <w:t>：反映海关用于缉私办案方面的支出。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（五）口岸管理（项）</w:t>
      </w:r>
      <w:r>
        <w:rPr>
          <w:rFonts w:ascii="Times New Roman" w:eastAsia="方正仿宋_GBK" w:hAnsi="Times New Roman" w:hint="eastAsia"/>
          <w:sz w:val="32"/>
          <w:szCs w:val="32"/>
        </w:rPr>
        <w:t>：反映口岸业务管理及电子口岸建设、运行维护方面的支出。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（六）信息化建设（项）</w:t>
      </w:r>
      <w:r>
        <w:rPr>
          <w:rFonts w:ascii="Times New Roman" w:eastAsia="方正仿宋_GBK" w:hAnsi="Times New Roman" w:hint="eastAsia"/>
          <w:sz w:val="32"/>
          <w:szCs w:val="32"/>
        </w:rPr>
        <w:t>：反映海关系统用于信息化建设及运行维护等方面的支出。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（七）海关关务（项）</w:t>
      </w:r>
      <w:r>
        <w:rPr>
          <w:rFonts w:ascii="Times New Roman" w:eastAsia="方正仿宋_GBK" w:hAnsi="Times New Roman" w:hint="eastAsia"/>
          <w:sz w:val="32"/>
          <w:szCs w:val="32"/>
        </w:rPr>
        <w:t>：反映为海关行政执法提供业务保障、支持能力以及基础设施建设、设备设施运维等方面的支出。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（八）关税征管（项）</w:t>
      </w:r>
      <w:r>
        <w:rPr>
          <w:rFonts w:ascii="Times New Roman" w:eastAsia="方正仿宋_GBK" w:hAnsi="Times New Roman" w:hint="eastAsia"/>
          <w:sz w:val="32"/>
          <w:szCs w:val="32"/>
        </w:rPr>
        <w:t>：反映海关系统用于关税及其他税费征管方面的支出。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（九）海关监管（项）</w:t>
      </w:r>
      <w:r>
        <w:rPr>
          <w:rFonts w:ascii="Times New Roman" w:eastAsia="方正仿宋_GBK" w:hAnsi="Times New Roman" w:hint="eastAsia"/>
          <w:sz w:val="32"/>
          <w:szCs w:val="32"/>
        </w:rPr>
        <w:t>：反映海关系统用于监管执法、业务管理及相关设备、技术支持方面的支出。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（十）检验检疫（项）</w:t>
      </w:r>
      <w:r>
        <w:rPr>
          <w:rFonts w:ascii="Times New Roman" w:eastAsia="方正仿宋_GBK" w:hAnsi="Times New Roman" w:hint="eastAsia"/>
          <w:sz w:val="32"/>
          <w:szCs w:val="32"/>
        </w:rPr>
        <w:t>：反映海关系统用于出入境检验检疫行政执法、业务管理及相关技术支持方面的支出。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（十一）事业运行（项）</w:t>
      </w:r>
      <w:r>
        <w:rPr>
          <w:rFonts w:ascii="Times New Roman" w:eastAsia="方正仿宋_GBK" w:hAnsi="Times New Roman" w:hint="eastAsia"/>
          <w:sz w:val="32"/>
          <w:szCs w:val="32"/>
        </w:rPr>
        <w:t>：反映海关事业单位的基本支出，不包括行政单位（包括实行公务员管理的事业单位）后勤服务中心、医务室等附属事业单位。</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（十二）其他海关事务支出（项）</w:t>
      </w:r>
      <w:r>
        <w:rPr>
          <w:rFonts w:ascii="Times New Roman" w:eastAsia="方正仿宋_GBK" w:hAnsi="Times New Roman" w:hint="eastAsia"/>
          <w:sz w:val="32"/>
          <w:szCs w:val="32"/>
        </w:rPr>
        <w:t>：反映除上述项目以外其他海关事务方面的支出。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（十三）派驻派出机构（项）</w:t>
      </w:r>
      <w:r>
        <w:rPr>
          <w:rFonts w:ascii="Times New Roman" w:eastAsia="方正仿宋_GBK" w:hAnsi="Times New Roman" w:hint="eastAsia"/>
          <w:sz w:val="32"/>
          <w:szCs w:val="32"/>
        </w:rPr>
        <w:t>：指中央纪委国家监委驻海关总署开展工作的专项业务支出。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八、外交支出（类）对外援助（款）对外援助（项）</w:t>
      </w:r>
      <w:r>
        <w:rPr>
          <w:rFonts w:ascii="Times New Roman" w:eastAsia="方正仿宋_GBK" w:hAnsi="Times New Roman" w:hint="eastAsia"/>
          <w:sz w:val="32"/>
          <w:szCs w:val="32"/>
        </w:rPr>
        <w:t>：指对外国政府（地区）提供的各种援助和技术合作支出。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九、外交支出（类）驻外机构（款）其他驻外机构支出（项）</w:t>
      </w:r>
      <w:r>
        <w:rPr>
          <w:rFonts w:ascii="Times New Roman" w:eastAsia="方正仿宋_GBK" w:hAnsi="Times New Roman" w:hint="eastAsia"/>
          <w:sz w:val="32"/>
          <w:szCs w:val="32"/>
        </w:rPr>
        <w:t>：反映用于保障海关系统驻外机构正常运行的支出。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十、外交支出（类）国际组织（款）国际组织会费（项）</w:t>
      </w:r>
      <w:r>
        <w:rPr>
          <w:rFonts w:ascii="Times New Roman" w:eastAsia="方正仿宋_GBK" w:hAnsi="Times New Roman" w:hint="eastAsia"/>
          <w:sz w:val="32"/>
          <w:szCs w:val="32"/>
        </w:rPr>
        <w:t>：反映海关经批准参加国际组织，按国际组织规定缴纳的会费。</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十一、外交支出（类）国际组织（款）国际组织捐赠（项）</w:t>
      </w:r>
      <w:r>
        <w:rPr>
          <w:rFonts w:ascii="Times New Roman" w:eastAsia="方正仿宋_GBK" w:hAnsi="Times New Roman" w:hint="eastAsia"/>
          <w:sz w:val="32"/>
          <w:szCs w:val="32"/>
        </w:rPr>
        <w:t>：反映以我国政府或海关总署名义，向国际组织的认捐、救灾、馈赠等支出。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十二、外交支出（类）对外合作与交流（款）对外合作活动（项）</w:t>
      </w:r>
      <w:r>
        <w:rPr>
          <w:rFonts w:ascii="Times New Roman" w:eastAsia="方正仿宋_GBK" w:hAnsi="Times New Roman" w:hint="eastAsia"/>
          <w:sz w:val="32"/>
          <w:szCs w:val="32"/>
        </w:rPr>
        <w:t>：反映海关用于外交目的的对外合作方面支出。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十三、外交支出（类）其他外交支出（款）其他外交支出（项）</w:t>
      </w:r>
      <w:r>
        <w:rPr>
          <w:rFonts w:ascii="Times New Roman" w:eastAsia="方正仿宋_GBK" w:hAnsi="Times New Roman" w:hint="eastAsia"/>
          <w:sz w:val="32"/>
          <w:szCs w:val="32"/>
        </w:rPr>
        <w:t>：反映除上述项目以外其他用于外交方面的支出。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十四、公共安全支出（类）缉私警察（款）</w:t>
      </w:r>
      <w:r>
        <w:rPr>
          <w:rFonts w:ascii="Times New Roman" w:eastAsia="方正仿宋_GBK" w:hAnsi="Times New Roman" w:hint="eastAsia"/>
          <w:sz w:val="32"/>
          <w:szCs w:val="32"/>
        </w:rPr>
        <w:t>：反映海关缉私警察的基本支出及完成专项业务工作的项目支出。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十五、教育支出（类）普通教育（款）高等教育（项）</w:t>
      </w:r>
      <w:r>
        <w:rPr>
          <w:rFonts w:ascii="Times New Roman" w:eastAsia="方正仿宋_GBK" w:hAnsi="Times New Roman" w:hint="eastAsia"/>
          <w:sz w:val="32"/>
          <w:szCs w:val="32"/>
        </w:rPr>
        <w:t>：反映海关所属院校教学等方面的支出。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十六、教育支出（类）进修及培训（款）培训支出（项）</w:t>
      </w:r>
      <w:r>
        <w:rPr>
          <w:rFonts w:ascii="Times New Roman" w:eastAsia="方正仿宋_GBK" w:hAnsi="Times New Roman" w:hint="eastAsia"/>
          <w:sz w:val="32"/>
          <w:szCs w:val="32"/>
        </w:rPr>
        <w:t>：反映海关安排的用于培训的支出。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十七、社会保障和就业支出（类）行政事业单位养老支出（款）</w:t>
      </w:r>
      <w:r>
        <w:rPr>
          <w:rFonts w:ascii="Times New Roman" w:eastAsia="方正仿宋_GBK" w:hAnsi="Times New Roman" w:hint="eastAsia"/>
          <w:sz w:val="32"/>
          <w:szCs w:val="32"/>
        </w:rPr>
        <w:t>：反映用于海关行政事业单位养老方面的支出。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（一）行政单位离退休（项）</w:t>
      </w:r>
      <w:r>
        <w:rPr>
          <w:rFonts w:ascii="Times New Roman" w:eastAsia="方正仿宋_GBK" w:hAnsi="Times New Roman" w:hint="eastAsia"/>
          <w:sz w:val="32"/>
          <w:szCs w:val="32"/>
        </w:rPr>
        <w:t>：反映海关系统行政单位（包括实行公务员管理的事业单位）开支的离退休经费。</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（二）事业单位离退休（项）</w:t>
      </w:r>
      <w:r>
        <w:rPr>
          <w:rFonts w:ascii="Times New Roman" w:eastAsia="方正仿宋_GBK" w:hAnsi="Times New Roman" w:hint="eastAsia"/>
          <w:sz w:val="32"/>
          <w:szCs w:val="32"/>
        </w:rPr>
        <w:t>：反映海关系统事业单位开支的离退休经费。</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（三）离退休人员管理机构（项）</w:t>
      </w:r>
      <w:r>
        <w:rPr>
          <w:rFonts w:ascii="Times New Roman" w:eastAsia="方正仿宋_GBK" w:hAnsi="Times New Roman" w:hint="eastAsia"/>
          <w:sz w:val="32"/>
          <w:szCs w:val="32"/>
        </w:rPr>
        <w:t>：反映海关系统为离退休人员提供管理服务的离退休管理机构的支出。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（四）机关事业单位基本养老保险缴费支出（项）</w:t>
      </w:r>
      <w:r>
        <w:rPr>
          <w:rFonts w:ascii="Times New Roman" w:eastAsia="方正仿宋_GBK" w:hAnsi="Times New Roman" w:hint="eastAsia"/>
          <w:sz w:val="32"/>
          <w:szCs w:val="32"/>
        </w:rPr>
        <w:t>：反映已参加当地社保的在职人员的基本养老保险支出。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（五）机关事业单位职业年金缴费支出（项）</w:t>
      </w:r>
      <w:r>
        <w:rPr>
          <w:rFonts w:ascii="Times New Roman" w:eastAsia="方正仿宋_GBK" w:hAnsi="Times New Roman" w:hint="eastAsia"/>
          <w:sz w:val="32"/>
          <w:szCs w:val="32"/>
        </w:rPr>
        <w:t>：反映已参加当地社保的在职人员的职业年金支出。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十八、住房保障支出（类）住房改革支出（款）</w:t>
      </w:r>
      <w:r>
        <w:rPr>
          <w:rFonts w:ascii="Times New Roman" w:eastAsia="方正仿宋_GBK" w:hAnsi="Times New Roman" w:hint="eastAsia"/>
          <w:sz w:val="32"/>
          <w:szCs w:val="32"/>
        </w:rPr>
        <w:t>：反映海关系统按照国家政策规定为职工发放的住房公积金、提租补贴和购房补贴等支出。住房改革支出包括三项：</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（一）住房公积金（项）</w:t>
      </w:r>
      <w:r>
        <w:rPr>
          <w:rFonts w:ascii="Times New Roman" w:eastAsia="方正仿宋_GBK" w:hAnsi="Times New Roman" w:hint="eastAsia"/>
          <w:sz w:val="32"/>
          <w:szCs w:val="32"/>
        </w:rPr>
        <w:t>：住房公积金是按照《住房公积金管理条例》的规定，由单位及其在职职工缴存的长期住房储金。该项政策始于上世纪九十年代中期，在全国机关、企事业单位在职职工中普遍实施，缴存比例最低不低于5％，最高不超过12％，缴存基数为职工本人上年工资，目前已实施近20年时间。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（二）提租补贴（项）</w:t>
      </w:r>
      <w:r>
        <w:rPr>
          <w:rFonts w:ascii="Times New Roman" w:eastAsia="方正仿宋_GBK" w:hAnsi="Times New Roman" w:hint="eastAsia"/>
          <w:sz w:val="32"/>
          <w:szCs w:val="32"/>
        </w:rPr>
        <w:t>：提租补贴是经国务院批准，于2000年开始针对在京中央单位公有住房租金标准提高发放的补贴，中央在京单位按照在职在编职工人数和离退休人数以及相应职级的补贴标准确定，人均月补贴90元。</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（三）购房补贴（项）</w:t>
      </w:r>
      <w:r>
        <w:rPr>
          <w:rFonts w:ascii="Times New Roman" w:eastAsia="方正仿宋_GBK" w:hAnsi="Times New Roman" w:hint="eastAsia"/>
          <w:sz w:val="32"/>
          <w:szCs w:val="32"/>
        </w:rPr>
        <w:t>：购房补贴是根据《国务院关于进一步深化城镇住房制度改革加快住房建设的通知》（国发〔1998〕23号）的规定，从1998年下半年停止实物分房后，房价收入比超过4倍以上地区对无房和住房未达标职工发放的住房货币化改革补贴资金。中央行政事业单位从2000年开始发放购房补贴资金，地方行政事业单位从1999年陆续开始发放购房补贴资金，企业根据本单位情况自行确定。在京中央单位按照《中共中央办公厅国务院办公厅转发建设部等单位〈关于完善在京中央和国家机关住房制度的若干意见〉的通知》（厅字〔2005〕8号）规定的标准执行，京外中央单位按照所在地人民政府住房分配货币化改革的政策规定和标准执行。</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十九、卫生健康支出（类）行政事业单位医疗（款）</w:t>
      </w:r>
      <w:r>
        <w:rPr>
          <w:rFonts w:ascii="Times New Roman" w:eastAsia="方正仿宋_GBK" w:hAnsi="Times New Roman" w:hint="eastAsia"/>
          <w:sz w:val="32"/>
          <w:szCs w:val="32"/>
        </w:rPr>
        <w:t>：反映已参加当地医保的海关单位用于向地方社保部门缴纳的基本医疗保险和公务员医疗补助支出。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（一）行政单位医疗（项）</w:t>
      </w:r>
      <w:r>
        <w:rPr>
          <w:rFonts w:ascii="Times New Roman" w:eastAsia="方正仿宋_GBK" w:hAnsi="Times New Roman" w:hint="eastAsia"/>
          <w:sz w:val="32"/>
          <w:szCs w:val="32"/>
        </w:rPr>
        <w:t>：指中央财政集中安排的驻各地海关单位基本医疗保险缴费经费。</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（二）公务员医疗补助（项）</w:t>
      </w:r>
      <w:r>
        <w:rPr>
          <w:rFonts w:ascii="Times New Roman" w:eastAsia="方正仿宋_GBK" w:hAnsi="Times New Roman" w:hint="eastAsia"/>
          <w:sz w:val="32"/>
          <w:szCs w:val="32"/>
        </w:rPr>
        <w:t>：指中央财政集中安排的驻各地海关单位公务员医疗补助经费。</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二十、“三公”经费</w:t>
      </w:r>
      <w:r>
        <w:rPr>
          <w:rFonts w:ascii="Times New Roman" w:eastAsia="方正仿宋_GBK" w:hAnsi="Times New Roman" w:hint="eastAsia"/>
          <w:sz w:val="32"/>
          <w:szCs w:val="32"/>
        </w:rPr>
        <w:t>：纳入中央财政预决算管理的“三公”经费，是指中央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及燃料费、维修费、过路过桥费、保险费、安全奖励费用等支出；公务接待费反映单位按规定开支的各类公务接待（含外宾接待）支出。</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b/>
          <w:bCs/>
          <w:sz w:val="32"/>
          <w:szCs w:val="32"/>
        </w:rPr>
        <w:t>二十一、机关运行经费</w:t>
      </w:r>
      <w:r>
        <w:rPr>
          <w:rFonts w:ascii="Times New Roman" w:eastAsia="方正仿宋_GBK" w:hAnsi="Times New Roman" w:hint="eastAsia"/>
          <w:sz w:val="32"/>
          <w:szCs w:val="32"/>
        </w:rPr>
        <w:t>：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center"/>
        <w:rPr>
          <w:rFonts w:ascii="Times New Roman" w:hAnsi="Times New Roman"/>
          <w:b/>
          <w:sz w:val="84"/>
          <w:szCs w:val="84"/>
        </w:rPr>
      </w:pPr>
      <w:r>
        <w:rPr>
          <w:rFonts w:ascii="Times New Roman" w:hAnsi="Times New Roman" w:hint="eastAsia"/>
          <w:b/>
          <w:sz w:val="84"/>
          <w:szCs w:val="84"/>
        </w:rPr>
        <w:t>第五部分</w:t>
      </w:r>
    </w:p>
    <w:p>
      <w:pPr>
        <w:jc w:val="center"/>
        <w:rPr>
          <w:rFonts w:ascii="Times New Roman" w:hAnsi="Times New Roman"/>
          <w:b/>
          <w:sz w:val="84"/>
          <w:szCs w:val="84"/>
        </w:rPr>
      </w:pPr>
      <w:r>
        <w:rPr>
          <w:rFonts w:ascii="Times New Roman" w:hAnsi="Times New Roman" w:hint="eastAsia"/>
          <w:b/>
          <w:sz w:val="84"/>
          <w:szCs w:val="84"/>
        </w:rPr>
        <w:t>附件</w:t>
      </w: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pPr>
    </w:p>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97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80"/>
        <w:gridCol w:w="2019"/>
        <w:gridCol w:w="941"/>
        <w:gridCol w:w="2019"/>
        <w:gridCol w:w="2020"/>
        <w:gridCol w:w="1160"/>
      </w:tblGrid>
      <w:tr>
        <w:trPr>
          <w:trHeight w:val="702"/>
        </w:trPr>
        <w:tc>
          <w:tcPr>
            <w:tcW w:w="997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32"/>
                <w:szCs w:val="32"/>
              </w:rPr>
            </w:pPr>
            <w:r>
              <w:rPr>
                <w:rFonts w:ascii="黑体" w:eastAsia="黑体" w:cs="黑体" w:hint="eastAsia"/>
                <w:color w:val="000000"/>
                <w:kern w:val="0"/>
                <w:sz w:val="32"/>
                <w:szCs w:val="32"/>
              </w:rPr>
              <w:t>项目绩效目标表</w:t>
            </w:r>
          </w:p>
        </w:tc>
      </w:tr>
      <w:tr>
        <w:trPr>
          <w:trHeight w:val="499"/>
        </w:trPr>
        <w:tc>
          <w:tcPr>
            <w:tcW w:w="997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8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15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海关缉私办案费</w:t>
            </w:r>
          </w:p>
        </w:tc>
      </w:tr>
      <w:tr>
        <w:trPr>
          <w:trHeight w:val="439"/>
        </w:trPr>
        <w:tc>
          <w:tcPr>
            <w:tcW w:w="18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96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中华人民共和国呼和浩特海关本级</w:t>
            </w:r>
          </w:p>
        </w:tc>
      </w:tr>
      <w:tr>
        <w:trPr>
          <w:trHeight w:val="439"/>
        </w:trPr>
        <w:tc>
          <w:tcPr>
            <w:tcW w:w="181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96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3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color w:val="000000"/>
                <w:kern w:val="0"/>
                <w:sz w:val="22"/>
              </w:rPr>
              <w:t>8.00</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814"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3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color w:val="000000"/>
                <w:kern w:val="0"/>
                <w:sz w:val="22"/>
              </w:rPr>
              <w:t>8.00</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814"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3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814"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3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5220"/>
        </w:trPr>
        <w:tc>
          <w:tcPr>
            <w:tcW w:w="534"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43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目标1：积极开展打击走私活动，加强行政案件规范性。</w:t>
            </w:r>
          </w:p>
          <w:p>
            <w:pPr>
              <w:widowControl/>
              <w:textAlignment w:val="center"/>
              <w:rPr>
                <w:rFonts w:ascii="宋体" w:cs="宋体"/>
                <w:color w:val="000000"/>
                <w:sz w:val="22"/>
              </w:rPr>
            </w:pPr>
            <w:r>
              <w:rPr>
                <w:rFonts w:ascii="宋体" w:cs="宋体" w:hint="eastAsia"/>
                <w:color w:val="000000"/>
                <w:kern w:val="0"/>
                <w:sz w:val="22"/>
              </w:rPr>
              <w:t>目标2：保障外出执法人员经费支出。</w:t>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8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w:t>
              <w:br/>
              <w:t>指标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cs="宋体"/>
                <w:sz w:val="24"/>
                <w:szCs w:val="24"/>
              </w:rPr>
            </w:pPr>
            <w:r>
              <w:rPr>
                <w:rFonts w:hint="eastAsia"/>
              </w:rPr>
              <w:t>产出指标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0"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刑事、行政案件立案数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≥5件</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sz w:val="22"/>
              </w:rPr>
            </w:pPr>
            <w:r>
              <w:rPr>
                <w:rFonts w:hint="eastAsia"/>
              </w:rPr>
              <w:t>质量指标</w:t>
            </w:r>
          </w:p>
          <w:p>
            <w:pPr>
              <w:widowControl/>
              <w:jc w:val="center"/>
              <w:textAlignment w:val="center"/>
              <w:rPr>
                <w:rFonts w:ascii="宋体" w:cs="宋体"/>
                <w:color w:val="000000"/>
                <w:sz w:val="22"/>
              </w:rPr>
            </w:pPr>
          </w:p>
        </w:tc>
        <w:tc>
          <w:tcPr>
            <w:tcW w:w="2960" w:type="dxa"/>
            <w:gridSpan w:val="2"/>
            <w:tcBorders>
              <w:top w:val="single" w:sz="4" w:space="0" w:color="000000"/>
              <w:left w:val="nil"/>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hint="eastAsia"/>
              </w:rPr>
              <w:t>执法规范性</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≥99%</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left w:val="single" w:sz="4" w:space="0" w:color="000000"/>
              <w:right w:val="single" w:sz="4" w:space="0" w:color="000000"/>
            </w:tcBorders>
            <w:shd w:val="clear" w:color="auto" w:fill="auto"/>
            <w:textDirection w:val="tbRlV"/>
            <w:vAlign w:val="center"/>
          </w:tcPr>
          <w:p/>
        </w:tc>
        <w:tc>
          <w:tcPr>
            <w:tcW w:w="12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0" w:type="dxa"/>
            <w:gridSpan w:val="2"/>
            <w:tcBorders>
              <w:top w:val="single" w:sz="4" w:space="0" w:color="000000"/>
              <w:left w:val="nil"/>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hint="eastAsia"/>
              </w:rPr>
              <w:t>结案率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right w:val="single" w:sz="4" w:space="0" w:color="000000"/>
            </w:tcBorders>
            <w:shd w:val="clear" w:color="auto" w:fill="auto"/>
            <w:textDirection w:val="tbRlV"/>
            <w:vAlign w:val="center"/>
          </w:tcPr>
          <w:p/>
        </w:tc>
        <w:tc>
          <w:tcPr>
            <w:tcW w:w="1280" w:type="dxa"/>
            <w:vMerge w:val="restart"/>
            <w:tcBorders>
              <w:top w:val="single" w:sz="4" w:space="0" w:color="000000"/>
              <w:left w:val="single" w:sz="4" w:space="0" w:color="000000"/>
              <w:right w:val="single" w:sz="4" w:space="0" w:color="000000"/>
            </w:tcBorders>
            <w:shd w:val="clear" w:color="auto" w:fill="auto"/>
            <w:vAlign w:val="center"/>
          </w:tcPr>
          <w:p>
            <w:pPr>
              <w:jc w:val="center"/>
              <w:rPr>
                <w:rFonts w:ascii="宋体" w:cs="宋体"/>
                <w:sz w:val="24"/>
                <w:szCs w:val="24"/>
              </w:rPr>
            </w:pPr>
            <w:r>
              <w:rPr>
                <w:rFonts w:hint="eastAsia"/>
              </w:rPr>
              <w:t>效益指标</w:t>
            </w:r>
          </w:p>
        </w:tc>
        <w:tc>
          <w:tcPr>
            <w:tcW w:w="2019" w:type="dxa"/>
            <w:vMerge w:val="restart"/>
            <w:tcBorders>
              <w:top w:val="single" w:sz="4" w:space="0" w:color="000000"/>
              <w:left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0"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打击偷逃税款走私取得明显效果</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有效</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000000"/>
              <w:right w:val="single" w:sz="4" w:space="0" w:color="000000"/>
            </w:tcBorders>
            <w:shd w:val="clear" w:color="auto" w:fill="auto"/>
            <w:textDirection w:val="tbRlV"/>
            <w:vAlign w:val="center"/>
          </w:tcPr>
          <w:p/>
        </w:tc>
        <w:tc>
          <w:tcPr>
            <w:tcW w:w="1280" w:type="dxa"/>
            <w:vMerge/>
            <w:tcBorders>
              <w:left w:val="single" w:sz="4" w:space="0" w:color="000000"/>
              <w:bottom w:val="single" w:sz="4" w:space="0" w:color="auto"/>
              <w:right w:val="single" w:sz="4" w:space="0" w:color="000000"/>
            </w:tcBorders>
            <w:shd w:val="clear" w:color="auto" w:fill="auto"/>
            <w:vAlign w:val="center"/>
          </w:tcPr>
          <w:p/>
        </w:tc>
        <w:tc>
          <w:tcPr>
            <w:tcW w:w="2019" w:type="dxa"/>
            <w:vMerge/>
            <w:tcBorders>
              <w:left w:val="single" w:sz="4" w:space="0" w:color="000000"/>
              <w:bottom w:val="single" w:sz="4" w:space="0" w:color="000000"/>
              <w:right w:val="single" w:sz="4" w:space="0" w:color="000000"/>
            </w:tcBorders>
            <w:shd w:val="clear" w:color="auto" w:fill="auto"/>
            <w:vAlign w:val="center"/>
          </w:tcPr>
          <w:p/>
        </w:tc>
        <w:tc>
          <w:tcPr>
            <w:tcW w:w="2960" w:type="dxa"/>
            <w:gridSpan w:val="2"/>
            <w:tcBorders>
              <w:top w:val="single" w:sz="4" w:space="0" w:color="000000"/>
              <w:left w:val="nil"/>
              <w:bottom w:val="single" w:sz="4" w:space="0" w:color="000000"/>
              <w:right w:val="nil"/>
            </w:tcBorders>
            <w:shd w:val="clear" w:color="auto" w:fill="auto"/>
            <w:vAlign w:val="center"/>
          </w:tcPr>
          <w:p>
            <w:pPr>
              <w:widowControl/>
              <w:jc w:val="left"/>
              <w:textAlignment w:val="center"/>
              <w:rPr>
                <w:rFonts w:ascii="宋体" w:cs="宋体"/>
                <w:color w:val="000000"/>
                <w:kern w:val="0"/>
                <w:sz w:val="22"/>
              </w:rPr>
            </w:pPr>
            <w:r>
              <w:rPr>
                <w:rFonts w:hint="eastAsia"/>
              </w:rPr>
              <w:t>打击毒品、武器、普通货物、固体废物等走私效果</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有效</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000000"/>
              <w:bottom w:val="single" w:sz="4" w:space="0" w:color="000000"/>
              <w:right w:val="single" w:sz="4" w:space="0" w:color="auto"/>
            </w:tcBorders>
            <w:shd w:val="clear" w:color="auto" w:fill="auto"/>
            <w:textDirection w:val="tbRlV"/>
            <w:vAlign w:val="center"/>
          </w:tcP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tcPr>
          <w:p>
            <w:pPr>
              <w:rPr>
                <w:rFonts w:ascii="宋体" w:cs="宋体"/>
                <w:sz w:val="24"/>
                <w:szCs w:val="24"/>
              </w:rPr>
            </w:pPr>
            <w:r>
              <w:rPr>
                <w:rFonts w:hint="eastAsia"/>
              </w:rPr>
              <w:t>满意度指标</w:t>
            </w:r>
          </w:p>
        </w:tc>
        <w:tc>
          <w:tcPr>
            <w:tcW w:w="2019"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0"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行风调查满意度指标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≥99%</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84"/>
        <w:gridCol w:w="1894"/>
        <w:gridCol w:w="942"/>
        <w:gridCol w:w="2019"/>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32"/>
                <w:szCs w:val="32"/>
              </w:rPr>
            </w:pPr>
            <w:r>
              <w:rPr>
                <w:rFonts w:ascii="黑体" w:eastAsia="黑体" w:cs="黑体" w:hint="eastAsia"/>
                <w:color w:val="000000"/>
                <w:kern w:val="0"/>
                <w:sz w:val="32"/>
                <w:szCs w:val="32"/>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8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3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监管查验技术装备设备购建及能力保障专项</w:t>
            </w:r>
          </w:p>
        </w:tc>
      </w:tr>
      <w:tr>
        <w:trPr>
          <w:trHeight w:val="439"/>
        </w:trPr>
        <w:tc>
          <w:tcPr>
            <w:tcW w:w="18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36"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中华人民共和国二连海关本级</w:t>
            </w:r>
          </w:p>
        </w:tc>
      </w:tr>
      <w:tr>
        <w:trPr>
          <w:trHeight w:val="439"/>
        </w:trPr>
        <w:tc>
          <w:tcPr>
            <w:tcW w:w="181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36"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3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56.01</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81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36"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3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56.01</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81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36"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3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81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36"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3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454"/>
        </w:trPr>
        <w:tc>
          <w:tcPr>
            <w:tcW w:w="534"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目标1：为我关海关监管现场配备货运、旅检、快邮等渠道监管查验技术装备，进一步提升进出口（境）监管查验能力，提高通关便利化水平；</w:t>
            </w:r>
          </w:p>
          <w:p>
            <w:pPr>
              <w:widowControl/>
              <w:textAlignment w:val="center"/>
              <w:rPr>
                <w:rFonts w:ascii="宋体" w:cs="宋体"/>
                <w:color w:val="000000"/>
                <w:kern w:val="0"/>
                <w:sz w:val="22"/>
              </w:rPr>
            </w:pPr>
            <w:r>
              <w:rPr>
                <w:rFonts w:ascii="宋体" w:cs="宋体" w:hint="eastAsia"/>
                <w:color w:val="000000"/>
                <w:kern w:val="0"/>
                <w:sz w:val="22"/>
              </w:rPr>
              <w:t>目标2：保障关区海关监管装备运行维护经费，确保监管装备正常可用，有效支撑进出口（境）监管工作正常进行。</w:t>
            </w:r>
          </w:p>
          <w:p>
            <w:pPr>
              <w:widowControl/>
              <w:textAlignment w:val="center"/>
              <w:rPr>
                <w:rFonts w:ascii="宋体" w:cs="宋体"/>
                <w:color w:val="000000"/>
                <w:kern w:val="0"/>
                <w:sz w:val="22"/>
              </w:rPr>
            </w:pPr>
            <w:r>
              <w:rPr>
                <w:rFonts w:ascii="宋体" w:cs="宋体" w:hint="eastAsia"/>
                <w:color w:val="000000"/>
                <w:kern w:val="0"/>
                <w:sz w:val="22"/>
              </w:rPr>
              <w:t>目标3：组织开展海关口岸监管环节反恐模拟演练、技能培训、工作宣传、研究调研等工作，提升海关口岸监管环节反恐怖工作能力。</w:t>
            </w:r>
          </w:p>
          <w:p>
            <w:pPr>
              <w:widowControl/>
              <w:textAlignment w:val="center"/>
              <w:rPr>
                <w:rFonts w:ascii="宋体" w:cs="宋体"/>
                <w:color w:val="000000"/>
                <w:kern w:val="0"/>
                <w:sz w:val="22"/>
              </w:rPr>
            </w:pPr>
            <w:r>
              <w:rPr>
                <w:rFonts w:ascii="宋体" w:cs="宋体" w:hint="eastAsia"/>
                <w:color w:val="000000"/>
                <w:kern w:val="0"/>
                <w:sz w:val="22"/>
              </w:rPr>
              <w:t>目标4：根据工作需求，购买小型防护装备、测试材料等，提升海关口岸监管环节反恐人防、物防、技防水平。</w:t>
            </w:r>
          </w:p>
          <w:p>
            <w:pPr>
              <w:widowControl/>
              <w:textAlignment w:val="center"/>
              <w:rPr>
                <w:rFonts w:ascii="宋体" w:cs="宋体"/>
                <w:color w:val="000000"/>
                <w:sz w:val="22"/>
              </w:rPr>
            </w:pPr>
            <w:r>
              <w:rPr>
                <w:rFonts w:ascii="宋体" w:cs="宋体" w:hint="eastAsia"/>
                <w:color w:val="000000"/>
                <w:kern w:val="0"/>
                <w:sz w:val="22"/>
              </w:rPr>
              <w:t xml:space="preserve">目标5：做好口岸监管工作用犬工作的正常运行与维护，保障监管工作用犬正常购置/租用、饲养、初训与复训、考核、使用等。  </w:t>
            </w:r>
          </w:p>
        </w:tc>
      </w:tr>
      <w:tr>
        <w:trPr>
          <w:trHeight w:val="600"/>
        </w:trPr>
        <w:tc>
          <w:tcPr>
            <w:tcW w:w="53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w:t>
              <w:br/>
              <w:t>指标</w:t>
            </w:r>
          </w:p>
        </w:tc>
        <w:tc>
          <w:tcPr>
            <w:tcW w:w="189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1"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成本指标</w:t>
            </w:r>
          </w:p>
        </w:tc>
        <w:tc>
          <w:tcPr>
            <w:tcW w:w="1894"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经济成本指标</w:t>
            </w:r>
          </w:p>
        </w:tc>
        <w:tc>
          <w:tcPr>
            <w:tcW w:w="296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购置监管设备成本</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≤30.41万元</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894"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保障口岸监管工作用犬数量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≥1只</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894"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组织开展口岸反恐模拟演练</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894"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设备采购合同执行率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894"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H986、CT机等大型监管查验设备全年正常运行率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894"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口岸监管环节反恐能力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有所提升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1020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5"/>
        <w:gridCol w:w="1351"/>
        <w:gridCol w:w="2020"/>
        <w:gridCol w:w="942"/>
        <w:gridCol w:w="2020"/>
        <w:gridCol w:w="2021"/>
        <w:gridCol w:w="1311"/>
      </w:tblGrid>
      <w:tr>
        <w:trPr>
          <w:trHeight w:val="702"/>
        </w:trPr>
        <w:tc>
          <w:tcPr>
            <w:tcW w:w="10200"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32"/>
                <w:szCs w:val="32"/>
              </w:rPr>
            </w:pPr>
            <w:r>
              <w:rPr>
                <w:rFonts w:ascii="黑体" w:eastAsia="黑体" w:cs="黑体" w:hint="eastAsia"/>
                <w:color w:val="000000"/>
                <w:kern w:val="0"/>
                <w:sz w:val="32"/>
                <w:szCs w:val="32"/>
              </w:rPr>
              <w:t>项目绩效目标表</w:t>
            </w:r>
          </w:p>
        </w:tc>
      </w:tr>
      <w:tr>
        <w:trPr>
          <w:trHeight w:val="499"/>
        </w:trPr>
        <w:tc>
          <w:tcPr>
            <w:tcW w:w="10200"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88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31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海关业务保障及能力提升专项</w:t>
            </w:r>
          </w:p>
        </w:tc>
      </w:tr>
      <w:tr>
        <w:trPr>
          <w:trHeight w:val="439"/>
        </w:trPr>
        <w:tc>
          <w:tcPr>
            <w:tcW w:w="188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962"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33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呼和浩特海关技术中心</w:t>
            </w:r>
          </w:p>
        </w:tc>
      </w:tr>
      <w:tr>
        <w:trPr>
          <w:trHeight w:val="439"/>
        </w:trPr>
        <w:tc>
          <w:tcPr>
            <w:tcW w:w="188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962"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157.61</w:t>
            </w:r>
            <w:r>
              <w:rPr>
                <w:rFonts w:ascii="宋体" w:cs="宋体" w:hint="eastAsia"/>
                <w:color w:val="000000"/>
                <w:kern w:val="0"/>
                <w:sz w:val="22"/>
              </w:rPr>
              <w:t xml:space="preserve"> </w:t>
            </w:r>
          </w:p>
        </w:tc>
        <w:tc>
          <w:tcPr>
            <w:tcW w:w="131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886"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2"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157.61</w:t>
            </w:r>
            <w:r>
              <w:rPr>
                <w:rFonts w:ascii="宋体" w:cs="宋体" w:hint="eastAsia"/>
                <w:color w:val="000000"/>
                <w:kern w:val="0"/>
                <w:sz w:val="22"/>
              </w:rPr>
              <w:t xml:space="preserve"> </w:t>
            </w:r>
          </w:p>
        </w:tc>
        <w:tc>
          <w:tcPr>
            <w:tcW w:w="13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886"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2"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3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886"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2"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   </w:t>
            </w:r>
          </w:p>
        </w:tc>
        <w:tc>
          <w:tcPr>
            <w:tcW w:w="13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239"/>
        </w:trPr>
        <w:tc>
          <w:tcPr>
            <w:tcW w:w="535"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66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sz w:val="22"/>
              </w:rPr>
            </w:pPr>
            <w:r>
              <w:rPr>
                <w:rFonts w:ascii="宋体" w:cs="宋体" w:hint="eastAsia"/>
                <w:color w:val="000000"/>
                <w:kern w:val="0"/>
                <w:sz w:val="22"/>
              </w:rPr>
              <w:t>满足实验室检测用试剂耗材，保障实验室日常检测工作，为海关技术执法做好支撑。保障呼和浩特关区行政执法技术支持的能力储备和其他支出需求，提升进出境商品检验、动植物检疫、卫生检疫和应对技术性贸易措施的检测能力和水平。推动呼和浩特关区技术性贸易壁垒的深入研究，促进我国对外贸易的顺利发展，遏制国外不合格的商品及产品流入国内，保护国家权益和人民的健康。</w:t>
            </w:r>
          </w:p>
        </w:tc>
      </w:tr>
      <w:tr>
        <w:trPr>
          <w:trHeight w:val="600"/>
        </w:trPr>
        <w:tc>
          <w:tcPr>
            <w:tcW w:w="535"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35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w:t>
              <w:br/>
              <w:t>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5" w:type="dxa"/>
            <w:vMerge/>
            <w:tcBorders>
              <w:left w:val="single" w:sz="4" w:space="0" w:color="000000"/>
              <w:right w:val="single" w:sz="4" w:space="0" w:color="000000"/>
            </w:tcBorders>
            <w:shd w:val="clear" w:color="auto" w:fill="auto"/>
            <w:textDirection w:val="tbRlV"/>
            <w:vAlign w:val="center"/>
          </w:tcPr>
          <w:p/>
        </w:tc>
        <w:tc>
          <w:tcPr>
            <w:tcW w:w="13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呼和浩特关区检验检疫监督抽查任务完成率</w:t>
            </w:r>
          </w:p>
        </w:tc>
        <w:tc>
          <w:tcPr>
            <w:tcW w:w="202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w:t>
            </w:r>
          </w:p>
        </w:tc>
      </w:tr>
      <w:tr>
        <w:trPr>
          <w:trHeight w:val="439"/>
        </w:trPr>
        <w:tc>
          <w:tcPr>
            <w:tcW w:w="535" w:type="dxa"/>
            <w:vMerge/>
            <w:tcBorders>
              <w:left w:val="single" w:sz="4" w:space="0" w:color="000000"/>
              <w:right w:val="single" w:sz="4" w:space="0" w:color="000000"/>
            </w:tcBorders>
            <w:shd w:val="clear" w:color="auto" w:fill="auto"/>
            <w:textDirection w:val="tbRlV"/>
            <w:vAlign w:val="center"/>
          </w:tcPr>
          <w:p/>
        </w:tc>
        <w:tc>
          <w:tcPr>
            <w:tcW w:w="13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呼和浩特关区法定检验检测任务完成率</w:t>
            </w:r>
          </w:p>
        </w:tc>
        <w:tc>
          <w:tcPr>
            <w:tcW w:w="202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w:t>
            </w:r>
          </w:p>
        </w:tc>
      </w:tr>
      <w:tr>
        <w:trPr>
          <w:trHeight w:val="439"/>
        </w:trPr>
        <w:tc>
          <w:tcPr>
            <w:tcW w:w="535" w:type="dxa"/>
            <w:vMerge/>
            <w:tcBorders>
              <w:left w:val="single" w:sz="4" w:space="0" w:color="000000"/>
              <w:right w:val="single" w:sz="4" w:space="0" w:color="000000"/>
            </w:tcBorders>
            <w:shd w:val="clear" w:color="auto" w:fill="auto"/>
            <w:textDirection w:val="tbRlV"/>
            <w:vAlign w:val="center"/>
          </w:tcPr>
          <w:p/>
        </w:tc>
        <w:tc>
          <w:tcPr>
            <w:tcW w:w="13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实验室已获认可的检测参数</w:t>
            </w:r>
          </w:p>
        </w:tc>
        <w:tc>
          <w:tcPr>
            <w:tcW w:w="202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≥2600项</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w:t>
            </w:r>
          </w:p>
        </w:tc>
      </w:tr>
      <w:tr>
        <w:trPr>
          <w:trHeight w:val="439"/>
        </w:trPr>
        <w:tc>
          <w:tcPr>
            <w:tcW w:w="535" w:type="dxa"/>
            <w:vMerge/>
            <w:tcBorders>
              <w:left w:val="single" w:sz="4" w:space="0" w:color="000000"/>
              <w:right w:val="single" w:sz="4" w:space="0" w:color="000000"/>
            </w:tcBorders>
            <w:shd w:val="clear" w:color="auto" w:fill="auto"/>
            <w:textDirection w:val="tbRlV"/>
            <w:vAlign w:val="center"/>
          </w:tcPr>
          <w:p/>
        </w:tc>
        <w:tc>
          <w:tcPr>
            <w:tcW w:w="13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检测报告超期率</w:t>
            </w:r>
          </w:p>
        </w:tc>
        <w:tc>
          <w:tcPr>
            <w:tcW w:w="202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w:t>
            </w:r>
          </w:p>
        </w:tc>
      </w:tr>
      <w:tr>
        <w:trPr>
          <w:trHeight w:val="439"/>
        </w:trPr>
        <w:tc>
          <w:tcPr>
            <w:tcW w:w="535" w:type="dxa"/>
            <w:vMerge/>
            <w:tcBorders>
              <w:left w:val="single" w:sz="4" w:space="0" w:color="000000"/>
              <w:right w:val="single" w:sz="4" w:space="0" w:color="000000"/>
            </w:tcBorders>
            <w:shd w:val="clear" w:color="auto" w:fill="auto"/>
            <w:textDirection w:val="tbRlV"/>
            <w:vAlign w:val="center"/>
          </w:tcPr>
          <w:p/>
        </w:tc>
        <w:tc>
          <w:tcPr>
            <w:tcW w:w="13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检测报告差错率</w:t>
            </w:r>
          </w:p>
        </w:tc>
        <w:tc>
          <w:tcPr>
            <w:tcW w:w="202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w:t>
            </w:r>
          </w:p>
        </w:tc>
      </w:tr>
      <w:tr>
        <w:trPr>
          <w:trHeight w:val="439"/>
        </w:trPr>
        <w:tc>
          <w:tcPr>
            <w:tcW w:w="535" w:type="dxa"/>
            <w:vMerge/>
            <w:tcBorders>
              <w:left w:val="single" w:sz="4" w:space="0" w:color="000000"/>
              <w:right w:val="single" w:sz="4" w:space="0" w:color="000000"/>
            </w:tcBorders>
            <w:shd w:val="clear" w:color="auto" w:fill="auto"/>
            <w:textDirection w:val="tbRlV"/>
            <w:vAlign w:val="center"/>
          </w:tcPr>
          <w:p/>
        </w:tc>
        <w:tc>
          <w:tcPr>
            <w:tcW w:w="13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因技术保障能力造成的执法差错率</w:t>
            </w:r>
          </w:p>
        </w:tc>
        <w:tc>
          <w:tcPr>
            <w:tcW w:w="202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5" w:type="dxa"/>
            <w:vMerge/>
            <w:tcBorders>
              <w:left w:val="single" w:sz="4" w:space="0" w:color="000000"/>
              <w:right w:val="single" w:sz="4" w:space="0" w:color="000000"/>
            </w:tcBorders>
            <w:shd w:val="clear" w:color="auto" w:fill="auto"/>
            <w:textDirection w:val="tbRlV"/>
            <w:vAlign w:val="center"/>
          </w:tcPr>
          <w:p/>
        </w:tc>
        <w:tc>
          <w:tcPr>
            <w:tcW w:w="1351" w:type="dxa"/>
            <w:vMerge w:val="restart"/>
            <w:tcBorders>
              <w:top w:val="single" w:sz="4" w:space="0" w:color="000000"/>
              <w:left w:val="single" w:sz="4" w:space="0" w:color="000000"/>
              <w:right w:val="single" w:sz="4" w:space="0" w:color="000000"/>
            </w:tcBorders>
            <w:shd w:val="clear" w:color="auto" w:fill="auto"/>
            <w:vAlign w:val="center"/>
          </w:tcPr>
          <w:p>
            <w:pPr>
              <w:rPr>
                <w:rFonts w:ascii="宋体" w:cs="宋体"/>
                <w:sz w:val="24"/>
                <w:szCs w:val="24"/>
              </w:rPr>
            </w:pPr>
            <w:r>
              <w:rPr>
                <w:rFonts w:hint="eastAsia"/>
              </w:rPr>
              <w:t>效益指标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技术中心检验检疫能力</w:t>
            </w:r>
          </w:p>
        </w:tc>
        <w:tc>
          <w:tcPr>
            <w:tcW w:w="202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有所提升 </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439"/>
        </w:trPr>
        <w:tc>
          <w:tcPr>
            <w:tcW w:w="535" w:type="dxa"/>
            <w:vMerge/>
            <w:tcBorders>
              <w:left w:val="single" w:sz="4" w:space="0" w:color="000000"/>
              <w:right w:val="single" w:sz="4" w:space="0" w:color="000000"/>
            </w:tcBorders>
            <w:shd w:val="clear" w:color="auto" w:fill="auto"/>
            <w:textDirection w:val="tbRlV"/>
            <w:vAlign w:val="center"/>
          </w:tcPr>
          <w:p/>
        </w:tc>
        <w:tc>
          <w:tcPr>
            <w:tcW w:w="1351" w:type="dxa"/>
            <w:vMerge/>
            <w:tcBorders>
              <w:left w:val="single" w:sz="4" w:space="0" w:color="000000"/>
              <w:bottom w:val="single" w:sz="4" w:space="0" w:color="auto"/>
              <w:right w:val="single" w:sz="4" w:space="0" w:color="000000"/>
            </w:tcBorders>
            <w:shd w:val="clear" w:color="auto" w:fill="auto"/>
            <w:vAlign w:val="center"/>
          </w:tcP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技术中心业务保障能力</w:t>
            </w:r>
          </w:p>
        </w:tc>
        <w:tc>
          <w:tcPr>
            <w:tcW w:w="202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有所提升 </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439"/>
        </w:trPr>
        <w:tc>
          <w:tcPr>
            <w:tcW w:w="535" w:type="dxa"/>
            <w:vMerge/>
            <w:tcBorders>
              <w:left w:val="single" w:sz="4" w:space="0" w:color="000000"/>
              <w:bottom w:val="single" w:sz="4" w:space="0" w:color="000000"/>
              <w:right w:val="single" w:sz="4" w:space="0" w:color="auto"/>
            </w:tcBorders>
            <w:shd w:val="clear" w:color="auto" w:fill="auto"/>
            <w:textDirection w:val="tbRlV"/>
            <w:vAlign w:val="center"/>
          </w:tcPr>
          <w:p/>
        </w:tc>
        <w:tc>
          <w:tcPr>
            <w:tcW w:w="1351" w:type="dxa"/>
            <w:tcBorders>
              <w:top w:val="single" w:sz="4" w:space="0" w:color="auto"/>
              <w:left w:val="single" w:sz="4" w:space="0" w:color="auto"/>
              <w:bottom w:val="single" w:sz="4" w:space="0" w:color="auto"/>
              <w:right w:val="single" w:sz="4" w:space="0" w:color="auto"/>
            </w:tcBorders>
            <w:shd w:val="clear" w:color="auto" w:fill="auto"/>
            <w:vAlign w:val="center"/>
          </w:tcPr>
          <w:p>
            <w:r>
              <w:rPr>
                <w:rFonts w:ascii="宋体" w:cs="宋体" w:hint="eastAsia"/>
                <w:color w:val="000000"/>
                <w:kern w:val="0"/>
                <w:sz w:val="22"/>
              </w:rPr>
              <w:t>满意度指标</w:t>
            </w:r>
          </w:p>
        </w:tc>
        <w:tc>
          <w:tcPr>
            <w:tcW w:w="2020"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客户对实验室检测工作的满意度</w:t>
            </w:r>
          </w:p>
        </w:tc>
        <w:tc>
          <w:tcPr>
            <w:tcW w:w="202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98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41"/>
        <w:gridCol w:w="1979"/>
        <w:gridCol w:w="955"/>
        <w:gridCol w:w="2046"/>
        <w:gridCol w:w="2047"/>
        <w:gridCol w:w="1183"/>
      </w:tblGrid>
      <w:tr>
        <w:trPr>
          <w:trHeight w:val="702"/>
        </w:trPr>
        <w:tc>
          <w:tcPr>
            <w:tcW w:w="9985"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32"/>
                <w:szCs w:val="32"/>
              </w:rPr>
            </w:pPr>
            <w:r>
              <w:rPr>
                <w:rFonts w:ascii="黑体" w:eastAsia="黑体" w:cs="黑体" w:hint="eastAsia"/>
                <w:color w:val="000000"/>
                <w:kern w:val="0"/>
                <w:sz w:val="32"/>
                <w:szCs w:val="32"/>
              </w:rPr>
              <w:t>项目绩效目标表</w:t>
            </w:r>
          </w:p>
        </w:tc>
      </w:tr>
      <w:tr>
        <w:trPr>
          <w:trHeight w:val="499"/>
        </w:trPr>
        <w:tc>
          <w:tcPr>
            <w:tcW w:w="9985"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21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口岸公共卫生安全专项</w:t>
            </w:r>
          </w:p>
        </w:tc>
      </w:tr>
      <w:tr>
        <w:trPr>
          <w:trHeight w:val="439"/>
        </w:trPr>
        <w:tc>
          <w:tcPr>
            <w:tcW w:w="17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934"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4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中华人民共和国二连海关本级</w:t>
            </w:r>
          </w:p>
        </w:tc>
      </w:tr>
      <w:tr>
        <w:trPr>
          <w:trHeight w:val="439"/>
        </w:trPr>
        <w:tc>
          <w:tcPr>
            <w:tcW w:w="177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934"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9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30.00 </w:t>
            </w:r>
          </w:p>
        </w:tc>
        <w:tc>
          <w:tcPr>
            <w:tcW w:w="118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34"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9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30.00 </w:t>
            </w:r>
          </w:p>
        </w:tc>
        <w:tc>
          <w:tcPr>
            <w:tcW w:w="11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34"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9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   </w:t>
            </w:r>
          </w:p>
        </w:tc>
        <w:tc>
          <w:tcPr>
            <w:tcW w:w="11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34"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9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   </w:t>
            </w:r>
          </w:p>
        </w:tc>
        <w:tc>
          <w:tcPr>
            <w:tcW w:w="11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3019"/>
        </w:trPr>
        <w:tc>
          <w:tcPr>
            <w:tcW w:w="534"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45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目标1．开展传染病跨境传播风险专题评估、快速评估、季度评估等。</w:t>
            </w:r>
          </w:p>
          <w:p>
            <w:pPr>
              <w:widowControl/>
              <w:textAlignment w:val="center"/>
              <w:rPr>
                <w:rFonts w:ascii="宋体" w:cs="宋体"/>
                <w:color w:val="000000"/>
                <w:kern w:val="0"/>
                <w:sz w:val="22"/>
              </w:rPr>
            </w:pPr>
            <w:r>
              <w:rPr>
                <w:rFonts w:ascii="宋体" w:cs="宋体" w:hint="eastAsia"/>
                <w:color w:val="000000"/>
                <w:kern w:val="0"/>
                <w:sz w:val="22"/>
              </w:rPr>
              <w:t>目标2.   用于我关国际旅行卫生保健中心提高传染病监测、检测和预防控制能力，发挥技术支撑作用。</w:t>
            </w:r>
          </w:p>
          <w:p>
            <w:pPr>
              <w:widowControl/>
              <w:textAlignment w:val="center"/>
              <w:rPr>
                <w:rFonts w:ascii="宋体" w:cs="宋体"/>
                <w:color w:val="000000"/>
                <w:kern w:val="0"/>
                <w:sz w:val="22"/>
              </w:rPr>
            </w:pPr>
            <w:r>
              <w:rPr>
                <w:rFonts w:ascii="宋体" w:cs="宋体" w:hint="eastAsia"/>
                <w:color w:val="000000"/>
                <w:kern w:val="0"/>
                <w:sz w:val="22"/>
              </w:rPr>
              <w:t>目标3．依法依规履行卫生检疫职责，提高出入境检疫查验、传染病监测、国际旅行健康宣教和健康促进卫生监督以及卫生处理技术水平。</w:t>
            </w:r>
          </w:p>
          <w:p>
            <w:pPr>
              <w:widowControl/>
              <w:textAlignment w:val="center"/>
              <w:rPr>
                <w:rFonts w:ascii="宋体" w:cs="宋体"/>
                <w:color w:val="000000"/>
                <w:kern w:val="0"/>
                <w:sz w:val="22"/>
              </w:rPr>
            </w:pPr>
            <w:r>
              <w:rPr>
                <w:rFonts w:ascii="宋体" w:cs="宋体" w:hint="eastAsia"/>
                <w:color w:val="000000"/>
                <w:kern w:val="0"/>
                <w:sz w:val="22"/>
              </w:rPr>
              <w:t>目标4．持续巩固和提升已达标口岸的公共卫生核心能力水平，做好《国际卫生条例（2005）》要求的口岸公共卫生核心能力保持和提高等各项工作。</w:t>
            </w:r>
          </w:p>
          <w:p>
            <w:pPr>
              <w:widowControl/>
              <w:textAlignment w:val="center"/>
              <w:rPr>
                <w:rFonts w:ascii="宋体" w:cs="宋体"/>
                <w:color w:val="000000"/>
                <w:kern w:val="0"/>
                <w:sz w:val="22"/>
              </w:rPr>
            </w:pPr>
            <w:r>
              <w:rPr>
                <w:rFonts w:ascii="宋体" w:cs="宋体" w:hint="eastAsia"/>
                <w:color w:val="000000"/>
                <w:kern w:val="0"/>
                <w:sz w:val="22"/>
              </w:rPr>
              <w:t>目标5．口岸有效防止传染病跨境传播，有效开展症状监测，及时发现有症状者，开展有症状者检测和转交指定医院，实验室或临床确诊传染病。</w:t>
            </w:r>
          </w:p>
          <w:p>
            <w:pPr>
              <w:widowControl/>
              <w:textAlignment w:val="center"/>
              <w:rPr>
                <w:rFonts w:ascii="宋体" w:cs="宋体"/>
                <w:color w:val="000000"/>
                <w:kern w:val="0"/>
                <w:sz w:val="22"/>
              </w:rPr>
            </w:pPr>
            <w:r>
              <w:rPr>
                <w:rFonts w:ascii="宋体" w:cs="宋体" w:hint="eastAsia"/>
                <w:color w:val="000000"/>
                <w:kern w:val="0"/>
                <w:sz w:val="22"/>
              </w:rPr>
              <w:t>目标6．提高专业人员素质和能力，保证卫生检疫工作质量。</w:t>
            </w:r>
          </w:p>
          <w:p>
            <w:pPr>
              <w:widowControl/>
              <w:textAlignment w:val="center"/>
              <w:rPr>
                <w:rFonts w:ascii="宋体" w:cs="宋体"/>
                <w:color w:val="000000"/>
                <w:sz w:val="22"/>
              </w:rPr>
            </w:pPr>
            <w:r>
              <w:rPr>
                <w:rFonts w:ascii="宋体" w:cs="宋体" w:hint="eastAsia"/>
                <w:color w:val="000000"/>
                <w:kern w:val="0"/>
                <w:sz w:val="22"/>
              </w:rPr>
              <w:t>目标7.   科学有效实施特殊物品卫生检疫和风险防控，强化生物安全管理。</w:t>
            </w:r>
          </w:p>
        </w:tc>
      </w:tr>
      <w:tr>
        <w:trPr>
          <w:trHeight w:val="600"/>
        </w:trPr>
        <w:tc>
          <w:tcPr>
            <w:tcW w:w="53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w:t>
              <w:br/>
              <w:t>指标</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3001"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47"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83"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41"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300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传染病防控宣传</w:t>
            </w:r>
          </w:p>
        </w:tc>
        <w:tc>
          <w:tcPr>
            <w:tcW w:w="204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83"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41" w:type="dxa"/>
            <w:vMerge/>
            <w:tcBorders>
              <w:left w:val="single" w:sz="4" w:space="0" w:color="000000"/>
              <w:right w:val="single" w:sz="4" w:space="0" w:color="000000"/>
            </w:tcBorders>
            <w:shd w:val="clear" w:color="auto" w:fill="auto"/>
            <w:vAlign w:val="center"/>
          </w:tcP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300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口岸传染病疫情风险评估</w:t>
            </w:r>
          </w:p>
        </w:tc>
        <w:tc>
          <w:tcPr>
            <w:tcW w:w="204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83"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41" w:type="dxa"/>
            <w:vMerge/>
            <w:tcBorders>
              <w:left w:val="single" w:sz="4" w:space="0" w:color="000000"/>
              <w:right w:val="single" w:sz="4" w:space="0" w:color="000000"/>
            </w:tcBorders>
            <w:shd w:val="clear" w:color="auto" w:fill="auto"/>
            <w:vAlign w:val="center"/>
          </w:tcP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300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开展口岸疫情防控培训</w:t>
            </w:r>
          </w:p>
        </w:tc>
        <w:tc>
          <w:tcPr>
            <w:tcW w:w="204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≥2次</w:t>
            </w:r>
          </w:p>
        </w:tc>
        <w:tc>
          <w:tcPr>
            <w:tcW w:w="1183"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41" w:type="dxa"/>
            <w:vMerge/>
            <w:tcBorders>
              <w:left w:val="single" w:sz="4" w:space="0" w:color="000000"/>
              <w:right w:val="single" w:sz="4" w:space="0" w:color="000000"/>
            </w:tcBorders>
            <w:shd w:val="clear" w:color="auto" w:fill="auto"/>
            <w:vAlign w:val="center"/>
          </w:tcP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300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生物安全监测及实验室监测（演练）</w:t>
            </w:r>
          </w:p>
        </w:tc>
        <w:tc>
          <w:tcPr>
            <w:tcW w:w="204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83"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41" w:type="dxa"/>
            <w:vMerge/>
            <w:tcBorders>
              <w:left w:val="single" w:sz="4" w:space="0" w:color="000000"/>
              <w:right w:val="single" w:sz="4" w:space="0" w:color="000000"/>
            </w:tcBorders>
            <w:shd w:val="clear" w:color="auto" w:fill="auto"/>
            <w:vAlign w:val="center"/>
          </w:tcP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300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病媒生物监测覆盖率</w:t>
            </w:r>
          </w:p>
        </w:tc>
        <w:tc>
          <w:tcPr>
            <w:tcW w:w="204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83"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41" w:type="dxa"/>
            <w:vMerge/>
            <w:tcBorders>
              <w:left w:val="single" w:sz="4" w:space="0" w:color="000000"/>
              <w:right w:val="single" w:sz="4" w:space="0" w:color="000000"/>
            </w:tcBorders>
            <w:shd w:val="clear" w:color="auto" w:fill="auto"/>
            <w:vAlign w:val="center"/>
          </w:tcP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300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生物安全监测及实验室检测（演练）合格率</w:t>
            </w:r>
          </w:p>
        </w:tc>
        <w:tc>
          <w:tcPr>
            <w:tcW w:w="204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83"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41" w:type="dxa"/>
            <w:vMerge/>
            <w:tcBorders>
              <w:left w:val="single" w:sz="4" w:space="0" w:color="000000"/>
              <w:bottom w:val="single" w:sz="4" w:space="0" w:color="000000"/>
              <w:right w:val="single" w:sz="4" w:space="0" w:color="000000"/>
            </w:tcBorders>
            <w:shd w:val="clear" w:color="auto" w:fill="auto"/>
            <w:vAlign w:val="center"/>
          </w:tcP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300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培训合格率</w:t>
            </w:r>
          </w:p>
        </w:tc>
        <w:tc>
          <w:tcPr>
            <w:tcW w:w="204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83"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300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《全国口岸食品安全抽检计划》年度完成率</w:t>
            </w:r>
          </w:p>
        </w:tc>
        <w:tc>
          <w:tcPr>
            <w:tcW w:w="204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83"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10056"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364"/>
        <w:gridCol w:w="2018"/>
        <w:gridCol w:w="942"/>
        <w:gridCol w:w="2019"/>
        <w:gridCol w:w="2019"/>
        <w:gridCol w:w="1160"/>
      </w:tblGrid>
      <w:tr>
        <w:trPr>
          <w:trHeight w:val="702"/>
        </w:trPr>
        <w:tc>
          <w:tcPr>
            <w:tcW w:w="10056"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32"/>
                <w:szCs w:val="32"/>
              </w:rPr>
            </w:pPr>
            <w:r>
              <w:rPr>
                <w:rFonts w:ascii="黑体" w:eastAsia="黑体" w:cs="黑体" w:hint="eastAsia"/>
                <w:color w:val="000000"/>
                <w:kern w:val="0"/>
                <w:sz w:val="32"/>
                <w:szCs w:val="32"/>
              </w:rPr>
              <w:t>项目绩效目标表</w:t>
            </w:r>
          </w:p>
        </w:tc>
      </w:tr>
      <w:tr>
        <w:trPr>
          <w:trHeight w:val="499"/>
        </w:trPr>
        <w:tc>
          <w:tcPr>
            <w:tcW w:w="10056"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8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15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国门生物安全专项</w:t>
            </w:r>
          </w:p>
        </w:tc>
      </w:tr>
      <w:tr>
        <w:trPr>
          <w:trHeight w:val="439"/>
        </w:trPr>
        <w:tc>
          <w:tcPr>
            <w:tcW w:w="18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96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中华人民共和国呼和浩特海关本级</w:t>
            </w:r>
          </w:p>
        </w:tc>
      </w:tr>
      <w:tr>
        <w:trPr>
          <w:trHeight w:val="439"/>
        </w:trPr>
        <w:tc>
          <w:tcPr>
            <w:tcW w:w="189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96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2.00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89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2.00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89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89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3900"/>
        </w:trPr>
        <w:tc>
          <w:tcPr>
            <w:tcW w:w="534"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522"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sz w:val="22"/>
              </w:rPr>
            </w:pPr>
            <w:r>
              <w:rPr>
                <w:rFonts w:ascii="宋体" w:cs="宋体" w:hint="eastAsia"/>
                <w:color w:val="000000"/>
                <w:kern w:val="0"/>
                <w:sz w:val="22"/>
              </w:rPr>
              <w:t>目标1：进一步夯实国门生物安全保障能力基础，促进国门生物安全保障能力持续提升。完成年度进出境动植物检验检疫各项工作任务，稳步推进各项改革事项，有效控制重大动植物疫情疫病和有毒有害物质传入传出，有效保障农林牧渔业生产安全、人民群众生命健康安全和生态安全。</w:t>
            </w:r>
          </w:p>
        </w:tc>
      </w:tr>
      <w:tr>
        <w:trPr>
          <w:trHeight w:val="600"/>
        </w:trPr>
        <w:tc>
          <w:tcPr>
            <w:tcW w:w="53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36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w:t>
              <w:br/>
              <w:t>指标</w:t>
            </w:r>
          </w:p>
        </w:tc>
        <w:tc>
          <w:tcPr>
            <w:tcW w:w="201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1"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6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20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国门生物安全宣传册印刷</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≥200册/年</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开展国门生物安全培训或宣传次数</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动植检绩效考核指标保持全国海关前三分之一</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外来有害生物监测计划完成率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进出境动物疫病监测计划完成率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培训合格率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6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20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提升国门安全保障能力</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有效提升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40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1003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337"/>
        <w:gridCol w:w="2020"/>
        <w:gridCol w:w="942"/>
        <w:gridCol w:w="2020"/>
        <w:gridCol w:w="2020"/>
        <w:gridCol w:w="1160"/>
      </w:tblGrid>
      <w:tr>
        <w:trPr>
          <w:trHeight w:val="702"/>
        </w:trPr>
        <w:tc>
          <w:tcPr>
            <w:tcW w:w="1003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32"/>
                <w:szCs w:val="32"/>
              </w:rPr>
            </w:pPr>
            <w:r>
              <w:rPr>
                <w:rFonts w:ascii="黑体" w:eastAsia="黑体" w:cs="黑体" w:hint="eastAsia"/>
                <w:color w:val="000000"/>
                <w:kern w:val="0"/>
                <w:sz w:val="32"/>
                <w:szCs w:val="32"/>
              </w:rPr>
              <w:t>项目绩效目标表</w:t>
            </w:r>
          </w:p>
        </w:tc>
      </w:tr>
      <w:tr>
        <w:trPr>
          <w:trHeight w:val="499"/>
        </w:trPr>
        <w:tc>
          <w:tcPr>
            <w:tcW w:w="1003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8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162"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进出口商品质量安全检验监管专项</w:t>
            </w:r>
          </w:p>
        </w:tc>
      </w:tr>
      <w:tr>
        <w:trPr>
          <w:trHeight w:val="439"/>
        </w:trPr>
        <w:tc>
          <w:tcPr>
            <w:tcW w:w="18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962"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中华人民共和国呼和浩特海关本级</w:t>
            </w:r>
          </w:p>
        </w:tc>
      </w:tr>
      <w:tr>
        <w:trPr>
          <w:trHeight w:val="439"/>
        </w:trPr>
        <w:tc>
          <w:tcPr>
            <w:tcW w:w="187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962"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2.26</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8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2"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2.26</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8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2"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8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2"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3988"/>
        </w:trPr>
        <w:tc>
          <w:tcPr>
            <w:tcW w:w="534"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49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sz w:val="22"/>
              </w:rPr>
            </w:pPr>
            <w:r>
              <w:rPr>
                <w:rFonts w:ascii="宋体" w:cs="宋体" w:hint="eastAsia"/>
                <w:color w:val="000000"/>
                <w:kern w:val="0"/>
                <w:sz w:val="22"/>
              </w:rPr>
              <w:t>依据《中华人民共和国进出口商</w:t>
            </w:r>
            <w:r>
              <w:rPr>
                <w:rFonts w:ascii="宋体" w:cs="宋体"/>
                <w:color w:val="000000"/>
                <w:kern w:val="0"/>
                <w:sz w:val="22"/>
              </w:rPr>
              <w:t>品</w:t>
            </w:r>
            <w:r>
              <w:rPr>
                <w:rFonts w:ascii="宋体" w:cs="宋体" w:hint="eastAsia"/>
                <w:color w:val="000000"/>
                <w:kern w:val="0"/>
                <w:sz w:val="22"/>
              </w:rPr>
              <w:t>检</w:t>
            </w:r>
            <w:r>
              <w:rPr>
                <w:rFonts w:ascii="宋体" w:cs="宋体"/>
                <w:color w:val="000000"/>
                <w:kern w:val="0"/>
                <w:sz w:val="22"/>
              </w:rPr>
              <w:t>验</w:t>
            </w:r>
            <w:bookmarkStart w:id="1" w:name="_GoBack"/>
            <w:bookmarkEnd w:id="1"/>
            <w:r>
              <w:rPr>
                <w:rFonts w:ascii="宋体" w:cs="宋体" w:hint="eastAsia"/>
                <w:color w:val="000000"/>
                <w:kern w:val="0"/>
                <w:sz w:val="22"/>
              </w:rPr>
              <w:t>法》及其实施条例等法律法规，保障呼和浩特海关履行进出口商品检验监管职能，有效开展进出口商品质量安全检验监管工作，严守质量安全底线，维护国门安全，促进跨境贸易便利化。</w:t>
            </w:r>
          </w:p>
        </w:tc>
      </w:tr>
      <w:tr>
        <w:trPr>
          <w:trHeight w:val="600"/>
        </w:trPr>
        <w:tc>
          <w:tcPr>
            <w:tcW w:w="53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337"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w:t>
              <w:br/>
              <w:t>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优化进出口商品检验模式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实施进出口商品法定检验批次数量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≥1万批次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风险监测获取的有效信息数量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≥100条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本年度通过危化品检验监管资质考核的人员数量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≥30人</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因海关商检职能管理原因导致的系统性、区域性进出口商品质量安全事故发生率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进出口商品检验模式改革为企业节约成本</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保障人民生命健康安全有力有效</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337"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满意度</w:t>
              <w:br/>
              <w:t>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企业对监测结果的满意度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97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80"/>
        <w:gridCol w:w="2019"/>
        <w:gridCol w:w="942"/>
        <w:gridCol w:w="2019"/>
        <w:gridCol w:w="2019"/>
        <w:gridCol w:w="1160"/>
      </w:tblGrid>
      <w:tr>
        <w:trPr>
          <w:trHeight w:val="702"/>
        </w:trPr>
        <w:tc>
          <w:tcPr>
            <w:tcW w:w="997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32"/>
                <w:szCs w:val="32"/>
              </w:rPr>
            </w:pPr>
            <w:r>
              <w:rPr>
                <w:rFonts w:ascii="黑体" w:eastAsia="黑体" w:cs="黑体" w:hint="eastAsia"/>
                <w:color w:val="000000"/>
                <w:kern w:val="0"/>
                <w:sz w:val="32"/>
                <w:szCs w:val="32"/>
              </w:rPr>
              <w:t>项目绩效目标表</w:t>
            </w:r>
          </w:p>
        </w:tc>
      </w:tr>
      <w:tr>
        <w:trPr>
          <w:trHeight w:val="499"/>
        </w:trPr>
        <w:tc>
          <w:tcPr>
            <w:tcW w:w="997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8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15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进出口食品及化妆品安全专项</w:t>
            </w:r>
          </w:p>
        </w:tc>
      </w:tr>
      <w:tr>
        <w:trPr>
          <w:trHeight w:val="439"/>
        </w:trPr>
        <w:tc>
          <w:tcPr>
            <w:tcW w:w="18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961"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中华人民共和国二连海关本级</w:t>
            </w:r>
          </w:p>
        </w:tc>
      </w:tr>
      <w:tr>
        <w:trPr>
          <w:trHeight w:val="439"/>
        </w:trPr>
        <w:tc>
          <w:tcPr>
            <w:tcW w:w="181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961"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15.00</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814"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1"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15.00</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814"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1"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814"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1"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347"/>
        </w:trPr>
        <w:tc>
          <w:tcPr>
            <w:tcW w:w="534"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43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目标1.组织实施对进出口食品化妆品的检验检疫监督管理。</w:t>
            </w:r>
          </w:p>
          <w:p>
            <w:pPr>
              <w:widowControl/>
              <w:textAlignment w:val="center"/>
              <w:rPr>
                <w:rFonts w:ascii="宋体" w:cs="宋体"/>
                <w:color w:val="000000"/>
                <w:kern w:val="0"/>
                <w:sz w:val="22"/>
              </w:rPr>
            </w:pPr>
            <w:r>
              <w:rPr>
                <w:rFonts w:ascii="宋体" w:cs="宋体" w:hint="eastAsia"/>
                <w:color w:val="000000"/>
                <w:kern w:val="0"/>
                <w:sz w:val="22"/>
              </w:rPr>
              <w:t>目标2.对境外发生的食品化妆品安全事件可能对我国境内造成影响，或者在接到执行管理部门通报进口食品化妆品中发现严重安全问题的，组织实施安全风险分析和紧急预防措施工作。</w:t>
            </w:r>
          </w:p>
          <w:p>
            <w:pPr>
              <w:widowControl/>
              <w:textAlignment w:val="center"/>
              <w:rPr>
                <w:rFonts w:ascii="宋体" w:cs="宋体"/>
                <w:color w:val="000000"/>
                <w:kern w:val="0"/>
                <w:sz w:val="22"/>
              </w:rPr>
            </w:pPr>
            <w:r>
              <w:rPr>
                <w:rFonts w:ascii="宋体" w:cs="宋体" w:hint="eastAsia"/>
                <w:color w:val="000000"/>
                <w:kern w:val="0"/>
                <w:sz w:val="22"/>
              </w:rPr>
              <w:t xml:space="preserve">目标3.按照总署食品局部署，开展国内外食品化妆品技术法规收集与分析，开展进出口食品化妆品安全风险信息收集、汇总工作。                                                            </w:t>
            </w:r>
          </w:p>
          <w:p>
            <w:pPr>
              <w:widowControl/>
              <w:textAlignment w:val="center"/>
              <w:rPr>
                <w:rFonts w:ascii="宋体" w:cs="宋体"/>
                <w:color w:val="000000"/>
                <w:sz w:val="22"/>
              </w:rPr>
            </w:pPr>
            <w:r>
              <w:rPr>
                <w:rFonts w:ascii="宋体" w:cs="宋体" w:hint="eastAsia"/>
                <w:color w:val="000000"/>
                <w:kern w:val="0"/>
                <w:sz w:val="22"/>
              </w:rPr>
              <w:t xml:space="preserve">目标4.组织制定年度进出口食品化妆品监督抽检和风险监测计划。        </w:t>
            </w:r>
          </w:p>
        </w:tc>
      </w:tr>
      <w:tr>
        <w:trPr>
          <w:trHeight w:val="600"/>
        </w:trPr>
        <w:tc>
          <w:tcPr>
            <w:tcW w:w="53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8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w:t>
              <w:br/>
              <w:t>指标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1"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组织进出口食品安全监管岗位培训</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完成年度食品化妆品安全监测任务</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组织制定年度进出口食品化妆品监督抽检和风险监测计划</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培训合格率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8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1"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开展食品安全宣传周活动</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40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71"/>
        <w:gridCol w:w="1906"/>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32"/>
                <w:szCs w:val="32"/>
              </w:rPr>
            </w:pPr>
            <w:r>
              <w:rPr>
                <w:rFonts w:ascii="黑体" w:eastAsia="黑体" w:cs="黑体" w:hint="eastAsia"/>
                <w:color w:val="000000"/>
                <w:kern w:val="0"/>
                <w:sz w:val="32"/>
                <w:szCs w:val="32"/>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80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4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智慧海关建设与科技赋能保障专项</w:t>
            </w:r>
          </w:p>
        </w:tc>
      </w:tr>
      <w:tr>
        <w:trPr>
          <w:trHeight w:val="439"/>
        </w:trPr>
        <w:tc>
          <w:tcPr>
            <w:tcW w:w="180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48"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中华人民共和国呼和浩特海关本级</w:t>
            </w:r>
          </w:p>
        </w:tc>
      </w:tr>
      <w:tr>
        <w:trPr>
          <w:trHeight w:val="439"/>
        </w:trPr>
        <w:tc>
          <w:tcPr>
            <w:tcW w:w="180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48"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7</w:t>
            </w:r>
            <w:r>
              <w:rPr>
                <w:rFonts w:ascii="宋体" w:cs="宋体" w:hint="eastAsia"/>
                <w:color w:val="000000"/>
                <w:kern w:val="0"/>
                <w:sz w:val="22"/>
              </w:rPr>
              <w:t xml:space="preserve">.00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80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48"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7</w:t>
            </w:r>
            <w:r>
              <w:rPr>
                <w:rFonts w:ascii="宋体" w:cs="宋体" w:hint="eastAsia"/>
                <w:color w:val="000000"/>
                <w:kern w:val="0"/>
                <w:sz w:val="22"/>
              </w:rPr>
              <w:t xml:space="preserve">.00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80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48"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80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48"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1862"/>
        </w:trPr>
        <w:tc>
          <w:tcPr>
            <w:tcW w:w="534"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sz w:val="22"/>
              </w:rPr>
            </w:pPr>
            <w:r>
              <w:rPr>
                <w:rFonts w:ascii="宋体" w:cs="宋体" w:hint="eastAsia"/>
                <w:color w:val="000000"/>
                <w:kern w:val="0"/>
                <w:sz w:val="22"/>
              </w:rPr>
              <w:t>运维12360统一服务热线平台，保障平台稳定运行。</w:t>
              <w:tab/>
            </w:r>
          </w:p>
        </w:tc>
      </w:tr>
      <w:tr>
        <w:trPr>
          <w:trHeight w:val="600"/>
        </w:trPr>
        <w:tc>
          <w:tcPr>
            <w:tcW w:w="53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w:t>
              <w:br/>
              <w:t>指标</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71"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运维12360硬件数量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=14台</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71" w:type="dxa"/>
            <w:vMerge/>
            <w:tcBorders>
              <w:left w:val="single" w:sz="4" w:space="0" w:color="000000"/>
              <w:right w:val="single" w:sz="4" w:space="0" w:color="000000"/>
            </w:tcBorders>
            <w:shd w:val="clear" w:color="auto" w:fill="auto"/>
            <w:vAlign w:val="center"/>
          </w:tcP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12360热线接通率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≥96%</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71" w:type="dxa"/>
            <w:vMerge/>
            <w:tcBorders>
              <w:left w:val="single" w:sz="4" w:space="0" w:color="000000"/>
              <w:right w:val="single" w:sz="4" w:space="0" w:color="000000"/>
            </w:tcBorders>
            <w:shd w:val="clear" w:color="auto" w:fill="auto"/>
            <w:vAlign w:val="center"/>
          </w:tcP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12360热线平均等待时长</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≤10秒</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71" w:type="dxa"/>
            <w:vMerge/>
            <w:tcBorders>
              <w:left w:val="single" w:sz="4" w:space="0" w:color="000000"/>
              <w:bottom w:val="single" w:sz="4" w:space="0" w:color="000000"/>
              <w:right w:val="single" w:sz="4" w:space="0" w:color="000000"/>
            </w:tcBorders>
            <w:shd w:val="clear" w:color="auto" w:fill="auto"/>
            <w:vAlign w:val="center"/>
          </w:tcP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12360统一服务热线平台运行时长</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=24小时</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12360热线归并后服务企业便利性</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有所提升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r>
              <w:rPr>
                <w:rFonts w:hint="eastAsia"/>
              </w:rPr>
              <w:t>满意度指标</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12360呼叫中心回访满意度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5"/>
        <w:gridCol w:w="1942"/>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32"/>
                <w:szCs w:val="32"/>
              </w:rPr>
            </w:pPr>
            <w:r>
              <w:rPr>
                <w:rFonts w:ascii="黑体" w:eastAsia="黑体" w:cs="黑体" w:hint="eastAsia"/>
                <w:color w:val="000000"/>
                <w:kern w:val="0"/>
                <w:sz w:val="32"/>
                <w:szCs w:val="32"/>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海关资产及专用设备运行维护费</w:t>
            </w:r>
          </w:p>
        </w:tc>
      </w:tr>
      <w:tr>
        <w:trPr>
          <w:trHeight w:val="439"/>
        </w:trPr>
        <w:tc>
          <w:tcPr>
            <w:tcW w:w="17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4"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中华人民共和国呼和浩特海关本级</w:t>
            </w:r>
          </w:p>
        </w:tc>
      </w:tr>
      <w:tr>
        <w:trPr>
          <w:trHeight w:val="439"/>
        </w:trPr>
        <w:tc>
          <w:tcPr>
            <w:tcW w:w="176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4"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227.31</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69"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4"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227.31</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69"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4"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69"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4"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sz w:val="22"/>
              </w:rPr>
            </w:pPr>
            <w:r>
              <w:rPr>
                <w:rFonts w:ascii="宋体" w:cs="宋体" w:hint="eastAsia"/>
                <w:color w:val="000000"/>
                <w:kern w:val="0"/>
                <w:sz w:val="22"/>
              </w:rPr>
              <w:t>通过各类装备、设备的运维，提高海关监管工作效率，缓解海关人力资源不足与日益增长的监管工作量之间的矛盾，提升海关监管科技含量，提升海关装备设备现代化、科技化水平，优化海关缉监管与服务。</w:t>
            </w:r>
          </w:p>
        </w:tc>
      </w:tr>
      <w:tr>
        <w:trPr>
          <w:trHeight w:val="600"/>
        </w:trPr>
        <w:tc>
          <w:tcPr>
            <w:tcW w:w="53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w:t>
              <w:br/>
              <w:t>指标</w:t>
            </w:r>
          </w:p>
        </w:tc>
        <w:tc>
          <w:tcPr>
            <w:tcW w:w="1942"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2"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运维办公或监管场所（个）</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≥1个</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6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42"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通用设备运维数量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≥170台/套</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42"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通用设备正常使用率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42"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大型设备维修及时率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2"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海关（关区）核心业务基础保障能力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有效提升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40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60"/>
        <w:gridCol w:w="1917"/>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32"/>
                <w:szCs w:val="32"/>
              </w:rPr>
            </w:pPr>
            <w:r>
              <w:rPr>
                <w:rFonts w:ascii="黑体" w:eastAsia="黑体" w:cs="黑体" w:hint="eastAsia"/>
                <w:color w:val="000000"/>
                <w:kern w:val="0"/>
                <w:sz w:val="32"/>
                <w:szCs w:val="32"/>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5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海关信息系统运行维护</w:t>
            </w:r>
          </w:p>
        </w:tc>
      </w:tr>
      <w:tr>
        <w:trPr>
          <w:trHeight w:val="439"/>
        </w:trPr>
        <w:tc>
          <w:tcPr>
            <w:tcW w:w="17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59"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中华人民共和国呼和浩特海关本级</w:t>
            </w:r>
          </w:p>
        </w:tc>
      </w:tr>
      <w:tr>
        <w:trPr>
          <w:trHeight w:val="439"/>
        </w:trPr>
        <w:tc>
          <w:tcPr>
            <w:tcW w:w="179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59"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368.50</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94"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59"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368.50</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94"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59"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94"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59"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1、保证不同安全保护等级的信息系统具有相应级别的安全保护能力，满足相应级别的基本安全要求，符合海关信息系统安全等级保护基本要求等规范标准。</w:t>
            </w:r>
          </w:p>
          <w:p>
            <w:pPr>
              <w:widowControl/>
              <w:textAlignment w:val="center"/>
              <w:rPr>
                <w:rFonts w:ascii="宋体" w:cs="宋体"/>
                <w:color w:val="000000"/>
                <w:kern w:val="0"/>
                <w:sz w:val="22"/>
              </w:rPr>
            </w:pPr>
            <w:r>
              <w:rPr>
                <w:rFonts w:ascii="宋体" w:cs="宋体" w:hint="eastAsia"/>
                <w:color w:val="000000"/>
                <w:kern w:val="0"/>
                <w:sz w:val="22"/>
              </w:rPr>
              <w:t>2、购置符合国家相关标准的节能环保网络设备及安全设备，替换原有老旧设备，提高冗余性，确保关区广域网稳定、通畅，提高安全防护能力，确保关区信息系统安全。</w:t>
            </w:r>
          </w:p>
          <w:p>
            <w:pPr>
              <w:widowControl/>
              <w:textAlignment w:val="center"/>
              <w:rPr>
                <w:rFonts w:ascii="宋体" w:cs="宋体"/>
                <w:color w:val="000000"/>
                <w:kern w:val="0"/>
                <w:sz w:val="22"/>
              </w:rPr>
            </w:pPr>
            <w:r>
              <w:rPr>
                <w:rFonts w:ascii="宋体" w:cs="宋体" w:hint="eastAsia"/>
                <w:color w:val="000000"/>
                <w:kern w:val="0"/>
                <w:sz w:val="22"/>
              </w:rPr>
              <w:t>3、组织2次科技宣传活动（含培训），覆盖关区11个隶属海关专兼职技术人员，提高科技知识普及和人员创新能力；制开展板、组织体验活动，提高科技关注度,促进海关科技应用的推广。</w:t>
            </w:r>
          </w:p>
          <w:p>
            <w:pPr>
              <w:widowControl/>
              <w:textAlignment w:val="center"/>
              <w:rPr>
                <w:rFonts w:ascii="宋体" w:cs="宋体"/>
                <w:color w:val="000000"/>
                <w:kern w:val="0"/>
                <w:sz w:val="22"/>
              </w:rPr>
            </w:pPr>
            <w:r>
              <w:rPr>
                <w:rFonts w:ascii="宋体" w:cs="宋体" w:hint="eastAsia"/>
                <w:color w:val="000000"/>
                <w:kern w:val="0"/>
                <w:sz w:val="22"/>
              </w:rPr>
              <w:t>4、将指挥中心项目外包给专业的科技公司运维，保证系统提供持续稳定高效的视频服务，满足海关总署及呼关业务部门监管需要。</w:t>
            </w:r>
          </w:p>
          <w:p>
            <w:pPr>
              <w:widowControl/>
              <w:textAlignment w:val="center"/>
              <w:rPr>
                <w:rFonts w:ascii="宋体" w:cs="宋体"/>
                <w:color w:val="000000"/>
                <w:kern w:val="0"/>
                <w:sz w:val="22"/>
              </w:rPr>
            </w:pPr>
            <w:r>
              <w:rPr>
                <w:rFonts w:ascii="宋体" w:cs="宋体" w:hint="eastAsia"/>
                <w:color w:val="000000"/>
                <w:kern w:val="0"/>
                <w:sz w:val="22"/>
              </w:rPr>
              <w:t>5、购买桌面云系统及运行管理平台运维服务，保证系统稳定运行。</w:t>
            </w:r>
          </w:p>
          <w:p>
            <w:pPr>
              <w:widowControl/>
              <w:textAlignment w:val="center"/>
              <w:rPr>
                <w:rFonts w:ascii="宋体" w:cs="宋体"/>
                <w:color w:val="000000"/>
                <w:kern w:val="0"/>
                <w:sz w:val="22"/>
              </w:rPr>
            </w:pPr>
            <w:r>
              <w:rPr>
                <w:rFonts w:ascii="宋体" w:cs="宋体" w:hint="eastAsia"/>
                <w:color w:val="000000"/>
                <w:kern w:val="0"/>
                <w:sz w:val="22"/>
              </w:rPr>
              <w:t>6、购置符合国家相关标准的节能环保信息化前台设备100台，替换原有老旧设备，提高海关政务、业务办公效率。</w:t>
            </w:r>
          </w:p>
          <w:p>
            <w:pPr>
              <w:widowControl/>
              <w:textAlignment w:val="center"/>
              <w:rPr>
                <w:rFonts w:ascii="宋体" w:cs="宋体"/>
                <w:color w:val="000000"/>
                <w:kern w:val="0"/>
                <w:sz w:val="22"/>
              </w:rPr>
            </w:pPr>
            <w:r>
              <w:rPr>
                <w:rFonts w:ascii="宋体" w:cs="宋体" w:hint="eastAsia"/>
                <w:color w:val="000000"/>
                <w:kern w:val="0"/>
                <w:sz w:val="22"/>
              </w:rPr>
              <w:t>7、保障呼和浩特海关关区业务网等各网络通畅。保障呼和浩特海关关区电子政务工作顺利运行。保障呼和浩特海关关区通关监管业务顺利运行。</w:t>
            </w:r>
          </w:p>
          <w:p>
            <w:pPr>
              <w:widowControl/>
              <w:textAlignment w:val="center"/>
              <w:rPr>
                <w:rFonts w:ascii="宋体" w:cs="宋体"/>
                <w:color w:val="000000"/>
                <w:kern w:val="0"/>
                <w:sz w:val="22"/>
              </w:rPr>
            </w:pPr>
            <w:r>
              <w:rPr>
                <w:rFonts w:ascii="宋体" w:cs="宋体" w:hint="eastAsia"/>
                <w:color w:val="000000"/>
                <w:kern w:val="0"/>
                <w:sz w:val="22"/>
              </w:rPr>
              <w:t>8、购买服务器、存储、光交换设备维保服务，保证海关信息系统基础环境安全稳定运行，保证系统运行效能。</w:t>
            </w:r>
          </w:p>
          <w:p>
            <w:pPr>
              <w:widowControl/>
              <w:textAlignment w:val="center"/>
              <w:rPr>
                <w:rFonts w:ascii="宋体" w:cs="宋体"/>
                <w:color w:val="000000"/>
                <w:kern w:val="0"/>
                <w:sz w:val="22"/>
              </w:rPr>
            </w:pPr>
            <w:r>
              <w:rPr>
                <w:rFonts w:ascii="宋体" w:cs="宋体" w:hint="eastAsia"/>
                <w:color w:val="000000"/>
                <w:kern w:val="0"/>
                <w:sz w:val="22"/>
              </w:rPr>
              <w:t>9、购买本地部署的在线海关信息化系统及虚拟化平台运维服务，保证系统稳定运行。</w:t>
            </w:r>
          </w:p>
          <w:p>
            <w:pPr>
              <w:widowControl/>
              <w:textAlignment w:val="center"/>
              <w:rPr>
                <w:rFonts w:ascii="宋体" w:cs="宋体"/>
                <w:color w:val="000000"/>
                <w:kern w:val="0"/>
                <w:sz w:val="22"/>
              </w:rPr>
            </w:pPr>
            <w:r>
              <w:rPr>
                <w:rFonts w:ascii="宋体" w:cs="宋体" w:hint="eastAsia"/>
                <w:color w:val="000000"/>
                <w:kern w:val="0"/>
                <w:sz w:val="22"/>
              </w:rPr>
              <w:t>10、完善科技管理体系，加强科技项目和课题管理。</w:t>
            </w:r>
          </w:p>
          <w:p>
            <w:pPr>
              <w:widowControl/>
              <w:textAlignment w:val="center"/>
              <w:rPr>
                <w:rFonts w:ascii="宋体" w:cs="宋体"/>
                <w:color w:val="000000"/>
                <w:sz w:val="22"/>
              </w:rPr>
            </w:pPr>
            <w:r>
              <w:rPr>
                <w:rFonts w:ascii="宋体" w:cs="宋体" w:hint="eastAsia"/>
                <w:color w:val="000000"/>
                <w:kern w:val="0"/>
                <w:sz w:val="22"/>
              </w:rPr>
              <w:t>11：运维12360统一服务热线平台，保障平台稳定运行。</w:t>
            </w:r>
          </w:p>
        </w:tc>
      </w:tr>
      <w:tr>
        <w:trPr>
          <w:trHeight w:val="600"/>
        </w:trPr>
        <w:tc>
          <w:tcPr>
            <w:tcW w:w="53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w:t>
              <w:br/>
              <w:t>指标</w:t>
            </w:r>
          </w:p>
        </w:tc>
        <w:tc>
          <w:tcPr>
            <w:tcW w:w="1917"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成本指标</w:t>
            </w:r>
          </w:p>
        </w:tc>
        <w:tc>
          <w:tcPr>
            <w:tcW w:w="191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经济成本指标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线路租费价格</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≤258万元</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vMerge/>
            <w:tcBorders>
              <w:left w:val="single" w:sz="4" w:space="0" w:color="000000"/>
              <w:bottom w:val="single" w:sz="4" w:space="0" w:color="000000"/>
              <w:right w:val="single" w:sz="4" w:space="0" w:color="000000"/>
            </w:tcBorders>
            <w:shd w:val="clear" w:color="auto" w:fill="auto"/>
            <w:vAlign w:val="center"/>
          </w:tcPr>
          <w:p/>
        </w:tc>
        <w:tc>
          <w:tcPr>
            <w:tcW w:w="191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经济成本指标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信息系统运维成本</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≤75万元</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1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开展科研项目验收或中期评审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vMerge/>
            <w:tcBorders>
              <w:left w:val="single" w:sz="4" w:space="0" w:color="000000"/>
              <w:right w:val="single" w:sz="4" w:space="0" w:color="000000"/>
            </w:tcBorders>
            <w:shd w:val="clear" w:color="auto" w:fill="auto"/>
            <w:vAlign w:val="center"/>
          </w:tcPr>
          <w:p/>
        </w:tc>
        <w:tc>
          <w:tcPr>
            <w:tcW w:w="191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基础设施运维单位具体数量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≥15个</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vMerge/>
            <w:tcBorders>
              <w:left w:val="single" w:sz="4" w:space="0" w:color="000000"/>
              <w:right w:val="single" w:sz="4" w:space="0" w:color="000000"/>
            </w:tcBorders>
            <w:shd w:val="clear" w:color="auto" w:fill="auto"/>
            <w:vAlign w:val="center"/>
          </w:tcPr>
          <w:p/>
        </w:tc>
        <w:tc>
          <w:tcPr>
            <w:tcW w:w="191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运维现有在线运行系统或应用项目数量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≥85项</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vMerge/>
            <w:tcBorders>
              <w:left w:val="single" w:sz="4" w:space="0" w:color="000000"/>
              <w:right w:val="single" w:sz="4" w:space="0" w:color="000000"/>
            </w:tcBorders>
            <w:shd w:val="clear" w:color="auto" w:fill="auto"/>
            <w:vAlign w:val="center"/>
          </w:tcPr>
          <w:p/>
        </w:tc>
        <w:tc>
          <w:tcPr>
            <w:tcW w:w="191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运维12360统一服务热线平台数量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=3个</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vMerge/>
            <w:tcBorders>
              <w:left w:val="single" w:sz="4" w:space="0" w:color="000000"/>
              <w:right w:val="single" w:sz="4" w:space="0" w:color="000000"/>
            </w:tcBorders>
            <w:shd w:val="clear" w:color="auto" w:fill="auto"/>
            <w:vAlign w:val="center"/>
          </w:tcPr>
          <w:p/>
        </w:tc>
        <w:tc>
          <w:tcPr>
            <w:tcW w:w="191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运维12360硬件数量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=14台</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vMerge/>
            <w:tcBorders>
              <w:left w:val="single" w:sz="4" w:space="0" w:color="000000"/>
              <w:right w:val="single" w:sz="4" w:space="0" w:color="000000"/>
            </w:tcBorders>
            <w:shd w:val="clear" w:color="auto" w:fill="auto"/>
            <w:vAlign w:val="center"/>
          </w:tcPr>
          <w:p/>
        </w:tc>
        <w:tc>
          <w:tcPr>
            <w:tcW w:w="191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12360热线接通率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vMerge/>
            <w:tcBorders>
              <w:left w:val="single" w:sz="4" w:space="0" w:color="000000"/>
              <w:right w:val="single" w:sz="4" w:space="0" w:color="000000"/>
            </w:tcBorders>
            <w:shd w:val="clear" w:color="auto" w:fill="auto"/>
            <w:vAlign w:val="center"/>
          </w:tcPr>
          <w:p/>
        </w:tc>
        <w:tc>
          <w:tcPr>
            <w:tcW w:w="191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12360热线平均等待时长</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≤10秒</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vMerge/>
            <w:tcBorders>
              <w:left w:val="single" w:sz="4" w:space="0" w:color="000000"/>
              <w:bottom w:val="single" w:sz="4" w:space="0" w:color="000000"/>
              <w:right w:val="single" w:sz="4" w:space="0" w:color="000000"/>
            </w:tcBorders>
            <w:shd w:val="clear" w:color="auto" w:fill="auto"/>
            <w:vAlign w:val="center"/>
          </w:tcPr>
          <w:p/>
        </w:tc>
        <w:tc>
          <w:tcPr>
            <w:tcW w:w="191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12360统一服务热线平台运行时长</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=24小时</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17"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提高海关部门电子政务水平</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vMerge/>
            <w:tcBorders>
              <w:left w:val="single" w:sz="4" w:space="0" w:color="000000"/>
              <w:right w:val="single" w:sz="4" w:space="0" w:color="000000"/>
            </w:tcBorders>
            <w:shd w:val="clear" w:color="auto" w:fill="auto"/>
            <w:vAlign w:val="center"/>
          </w:tcPr>
          <w:p/>
        </w:tc>
        <w:tc>
          <w:tcPr>
            <w:tcW w:w="1917" w:type="dxa"/>
            <w:tcBorders>
              <w:top w:val="single" w:sz="4" w:space="0" w:color="000000"/>
              <w:left w:val="single" w:sz="4" w:space="0" w:color="000000"/>
              <w:bottom w:val="single" w:sz="4" w:space="0" w:color="auto"/>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12360热线归并后服务企业便利性</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有所提升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vMerge/>
            <w:tcBorders>
              <w:left w:val="single" w:sz="4" w:space="0" w:color="000000"/>
              <w:bottom w:val="single" w:sz="4" w:space="0" w:color="000000"/>
              <w:right w:val="single" w:sz="4" w:space="0" w:color="auto"/>
            </w:tcBorders>
            <w:shd w:val="clear" w:color="auto" w:fill="auto"/>
            <w:vAlign w:val="center"/>
          </w:tcPr>
          <w:p/>
        </w:tc>
        <w:tc>
          <w:tcPr>
            <w:tcW w:w="1917" w:type="dxa"/>
            <w:tcBorders>
              <w:top w:val="single" w:sz="4" w:space="0" w:color="auto"/>
              <w:left w:val="single" w:sz="4" w:space="0" w:color="auto"/>
              <w:bottom w:val="single" w:sz="4" w:space="0" w:color="auto"/>
              <w:right w:val="single" w:sz="4" w:space="0" w:color="auto"/>
            </w:tcBorders>
            <w:shd w:val="clear" w:color="auto" w:fill="auto"/>
            <w:vAlign w:val="center"/>
          </w:tcPr>
          <w:p>
            <w:pPr>
              <w:rPr>
                <w:rFonts w:ascii="宋体" w:cs="宋体"/>
                <w:sz w:val="24"/>
                <w:szCs w:val="24"/>
              </w:rPr>
            </w:pPr>
            <w:r>
              <w:rPr>
                <w:rFonts w:hint="eastAsia"/>
              </w:rPr>
              <w:t>生态效益指标</w:t>
            </w:r>
          </w:p>
        </w:tc>
        <w:tc>
          <w:tcPr>
            <w:tcW w:w="2962" w:type="dxa"/>
            <w:gridSpan w:val="2"/>
            <w:tcBorders>
              <w:top w:val="single" w:sz="4" w:space="0" w:color="000000"/>
              <w:left w:val="single" w:sz="4" w:space="0" w:color="auto"/>
              <w:bottom w:val="single" w:sz="4" w:space="0" w:color="000000"/>
              <w:right w:val="nil"/>
            </w:tcBorders>
            <w:shd w:val="clear" w:color="auto" w:fill="auto"/>
            <w:vAlign w:val="center"/>
          </w:tcPr>
          <w:p>
            <w:pPr>
              <w:rPr>
                <w:rFonts w:ascii="宋体" w:cs="宋体"/>
                <w:sz w:val="24"/>
                <w:szCs w:val="24"/>
              </w:rPr>
            </w:pPr>
            <w:r>
              <w:rPr>
                <w:rFonts w:hint="eastAsia"/>
              </w:rPr>
              <w:t>节能降耗是否达标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符合国家节能标准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满意度</w:t>
              <w:br/>
              <w:t>指标</w:t>
            </w:r>
          </w:p>
        </w:tc>
        <w:tc>
          <w:tcPr>
            <w:tcW w:w="1917" w:type="dxa"/>
            <w:tcBorders>
              <w:top w:val="single" w:sz="4" w:space="0" w:color="auto"/>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主管部门（或业务联系部门）满意度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满意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98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94"/>
        <w:gridCol w:w="2019"/>
        <w:gridCol w:w="941"/>
        <w:gridCol w:w="2018"/>
        <w:gridCol w:w="2019"/>
        <w:gridCol w:w="1160"/>
      </w:tblGrid>
      <w:tr>
        <w:trPr>
          <w:trHeight w:val="702"/>
        </w:trPr>
        <w:tc>
          <w:tcPr>
            <w:tcW w:w="9985"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32"/>
                <w:szCs w:val="32"/>
              </w:rPr>
            </w:pPr>
            <w:r>
              <w:rPr>
                <w:rFonts w:ascii="黑体" w:eastAsia="黑体" w:cs="黑体" w:hint="eastAsia"/>
                <w:color w:val="000000"/>
                <w:kern w:val="0"/>
                <w:sz w:val="32"/>
                <w:szCs w:val="32"/>
              </w:rPr>
              <w:t>项目绩效目标表</w:t>
            </w:r>
          </w:p>
        </w:tc>
      </w:tr>
      <w:tr>
        <w:trPr>
          <w:trHeight w:val="499"/>
        </w:trPr>
        <w:tc>
          <w:tcPr>
            <w:tcW w:w="9985"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15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缉私警察业务费</w:t>
            </w:r>
          </w:p>
        </w:tc>
      </w:tr>
      <w:tr>
        <w:trPr>
          <w:trHeight w:val="439"/>
        </w:trPr>
        <w:tc>
          <w:tcPr>
            <w:tcW w:w="1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96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1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中华人民共和国呼和浩特海关本级</w:t>
            </w:r>
          </w:p>
        </w:tc>
      </w:tr>
      <w:tr>
        <w:trPr>
          <w:trHeight w:val="439"/>
        </w:trPr>
        <w:tc>
          <w:tcPr>
            <w:tcW w:w="182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96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3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97.00</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82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3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97.00</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82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3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82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3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45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目标1：保障呼和浩特关区缉私警察日常办案需要，优先保障大要案办案需要，确保海关缉私工作正常开展；</w:t>
            </w:r>
          </w:p>
          <w:p>
            <w:pPr>
              <w:widowControl/>
              <w:textAlignment w:val="center"/>
              <w:rPr>
                <w:rFonts w:ascii="宋体" w:cs="宋体"/>
                <w:color w:val="000000"/>
                <w:kern w:val="0"/>
                <w:sz w:val="22"/>
              </w:rPr>
            </w:pPr>
            <w:r>
              <w:rPr>
                <w:rFonts w:ascii="宋体" w:cs="宋体" w:hint="eastAsia"/>
                <w:color w:val="000000"/>
                <w:kern w:val="0"/>
                <w:sz w:val="22"/>
              </w:rPr>
              <w:t>目标2：通过开展情报调研、搜集与分析等工作，为打击走私提供线索支撑，提高精准查私能力；</w:t>
            </w:r>
          </w:p>
          <w:p>
            <w:pPr>
              <w:widowControl/>
              <w:textAlignment w:val="center"/>
              <w:rPr>
                <w:rFonts w:ascii="宋体" w:cs="宋体"/>
                <w:color w:val="000000"/>
                <w:sz w:val="22"/>
              </w:rPr>
            </w:pPr>
            <w:r>
              <w:rPr>
                <w:rFonts w:ascii="宋体" w:cs="宋体" w:hint="eastAsia"/>
                <w:color w:val="000000"/>
                <w:kern w:val="0"/>
                <w:sz w:val="22"/>
              </w:rPr>
              <w:t xml:space="preserve">目标3：做好禁毒及缉毒工作，保护人民群众生命财产安全。          </w:t>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w:t>
              <w:br/>
              <w:t>指标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59"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成本指标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经济成本指标</w:t>
            </w:r>
          </w:p>
        </w:tc>
        <w:tc>
          <w:tcPr>
            <w:tcW w:w="2959"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年设备采购成本</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≤8万元</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59"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刑事立案数</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≥5起</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59"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行政立案数</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≥5起</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59"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保障缉私警察人数</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≥29人</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59"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保障缉私机构数</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≥1个</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59"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办案经费保障率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59"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案件办结率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right w:val="single" w:sz="4" w:space="0" w:color="000000"/>
            </w:tcBorders>
            <w:shd w:val="clear" w:color="auto" w:fill="auto"/>
            <w:textDirection w:val="tbRlV"/>
            <w:vAlign w:val="center"/>
          </w:tcPr>
          <w:p/>
        </w:tc>
        <w:tc>
          <w:tcPr>
            <w:tcW w:w="12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59"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打击偷逃税款走私取得明显效果</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right w:val="single" w:sz="4" w:space="0" w:color="000000"/>
            </w:tcBorders>
            <w:shd w:val="clear" w:color="auto" w:fill="auto"/>
            <w:textDirection w:val="tbRlV"/>
            <w:vAlign w:val="center"/>
          </w:tcPr>
          <w:p/>
        </w:tc>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59"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保障海关缉私工作正常开展，提高打私能力，保护人民群众财产安全。</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bottom w:val="single" w:sz="4" w:space="0" w:color="000000"/>
              <w:right w:val="single" w:sz="4" w:space="0" w:color="000000"/>
            </w:tcBorders>
            <w:shd w:val="clear" w:color="auto" w:fill="auto"/>
            <w:textDirection w:val="tbRlV"/>
            <w:vAlign w:val="center"/>
          </w:tcP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59"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总署缉私局对办案的满意度</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≥99%</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49"/>
        <w:gridCol w:w="1929"/>
        <w:gridCol w:w="942"/>
        <w:gridCol w:w="2020"/>
        <w:gridCol w:w="2019"/>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32"/>
                <w:szCs w:val="32"/>
              </w:rPr>
            </w:pPr>
            <w:r>
              <w:rPr>
                <w:rFonts w:ascii="黑体" w:eastAsia="黑体" w:cs="黑体" w:hint="eastAsia"/>
                <w:color w:val="000000"/>
                <w:kern w:val="0"/>
                <w:sz w:val="32"/>
                <w:szCs w:val="32"/>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8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7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警务装备建设</w:t>
            </w:r>
          </w:p>
        </w:tc>
      </w:tr>
      <w:tr>
        <w:trPr>
          <w:trHeight w:val="439"/>
        </w:trPr>
        <w:tc>
          <w:tcPr>
            <w:tcW w:w="178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71"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中华人民共和国呼和浩特海关本级</w:t>
            </w:r>
          </w:p>
        </w:tc>
      </w:tr>
      <w:tr>
        <w:trPr>
          <w:trHeight w:val="439"/>
        </w:trPr>
        <w:tc>
          <w:tcPr>
            <w:tcW w:w="178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71"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3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32.99</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8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71"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3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32.99</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8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71"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3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8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71"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3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sz w:val="22"/>
              </w:rPr>
            </w:pPr>
            <w:r>
              <w:rPr>
                <w:rFonts w:ascii="宋体" w:cs="宋体" w:hint="eastAsia"/>
                <w:color w:val="000000"/>
                <w:kern w:val="0"/>
                <w:sz w:val="22"/>
              </w:rPr>
              <w:t>为关区缉私局和重点缉私分局配备指挥、线索经营、取证、审讯（询问）、鉴定装备，为重点关区配备特种装备和障碍、破拆、防暴等装备，提高关区打私装备水平。</w:t>
              <w:tab/>
              <w:tab/>
              <w:tab/>
              <w:tab/>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4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w:t>
              <w:br/>
              <w:t>指标</w:t>
            </w: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600"/>
        </w:trPr>
        <w:tc>
          <w:tcPr>
            <w:tcW w:w="534" w:type="dxa"/>
            <w:vMerge/>
            <w:tcBorders>
              <w:left w:val="single" w:sz="4" w:space="0" w:color="000000"/>
              <w:right w:val="single" w:sz="4" w:space="0" w:color="000000"/>
            </w:tcBorders>
            <w:shd w:val="clear" w:color="auto" w:fill="auto"/>
            <w:textDirection w:val="tbRlV"/>
            <w:vAlign w:val="center"/>
          </w:tcPr>
          <w:p/>
        </w:tc>
        <w:tc>
          <w:tcPr>
            <w:tcW w:w="124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成本指标</w:t>
            </w: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经济成本指标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设备采购成本</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≤36.61万元</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left w:val="single" w:sz="4" w:space="0" w:color="000000"/>
              <w:right w:val="single" w:sz="4" w:space="0" w:color="000000"/>
            </w:tcBorders>
            <w:shd w:val="clear" w:color="auto" w:fill="auto"/>
            <w:textDirection w:val="tbRlV"/>
            <w:vAlign w:val="center"/>
          </w:tcPr>
          <w:p/>
        </w:tc>
        <w:tc>
          <w:tcPr>
            <w:tcW w:w="1249"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电子取证鉴定数</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≥5份</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49" w:type="dxa"/>
            <w:vMerge/>
            <w:tcBorders>
              <w:left w:val="single" w:sz="4" w:space="0" w:color="000000"/>
              <w:right w:val="single" w:sz="4" w:space="0" w:color="000000"/>
            </w:tcBorders>
            <w:shd w:val="clear" w:color="auto" w:fill="auto"/>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配备警务装备数量完成情况</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49" w:type="dxa"/>
            <w:vMerge/>
            <w:tcBorders>
              <w:left w:val="single" w:sz="4" w:space="0" w:color="000000"/>
              <w:right w:val="single" w:sz="4" w:space="0" w:color="000000"/>
            </w:tcBorders>
            <w:shd w:val="clear" w:color="auto" w:fill="auto"/>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新购警务装备符合部（级）标准率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49" w:type="dxa"/>
            <w:vMerge/>
            <w:tcBorders>
              <w:left w:val="single" w:sz="4" w:space="0" w:color="000000"/>
              <w:right w:val="single" w:sz="4" w:space="0" w:color="000000"/>
            </w:tcBorders>
            <w:shd w:val="clear" w:color="auto" w:fill="auto"/>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新购警务装备质量达标率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49" w:type="dxa"/>
            <w:vMerge/>
            <w:tcBorders>
              <w:left w:val="single" w:sz="4" w:space="0" w:color="000000"/>
              <w:bottom w:val="single" w:sz="4" w:space="0" w:color="000000"/>
              <w:right w:val="single" w:sz="4" w:space="0" w:color="000000"/>
            </w:tcBorders>
            <w:shd w:val="clear" w:color="auto" w:fill="auto"/>
            <w:vAlign w:val="center"/>
          </w:tcP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新购警务装备按期到位率</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right w:val="single" w:sz="4" w:space="0" w:color="000000"/>
            </w:tcBorders>
            <w:shd w:val="clear" w:color="auto" w:fill="auto"/>
            <w:textDirection w:val="tbRlV"/>
            <w:vAlign w:val="center"/>
          </w:tcPr>
          <w:p/>
        </w:tc>
        <w:tc>
          <w:tcPr>
            <w:tcW w:w="12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协助抓捕犯罪嫌疑人数量</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&gt;5人</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900"/>
        </w:trPr>
        <w:tc>
          <w:tcPr>
            <w:tcW w:w="534" w:type="dxa"/>
            <w:vMerge/>
            <w:tcBorders>
              <w:left w:val="single" w:sz="4" w:space="0" w:color="000000"/>
              <w:right w:val="single" w:sz="4" w:space="0" w:color="000000"/>
            </w:tcBorders>
            <w:shd w:val="clear" w:color="auto" w:fill="auto"/>
            <w:textDirection w:val="tbRlV"/>
            <w:vAlign w:val="center"/>
          </w:tcPr>
          <w:p/>
        </w:tc>
        <w:tc>
          <w:tcPr>
            <w:tcW w:w="12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962" w:type="dxa"/>
            <w:gridSpan w:val="2"/>
            <w:tcBorders>
              <w:top w:val="single" w:sz="4" w:space="0" w:color="000000"/>
              <w:left w:val="nil"/>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hint="eastAsia"/>
              </w:rPr>
              <w:t>助力关区缉私警务装备水平</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900"/>
        </w:trPr>
        <w:tc>
          <w:tcPr>
            <w:tcW w:w="534" w:type="dxa"/>
            <w:vMerge/>
            <w:tcBorders>
              <w:left w:val="single" w:sz="4" w:space="0" w:color="000000"/>
              <w:bottom w:val="single" w:sz="4" w:space="0" w:color="000000"/>
              <w:right w:val="single" w:sz="4" w:space="0" w:color="000000"/>
            </w:tcBorders>
            <w:shd w:val="clear" w:color="auto" w:fill="auto"/>
            <w:textDirection w:val="tbRlV"/>
            <w:vAlign w:val="center"/>
          </w:tcPr>
          <w:p/>
        </w:tc>
        <w:tc>
          <w:tcPr>
            <w:tcW w:w="1249" w:type="dxa"/>
            <w:tcBorders>
              <w:top w:val="single" w:sz="4" w:space="0" w:color="000000"/>
              <w:left w:val="single" w:sz="4" w:space="0" w:color="000000"/>
              <w:bottom w:val="single" w:sz="4" w:space="0" w:color="000000"/>
              <w:right w:val="single" w:sz="4" w:space="0" w:color="000000"/>
            </w:tcBorders>
            <w:shd w:val="clear" w:color="auto" w:fill="auto"/>
            <w:vAlign w:val="center"/>
          </w:tcPr>
          <w:p>
            <w:r>
              <w:rPr>
                <w:rFonts w:ascii="宋体" w:cs="宋体" w:hint="eastAsia"/>
                <w:color w:val="000000"/>
                <w:kern w:val="0"/>
                <w:sz w:val="22"/>
              </w:rPr>
              <w:t>满意度指标</w:t>
            </w:r>
          </w:p>
        </w:tc>
        <w:tc>
          <w:tcPr>
            <w:tcW w:w="192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民警对设备的满意度的</w:t>
            </w:r>
          </w:p>
        </w:tc>
        <w:tc>
          <w:tcPr>
            <w:tcW w:w="201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≥99%</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缉私部门计算机网络运行维护</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中华人民共和国呼和浩特海关本级</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72.30</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72.30</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目标1：对海关缉私部门应用系统软硬件运行维护，确保在用应用系统实时可用。</w:t>
            </w:r>
          </w:p>
          <w:p>
            <w:pPr>
              <w:widowControl/>
              <w:textAlignment w:val="center"/>
              <w:rPr>
                <w:rFonts w:ascii="宋体" w:cs="宋体"/>
                <w:color w:val="000000"/>
                <w:sz w:val="22"/>
              </w:rPr>
            </w:pPr>
            <w:r>
              <w:rPr>
                <w:rFonts w:ascii="宋体" w:cs="宋体" w:hint="eastAsia"/>
                <w:color w:val="000000"/>
                <w:kern w:val="0"/>
                <w:sz w:val="22"/>
              </w:rPr>
              <w:t>目标2：对缉私局信息系统基础平台环境及计算机终端进行升级改造，提高缉私业务信息化水平。</w:t>
            </w:r>
          </w:p>
        </w:tc>
      </w:tr>
      <w:tr>
        <w:trPr>
          <w:trHeight w:val="600"/>
        </w:trPr>
        <w:tc>
          <w:tcPr>
            <w:tcW w:w="53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成本指标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经济成本指标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网络租赁费用</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≤12.1万元</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线路数量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≥10条/年</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软、硬件配置完成率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网络、流量接入完成率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系统正常运行率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国产化设备覆盖率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网络覆盖率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≥99%</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业务保障能力提升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满意度</w:t>
              <w:br/>
              <w:t>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民警对网络运行的满意度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≥99%</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进出口商品质量安全检验监管专项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中华人民共和国二连海关本级</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14.00</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14.00</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目标1：危化品等重点敏感商品检验监管能力持续加强，维护国门安全水平有效提升。</w:t>
            </w:r>
          </w:p>
          <w:p>
            <w:pPr>
              <w:widowControl/>
              <w:textAlignment w:val="center"/>
              <w:rPr>
                <w:rFonts w:ascii="宋体" w:cs="宋体"/>
                <w:color w:val="000000"/>
                <w:kern w:val="0"/>
                <w:sz w:val="22"/>
              </w:rPr>
            </w:pPr>
            <w:r>
              <w:rPr>
                <w:rFonts w:ascii="宋体" w:cs="宋体" w:hint="eastAsia"/>
                <w:color w:val="000000"/>
                <w:kern w:val="0"/>
                <w:sz w:val="22"/>
              </w:rPr>
              <w:t>目标2：获取进出口商品质量安全风险信息数量增加，风险评估及预警处置工作有序开展。</w:t>
            </w:r>
          </w:p>
          <w:p>
            <w:pPr>
              <w:widowControl/>
              <w:textAlignment w:val="center"/>
              <w:rPr>
                <w:rFonts w:ascii="宋体" w:cs="宋体"/>
                <w:color w:val="000000"/>
                <w:sz w:val="22"/>
              </w:rPr>
            </w:pPr>
            <w:r>
              <w:rPr>
                <w:rFonts w:ascii="宋体" w:cs="宋体" w:hint="eastAsia"/>
                <w:color w:val="000000"/>
                <w:kern w:val="0"/>
                <w:sz w:val="22"/>
              </w:rPr>
              <w:t>目标3：基于风险评估结果深化商检业务改革，促进跨境贸易便利化水平有效提升，有力增强人民群众获得感。</w:t>
            </w:r>
          </w:p>
        </w:tc>
      </w:tr>
      <w:tr>
        <w:trPr>
          <w:trHeight w:val="600"/>
        </w:trPr>
        <w:tc>
          <w:tcPr>
            <w:tcW w:w="53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风险监测获取的有效信息数量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≥100项</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开展商检业务培训</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进出口法检商品检验批次数量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≥3000批</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经检验实施退运或销毁处置的进口商品批次数量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≥16批</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保障人民生命健康安全有力有效</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进出口危化品检验工作安全有效</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海关资产及专用设备运行维护费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中华人民共和国二连海关本级</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195.00</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195.00</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目标1：通过各类装备、设备的运维，提高海关监管工作效率，提升海关监管科技含量，提升海关装备设备现代化、科技化水平，优化海关缉监管与服务；</w:t>
            </w:r>
          </w:p>
          <w:p>
            <w:pPr>
              <w:widowControl/>
              <w:textAlignment w:val="center"/>
              <w:rPr>
                <w:rFonts w:ascii="宋体" w:cs="宋体"/>
                <w:color w:val="000000"/>
                <w:kern w:val="0"/>
                <w:sz w:val="22"/>
              </w:rPr>
            </w:pPr>
            <w:r>
              <w:rPr>
                <w:rFonts w:ascii="宋体" w:cs="宋体" w:hint="eastAsia"/>
                <w:color w:val="000000"/>
                <w:kern w:val="0"/>
                <w:sz w:val="22"/>
              </w:rPr>
              <w:t>目标2：对海关各类实验室设施运行进行维护，保障符合《生物安全法》等法律法规要求，提高检测精准度；</w:t>
            </w:r>
          </w:p>
          <w:p>
            <w:pPr>
              <w:widowControl/>
              <w:textAlignment w:val="center"/>
              <w:rPr>
                <w:rFonts w:ascii="宋体" w:cs="宋体"/>
                <w:color w:val="000000"/>
                <w:sz w:val="22"/>
              </w:rPr>
            </w:pPr>
            <w:r>
              <w:rPr>
                <w:rFonts w:ascii="宋体" w:cs="宋体" w:hint="eastAsia"/>
                <w:color w:val="000000"/>
                <w:kern w:val="0"/>
                <w:sz w:val="22"/>
              </w:rPr>
              <w:t>目标3：对海关技术业务用房进行必要维护，保障业务正常开展。</w:t>
              <w:tab/>
              <w:tab/>
            </w:r>
          </w:p>
        </w:tc>
      </w:tr>
      <w:tr>
        <w:trPr>
          <w:trHeight w:val="600"/>
        </w:trPr>
        <w:tc>
          <w:tcPr>
            <w:tcW w:w="53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运维通用设备数量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≥3300台/套</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运维专用设备数量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≥1100台/套</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运维监管场所个数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≥6个</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运维实验室个数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≥8个</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设备正常使用率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大型设备维修及时率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海关基础保障能力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稳定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生态效益指标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实验室建设是否符合《生物安全法》要求</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是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海关信息系统运行维护</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中华人民共和国二连海关本级</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1.5</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1.5</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目标1：通过运维信息化设备,做好信息化工作，满足海关业务系统正常运行需要。</w:t>
            </w:r>
          </w:p>
          <w:p>
            <w:pPr>
              <w:widowControl/>
              <w:textAlignment w:val="center"/>
              <w:rPr>
                <w:rFonts w:ascii="宋体" w:cs="宋体"/>
                <w:color w:val="000000"/>
                <w:kern w:val="0"/>
                <w:sz w:val="22"/>
              </w:rPr>
            </w:pPr>
            <w:r>
              <w:rPr>
                <w:rFonts w:ascii="宋体" w:cs="宋体" w:hint="eastAsia"/>
                <w:color w:val="000000"/>
                <w:kern w:val="0"/>
                <w:sz w:val="22"/>
              </w:rPr>
              <w:t>目标2：开展应用项目的升级完善和运维保障，提供软件运维服务，保证项目正常运行,各项运维服务持续发挥作用。</w:t>
            </w:r>
          </w:p>
          <w:p>
            <w:pPr>
              <w:widowControl/>
              <w:textAlignment w:val="center"/>
              <w:rPr>
                <w:rFonts w:ascii="宋体" w:cs="宋体"/>
                <w:color w:val="000000"/>
                <w:kern w:val="0"/>
                <w:sz w:val="22"/>
              </w:rPr>
            </w:pPr>
            <w:r>
              <w:rPr>
                <w:rFonts w:ascii="宋体" w:cs="宋体" w:hint="eastAsia"/>
                <w:color w:val="000000"/>
                <w:kern w:val="0"/>
                <w:sz w:val="22"/>
              </w:rPr>
              <w:t>目标3：通过开展信息化基础设施和环境运行维护工作，确保和其他海关协同监管执法工作顺畅安全稳定运行。</w:t>
            </w:r>
          </w:p>
          <w:p>
            <w:pPr>
              <w:widowControl/>
              <w:textAlignment w:val="center"/>
              <w:rPr>
                <w:rFonts w:ascii="宋体" w:cs="宋体"/>
                <w:color w:val="000000"/>
                <w:sz w:val="22"/>
              </w:rPr>
            </w:pPr>
            <w:r>
              <w:rPr>
                <w:rFonts w:ascii="宋体" w:cs="宋体" w:hint="eastAsia"/>
                <w:color w:val="000000"/>
                <w:kern w:val="0"/>
                <w:sz w:val="22"/>
              </w:rPr>
              <w:t>目标4：通过续租维护网络线路续租，保障海关业务正常开展，及时响应线路故障，确保内外、外网正常运行。</w:t>
            </w:r>
          </w:p>
        </w:tc>
      </w:tr>
      <w:tr>
        <w:trPr>
          <w:trHeight w:val="600"/>
        </w:trPr>
        <w:tc>
          <w:tcPr>
            <w:tcW w:w="53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运维保障机房基础设施数量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≥1个</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25</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年度发生重大网络安全事件</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25</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提高海关部门电子政务水平</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有所提升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tcBorders>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海关用户对信息系统安全满意度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缉私部门计算机网络运行维护</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中华人民共和国二连海关本级</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6.95</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6.95</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目标1：保证二连海关相关网络正常运行；</w:t>
            </w:r>
          </w:p>
          <w:p>
            <w:pPr>
              <w:widowControl/>
              <w:textAlignment w:val="center"/>
              <w:rPr>
                <w:rFonts w:ascii="宋体" w:cs="宋体"/>
                <w:color w:val="000000"/>
                <w:kern w:val="0"/>
                <w:sz w:val="22"/>
              </w:rPr>
            </w:pPr>
            <w:r>
              <w:rPr>
                <w:rFonts w:ascii="宋体" w:cs="宋体" w:hint="eastAsia"/>
                <w:color w:val="000000"/>
                <w:kern w:val="0"/>
                <w:sz w:val="22"/>
              </w:rPr>
              <w:t>目标2：开展单兵、警务终端等设备流量租赁，保证单兵等警务终端设备的正常使用；</w:t>
            </w:r>
          </w:p>
          <w:p>
            <w:pPr>
              <w:widowControl/>
              <w:textAlignment w:val="center"/>
              <w:rPr>
                <w:rFonts w:ascii="宋体" w:cs="宋体"/>
                <w:color w:val="000000"/>
                <w:sz w:val="22"/>
              </w:rPr>
            </w:pPr>
            <w:r>
              <w:rPr>
                <w:rFonts w:ascii="宋体" w:cs="宋体" w:hint="eastAsia"/>
                <w:color w:val="000000"/>
                <w:kern w:val="0"/>
                <w:sz w:val="22"/>
              </w:rPr>
              <w:t>目标3：保障缉私相关系统平稳运行。</w:t>
            </w:r>
          </w:p>
        </w:tc>
      </w:tr>
      <w:tr>
        <w:trPr>
          <w:trHeight w:val="600"/>
        </w:trPr>
        <w:tc>
          <w:tcPr>
            <w:tcW w:w="53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软、硬件配置完成率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网络、流量接入完成率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系统正常运行率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系统故障修复响应时间</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≤2小时</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业务保障能力提升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40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海关仪器设备购置及能力保障专项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二连海关技术中心</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44.00</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44.00</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nil"/>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目标1：通过对二连海关技术中心实验室仪器设备的投入，提升海关相关检测能力，解决现有检测能力不适应检测业务需求的问题；</w:t>
            </w:r>
          </w:p>
          <w:p>
            <w:pPr>
              <w:widowControl/>
              <w:textAlignment w:val="center"/>
              <w:rPr>
                <w:rFonts w:ascii="宋体" w:cs="宋体"/>
                <w:color w:val="000000"/>
                <w:kern w:val="0"/>
                <w:sz w:val="22"/>
              </w:rPr>
            </w:pPr>
          </w:p>
          <w:p>
            <w:pPr>
              <w:widowControl/>
              <w:textAlignment w:val="center"/>
              <w:rPr>
                <w:rFonts w:ascii="宋体" w:cs="宋体"/>
                <w:color w:val="000000"/>
                <w:sz w:val="22"/>
              </w:rPr>
            </w:pPr>
            <w:r>
              <w:rPr>
                <w:rFonts w:ascii="宋体" w:cs="宋体" w:hint="eastAsia"/>
                <w:color w:val="000000"/>
                <w:kern w:val="0"/>
                <w:sz w:val="22"/>
              </w:rPr>
              <w:t>目标2：配备新增检测项目所需的仪器设备，更新换代不能满足现有检测要求的仪器设备，多维度保障二连海关技术中心职能的发挥。</w:t>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成本指标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经济成本指标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采购X射线管单价(万元)</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≤30万元</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购置实验室检查类仪器设备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≥2台</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设备验收通过率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≥99%</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法检项目自检率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有所提升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left w:val="single" w:sz="4" w:space="0" w:color="000000"/>
              <w:bottom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实验室技术能力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稳定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防止境外疫情输入专项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二连海关技术中心</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81.83</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81.83</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1.防止二连浩特市疫情输入，保障人民生活健康。</w:t>
            </w:r>
          </w:p>
          <w:p>
            <w:pPr>
              <w:widowControl/>
              <w:textAlignment w:val="center"/>
              <w:rPr>
                <w:rFonts w:ascii="宋体" w:cs="宋体"/>
                <w:color w:val="000000"/>
                <w:kern w:val="0"/>
                <w:sz w:val="22"/>
              </w:rPr>
            </w:pPr>
          </w:p>
          <w:p>
            <w:pPr>
              <w:widowControl/>
              <w:textAlignment w:val="center"/>
              <w:rPr>
                <w:rFonts w:ascii="宋体" w:cs="宋体"/>
                <w:color w:val="000000"/>
                <w:kern w:val="0"/>
                <w:sz w:val="22"/>
              </w:rPr>
            </w:pPr>
            <w:r>
              <w:rPr>
                <w:rFonts w:ascii="宋体" w:cs="宋体" w:hint="eastAsia"/>
                <w:color w:val="000000"/>
                <w:kern w:val="0"/>
                <w:sz w:val="22"/>
              </w:rPr>
              <w:t>2.加强口岸应急物资储备，有效应对突发疫情。</w:t>
            </w:r>
          </w:p>
          <w:p>
            <w:pPr>
              <w:widowControl/>
              <w:textAlignment w:val="center"/>
              <w:rPr>
                <w:rFonts w:ascii="宋体" w:cs="宋体"/>
                <w:color w:val="000000"/>
                <w:kern w:val="0"/>
                <w:sz w:val="22"/>
              </w:rPr>
            </w:pPr>
          </w:p>
          <w:p>
            <w:pPr>
              <w:widowControl/>
              <w:textAlignment w:val="center"/>
              <w:rPr>
                <w:rFonts w:ascii="宋体" w:cs="宋体"/>
                <w:color w:val="000000"/>
                <w:sz w:val="22"/>
              </w:rPr>
            </w:pPr>
            <w:r>
              <w:rPr>
                <w:rFonts w:ascii="宋体" w:cs="宋体" w:hint="eastAsia"/>
                <w:color w:val="000000"/>
                <w:kern w:val="0"/>
                <w:sz w:val="22"/>
              </w:rPr>
              <w:t>3.满足日常进口冷链食品以及包装检测所需试剂耗材，保障日常工作顺利有效进行。</w:t>
            </w:r>
          </w:p>
        </w:tc>
      </w:tr>
      <w:tr>
        <w:trPr>
          <w:trHeight w:val="600"/>
        </w:trPr>
        <w:tc>
          <w:tcPr>
            <w:tcW w:w="534" w:type="dxa"/>
            <w:vMerge w:val="restart"/>
            <w:tcBorders>
              <w:top w:val="single" w:sz="4" w:space="0" w:color="000000"/>
              <w:left w:val="single" w:sz="4" w:space="0" w:color="000000"/>
              <w:bottom w:val="single" w:sz="4" w:space="0" w:color="auto"/>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完成项目检测批次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≥1000批</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设备验收通过率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年内物资采购完成率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≥99%</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实验室技术能力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有所提高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高风险特殊物品防控</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出入境旅客及口岸区域工作人员未感染</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监管查验技术装备设备购建及能力保障专项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中华人民共和国包头海关本级</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9.00</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9.00</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目标1：加强口岸反恐能力</w:t>
            </w:r>
          </w:p>
          <w:p>
            <w:pPr>
              <w:widowControl/>
              <w:textAlignment w:val="center"/>
              <w:rPr>
                <w:rFonts w:ascii="宋体" w:cs="宋体"/>
                <w:color w:val="000000"/>
                <w:sz w:val="22"/>
              </w:rPr>
            </w:pPr>
            <w:r>
              <w:rPr>
                <w:rFonts w:ascii="宋体" w:cs="宋体" w:hint="eastAsia"/>
                <w:color w:val="000000"/>
                <w:kern w:val="0"/>
                <w:sz w:val="22"/>
              </w:rPr>
              <w:t>目标2：提高口岸安全生产能力</w:t>
            </w:r>
          </w:p>
        </w:tc>
      </w:tr>
      <w:tr>
        <w:trPr>
          <w:trHeight w:val="600"/>
        </w:trPr>
        <w:tc>
          <w:tcPr>
            <w:tcW w:w="534" w:type="dxa"/>
            <w:vMerge w:val="restart"/>
            <w:tcBorders>
              <w:top w:val="single" w:sz="4" w:space="0" w:color="000000"/>
              <w:left w:val="single" w:sz="4" w:space="0" w:color="000000"/>
              <w:bottom w:val="single" w:sz="4" w:space="0" w:color="auto"/>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成本指标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经济成本指标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设备购置成本</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≤4万元</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组织口岸反恐模拟演练（次）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H986\CT机等大型监管查验设备全年正常运行率（%）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口岸反恐模拟演练成果考核率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关警员执法环境提升率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口岸一线关警员保障满意度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海关业务保障及能力提升专项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中华人民共和国包头海关本级</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134.93</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134.93</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sz w:val="22"/>
              </w:rPr>
            </w:pPr>
            <w:r>
              <w:rPr>
                <w:rFonts w:ascii="宋体" w:cs="宋体" w:hint="eastAsia"/>
                <w:color w:val="000000"/>
                <w:kern w:val="0"/>
                <w:sz w:val="22"/>
              </w:rPr>
              <w:t>保障包头海关开展行政执法日常工作经费需求，提升包头海关行政执法能力和执法水平。</w:t>
            </w:r>
          </w:p>
        </w:tc>
      </w:tr>
      <w:tr>
        <w:trPr>
          <w:trHeight w:val="600"/>
        </w:trPr>
        <w:tc>
          <w:tcPr>
            <w:tcW w:w="534" w:type="dxa"/>
            <w:vMerge w:val="restart"/>
            <w:tcBorders>
              <w:top w:val="single" w:sz="4" w:space="0" w:color="000000"/>
              <w:left w:val="single" w:sz="4" w:space="0" w:color="000000"/>
              <w:bottom w:val="single" w:sz="4" w:space="0" w:color="auto"/>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成本指标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经济成本指标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设备采购单价</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≤12万元</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经费保障单位</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≥1个</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业务培训（次）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设备故障率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部门执法能力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稳定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关警员满意度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口岸公共卫生安全专项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中华人民共和国包头海关本级</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18.00</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18.00</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目标1：巩固传染病疫情防控能力基础，完成快检试剂的更新</w:t>
            </w:r>
          </w:p>
          <w:p>
            <w:pPr>
              <w:widowControl/>
              <w:textAlignment w:val="center"/>
              <w:rPr>
                <w:rFonts w:ascii="宋体" w:cs="宋体"/>
                <w:color w:val="000000"/>
                <w:kern w:val="0"/>
                <w:sz w:val="22"/>
              </w:rPr>
            </w:pPr>
            <w:r>
              <w:rPr>
                <w:rFonts w:ascii="宋体" w:cs="宋体" w:hint="eastAsia"/>
                <w:color w:val="000000"/>
                <w:kern w:val="0"/>
                <w:sz w:val="22"/>
              </w:rPr>
              <w:t>目标2：对境内外传染病疫情风险进行监控，防范输入型传染病传入传出；</w:t>
            </w:r>
          </w:p>
          <w:p>
            <w:pPr>
              <w:widowControl/>
              <w:textAlignment w:val="center"/>
              <w:rPr>
                <w:rFonts w:ascii="宋体" w:cs="宋体"/>
                <w:color w:val="000000"/>
                <w:kern w:val="0"/>
                <w:sz w:val="22"/>
              </w:rPr>
            </w:pPr>
            <w:r>
              <w:rPr>
                <w:rFonts w:ascii="宋体" w:cs="宋体" w:hint="eastAsia"/>
                <w:color w:val="000000"/>
                <w:kern w:val="0"/>
                <w:sz w:val="22"/>
              </w:rPr>
              <w:t>目标3：对传染病防控相关知识进行普及性宣传，提高人民群众防范重大传染病的意识；</w:t>
              <w:tab/>
            </w:r>
          </w:p>
          <w:p>
            <w:pPr>
              <w:widowControl/>
              <w:textAlignment w:val="center"/>
              <w:rPr>
                <w:rFonts w:ascii="宋体" w:cs="宋体"/>
                <w:color w:val="000000"/>
                <w:kern w:val="0"/>
                <w:sz w:val="22"/>
              </w:rPr>
            </w:pPr>
            <w:r>
              <w:rPr>
                <w:rFonts w:ascii="宋体" w:cs="宋体" w:hint="eastAsia"/>
                <w:color w:val="000000"/>
                <w:kern w:val="0"/>
                <w:sz w:val="22"/>
              </w:rPr>
              <w:t>目标4：为重点口岸配备重大烈性传染病快速筛查设备，提高传染病筛查准确性，缩短筛查时间；</w:t>
            </w:r>
          </w:p>
          <w:p>
            <w:pPr>
              <w:widowControl/>
              <w:textAlignment w:val="center"/>
              <w:rPr>
                <w:rFonts w:ascii="宋体" w:cs="宋体"/>
                <w:color w:val="000000"/>
                <w:kern w:val="0"/>
                <w:sz w:val="22"/>
              </w:rPr>
            </w:pPr>
            <w:r>
              <w:rPr>
                <w:rFonts w:ascii="宋体" w:cs="宋体" w:hint="eastAsia"/>
                <w:color w:val="000000"/>
                <w:kern w:val="0"/>
                <w:sz w:val="22"/>
              </w:rPr>
              <w:t>目标5：对高风险特殊物品准入风险进行评估，做出风险研判，为及时有效应对提供支撑；</w:t>
            </w:r>
          </w:p>
          <w:p>
            <w:pPr>
              <w:widowControl/>
              <w:textAlignment w:val="center"/>
              <w:rPr>
                <w:rFonts w:ascii="宋体" w:cs="宋体"/>
                <w:color w:val="000000"/>
                <w:kern w:val="0"/>
                <w:sz w:val="22"/>
              </w:rPr>
            </w:pPr>
            <w:r>
              <w:rPr>
                <w:rFonts w:ascii="宋体" w:cs="宋体" w:hint="eastAsia"/>
                <w:color w:val="000000"/>
                <w:kern w:val="0"/>
                <w:sz w:val="22"/>
              </w:rPr>
              <w:t>目标6：防止重点区域重大烈性传染病传入传出；</w:t>
              <w:tab/>
            </w:r>
          </w:p>
          <w:p>
            <w:pPr>
              <w:widowControl/>
              <w:textAlignment w:val="center"/>
              <w:rPr>
                <w:rFonts w:ascii="宋体" w:cs="宋体"/>
                <w:color w:val="000000"/>
                <w:sz w:val="22"/>
              </w:rPr>
            </w:pPr>
            <w:r>
              <w:rPr>
                <w:rFonts w:ascii="宋体" w:cs="宋体" w:hint="eastAsia"/>
                <w:color w:val="000000"/>
                <w:kern w:val="0"/>
                <w:sz w:val="22"/>
              </w:rPr>
              <w:t>目标7：巩固病媒生物监测能力基础，完成病媒生物的检测常规工作任务；目标7：预防口岸食品安全，公共卫生安全事件的发生。</w:t>
            </w:r>
          </w:p>
        </w:tc>
      </w:tr>
      <w:tr>
        <w:trPr>
          <w:trHeight w:val="600"/>
        </w:trPr>
        <w:tc>
          <w:tcPr>
            <w:tcW w:w="534" w:type="dxa"/>
            <w:vMerge w:val="restart"/>
            <w:tcBorders>
              <w:top w:val="single" w:sz="4" w:space="0" w:color="000000"/>
              <w:left w:val="single" w:sz="4" w:space="0" w:color="000000"/>
              <w:bottom w:val="single" w:sz="4" w:space="0" w:color="auto"/>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口岸传染病疫情风险评估（次）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传染病防控宣传（次）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口岸公共卫生安全培训次数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生物安全监测及实验室检测演练次数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媒介生物监测覆盖率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口岸公共卫生安全培训合格率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生物安全监测及实验室检测演练合格率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《全国口岸食品安全抽检计划》年度完成率（%）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食品安全宣传工作普及度提升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进出境旅客对口岸公共卫生满意度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海关资产及专用设备运行维护费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中华人民共和国包头海关本级</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102.26</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102.26</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目标1：通过各类装备、设备的运维，提高海关监管工作效率，提升海关监管科技含量，提升海关装备设备现代化、科技化水平，优化海关缉监管与服务；</w:t>
            </w:r>
          </w:p>
          <w:p>
            <w:pPr>
              <w:widowControl/>
              <w:textAlignment w:val="center"/>
              <w:rPr>
                <w:rFonts w:ascii="宋体" w:cs="宋体"/>
                <w:color w:val="000000"/>
                <w:kern w:val="0"/>
                <w:sz w:val="22"/>
              </w:rPr>
            </w:pPr>
            <w:r>
              <w:rPr>
                <w:rFonts w:ascii="宋体" w:cs="宋体" w:hint="eastAsia"/>
                <w:color w:val="000000"/>
                <w:kern w:val="0"/>
                <w:sz w:val="22"/>
              </w:rPr>
              <w:t>目标2：对海关各类实验室设施运行进行维护，保障符合《生物安全法》等法律法规要求，提高检测精准度；</w:t>
            </w:r>
          </w:p>
          <w:p>
            <w:pPr>
              <w:widowControl/>
              <w:textAlignment w:val="center"/>
              <w:rPr>
                <w:rFonts w:ascii="宋体" w:cs="宋体"/>
                <w:color w:val="000000"/>
                <w:sz w:val="22"/>
              </w:rPr>
            </w:pPr>
            <w:r>
              <w:rPr>
                <w:rFonts w:ascii="宋体" w:cs="宋体" w:hint="eastAsia"/>
                <w:color w:val="000000"/>
                <w:kern w:val="0"/>
                <w:sz w:val="22"/>
              </w:rPr>
              <w:t>目标3：对海关技术业务用房进行必要维护，保障业务正常开展。</w:t>
            </w:r>
          </w:p>
        </w:tc>
      </w:tr>
      <w:tr>
        <w:trPr>
          <w:trHeight w:val="600"/>
        </w:trPr>
        <w:tc>
          <w:tcPr>
            <w:tcW w:w="534" w:type="dxa"/>
            <w:vMerge w:val="restart"/>
            <w:tcBorders>
              <w:top w:val="single" w:sz="4" w:space="0" w:color="000000"/>
              <w:left w:val="single" w:sz="4" w:space="0" w:color="000000"/>
              <w:bottom w:val="single" w:sz="4" w:space="0" w:color="auto"/>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运维监管场所个数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≥1个</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通用设备运维数量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≥5台</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专用设备运维数量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≥5台</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设备正常使用率（%）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大型设备维修及时率（%）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海关基础保障能力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稳定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设备使用人满意度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缉私部门计算机网络运行维护</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中华人民共和国包头海关本级</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7.75</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7.75</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sz w:val="22"/>
              </w:rPr>
            </w:pPr>
            <w:r>
              <w:rPr>
                <w:rFonts w:ascii="宋体" w:cs="宋体" w:hint="eastAsia"/>
                <w:color w:val="000000"/>
                <w:kern w:val="0"/>
                <w:sz w:val="22"/>
              </w:rPr>
              <w:t>目标：保障辖区及满都拉口岸地区执法办案工作顺利开展，尤其保障实现刑事执法工作的流程化审批、数字化对接。</w:t>
            </w:r>
          </w:p>
        </w:tc>
      </w:tr>
      <w:tr>
        <w:trPr>
          <w:trHeight w:val="600"/>
        </w:trPr>
        <w:tc>
          <w:tcPr>
            <w:tcW w:w="534" w:type="dxa"/>
            <w:vMerge w:val="restart"/>
            <w:tcBorders>
              <w:top w:val="single" w:sz="4" w:space="0" w:color="000000"/>
              <w:left w:val="single" w:sz="4" w:space="0" w:color="000000"/>
              <w:bottom w:val="single" w:sz="4" w:space="0" w:color="auto"/>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软、硬件配置完成率（%）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网络、流量接入完成率（%）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系统故障率（%）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对执法执勤工作保障及时率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业务保障能力提升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关警员满意度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海关仪器设备购置及能力保障专项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包头海关综合技术服务中心</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8.00</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8.00</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sz w:val="22"/>
              </w:rPr>
            </w:pPr>
            <w:r>
              <w:rPr>
                <w:rFonts w:ascii="宋体" w:cs="宋体" w:hint="eastAsia"/>
                <w:color w:val="000000"/>
                <w:kern w:val="0"/>
                <w:sz w:val="22"/>
              </w:rPr>
              <w:t>通过对实验室各类仪器设备的维修维护，提高实验室检测能力水平，拓展检测领域范围，满足不断增加的检测业务要求，构建我关技术屏障，满足检验检疫工作发展的要求。</w:t>
            </w:r>
          </w:p>
        </w:tc>
      </w:tr>
      <w:tr>
        <w:trPr>
          <w:trHeight w:val="600"/>
        </w:trPr>
        <w:tc>
          <w:tcPr>
            <w:tcW w:w="534" w:type="dxa"/>
            <w:vMerge w:val="restart"/>
            <w:tcBorders>
              <w:top w:val="single" w:sz="4" w:space="0" w:color="000000"/>
              <w:left w:val="single" w:sz="4" w:space="0" w:color="000000"/>
              <w:bottom w:val="single" w:sz="4" w:space="0" w:color="auto"/>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维修海关实验室仪器设备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≥3台/套</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仪器设备维修质量标准</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符合国家质量标准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仪器设备维修验收完成率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仪器设备维修验收完成时效</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≤96小时</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核心业务能力提升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法检自检率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设备使用人员满意度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海关缉私办案费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中华人民共和国额济纳海关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5.00</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5.00</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sz w:val="22"/>
              </w:rPr>
            </w:pPr>
            <w:r>
              <w:rPr>
                <w:rFonts w:ascii="宋体" w:cs="宋体" w:hint="eastAsia"/>
                <w:color w:val="000000"/>
                <w:kern w:val="0"/>
                <w:sz w:val="22"/>
              </w:rPr>
              <w:t>目标1、持续深化综合治理、拓展合作渠道，进一步做好缉私大案要案侦办工作，持续打击走私高压态势，有效震慑走私犯罪行为。</w:t>
            </w:r>
          </w:p>
        </w:tc>
      </w:tr>
      <w:tr>
        <w:trPr>
          <w:trHeight w:val="600"/>
        </w:trPr>
        <w:tc>
          <w:tcPr>
            <w:tcW w:w="534" w:type="dxa"/>
            <w:vMerge w:val="restart"/>
            <w:tcBorders>
              <w:top w:val="single" w:sz="4" w:space="0" w:color="000000"/>
              <w:left w:val="single" w:sz="4" w:space="0" w:color="000000"/>
              <w:bottom w:val="single" w:sz="4" w:space="0" w:color="auto"/>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保障缉私单位部门数量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≥1个</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25</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缉私业务培训合格率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≥87%</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25</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打击毒品、武器、普通货物、固体废物等走私效果</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群众对缉私工作满意度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监管查验技术装备设备购建及能力保障专项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中华人民共和国额济纳海关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13.00</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13.00</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sz w:val="22"/>
              </w:rPr>
            </w:pPr>
            <w:r>
              <w:rPr>
                <w:rFonts w:ascii="宋体" w:cs="宋体" w:hint="eastAsia"/>
                <w:color w:val="000000"/>
                <w:kern w:val="0"/>
                <w:sz w:val="22"/>
              </w:rPr>
              <w:t>为保障口岸核心能力相应设施设备补充、更新及检定等，提高口岸应对突发公共卫生事件处置能力。</w:t>
            </w:r>
          </w:p>
        </w:tc>
      </w:tr>
      <w:tr>
        <w:trPr>
          <w:trHeight w:val="600"/>
        </w:trPr>
        <w:tc>
          <w:tcPr>
            <w:tcW w:w="534" w:type="dxa"/>
            <w:vMerge w:val="restart"/>
            <w:tcBorders>
              <w:top w:val="single" w:sz="4" w:space="0" w:color="000000"/>
              <w:left w:val="single" w:sz="4" w:space="0" w:color="000000"/>
              <w:bottom w:val="single" w:sz="4" w:space="0" w:color="auto"/>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运维专用设备数量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≥9台</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25</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专用设备正常使用率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25</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应急装备保障能力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≥60%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业务人员满意度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海关仪器设备购置及能力保障专项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中华人民共和国额济纳海关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7.00</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7.00</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sz w:val="22"/>
              </w:rPr>
            </w:pPr>
            <w:r>
              <w:rPr>
                <w:rFonts w:ascii="宋体" w:cs="宋体" w:hint="eastAsia"/>
                <w:color w:val="000000"/>
                <w:kern w:val="0"/>
                <w:sz w:val="22"/>
              </w:rPr>
              <w:t>通过海关仪器设备购置及能力保障专项资金对额济纳海关实验室设备进行维修、维护、维保、校准等开展业务，保障各类设备正常投入使用。保证额济纳海关实验室正常运转。</w:t>
            </w:r>
          </w:p>
        </w:tc>
      </w:tr>
      <w:tr>
        <w:trPr>
          <w:trHeight w:val="600"/>
        </w:trPr>
        <w:tc>
          <w:tcPr>
            <w:tcW w:w="534" w:type="dxa"/>
            <w:vMerge w:val="restart"/>
            <w:tcBorders>
              <w:top w:val="single" w:sz="4" w:space="0" w:color="000000"/>
              <w:left w:val="single" w:sz="4" w:space="0" w:color="000000"/>
              <w:bottom w:val="single" w:sz="4" w:space="0" w:color="auto"/>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运维设备数量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≥12台/套</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25</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专用设备正常使用率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25</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提升我关实验室技术能力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≥86%</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实验员满意度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海关业务保障及能力提升专项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中华人民共和国额济纳海关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147.90</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147.90</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目标1：保障海关行政执法、风险管理等各项业日常经费需求，提升海关行政执法能力和执法水平;</w:t>
            </w:r>
          </w:p>
          <w:p>
            <w:pPr>
              <w:widowControl/>
              <w:textAlignment w:val="center"/>
              <w:rPr>
                <w:rFonts w:ascii="宋体" w:cs="宋体"/>
                <w:color w:val="000000"/>
                <w:kern w:val="0"/>
                <w:sz w:val="22"/>
              </w:rPr>
            </w:pPr>
            <w:r>
              <w:rPr>
                <w:rFonts w:ascii="宋体" w:cs="宋体" w:hint="eastAsia"/>
                <w:color w:val="000000"/>
                <w:kern w:val="0"/>
                <w:sz w:val="22"/>
              </w:rPr>
              <w:t>目标2：保障海关行政执法技术支持的能力储备和其他支出需求，提升海关进出境商品检验、动植物检测、卫生检疫和应对技术性贸局措施的检测能力和水平，</w:t>
            </w:r>
          </w:p>
          <w:p>
            <w:pPr>
              <w:widowControl/>
              <w:textAlignment w:val="center"/>
              <w:rPr>
                <w:rFonts w:ascii="宋体" w:cs="宋体"/>
                <w:color w:val="000000"/>
                <w:sz w:val="22"/>
              </w:rPr>
            </w:pPr>
            <w:r>
              <w:rPr>
                <w:rFonts w:ascii="宋体" w:cs="宋体" w:hint="eastAsia"/>
                <w:color w:val="000000"/>
                <w:kern w:val="0"/>
                <w:sz w:val="22"/>
              </w:rPr>
              <w:t>目标3：推动海关技术性贸易壁垒的深入研究，促进我国对外贸易的顺利发展，遏制国外不合格的商品及产品流入国内，保护国家权益和入民的健康。</w:t>
            </w:r>
          </w:p>
        </w:tc>
      </w:tr>
      <w:tr>
        <w:trPr>
          <w:trHeight w:val="600"/>
        </w:trPr>
        <w:tc>
          <w:tcPr>
            <w:tcW w:w="534" w:type="dxa"/>
            <w:vMerge w:val="restart"/>
            <w:tcBorders>
              <w:top w:val="single" w:sz="4" w:space="0" w:color="000000"/>
              <w:left w:val="single" w:sz="4" w:space="0" w:color="000000"/>
              <w:bottom w:val="single" w:sz="4" w:space="0" w:color="auto"/>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保障执法执勤用车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≥7辆</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25</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送检样品质量达标率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≥68%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25</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关区执法能力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有效提升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实验员满意度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口岸公共卫生安全专项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中华人民共和国额济纳海关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10.00</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10.00</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目标1：保障海关行政执法、风险管理等各项业日常经费需求，提升海关行政执法能力和执法水平;</w:t>
            </w:r>
          </w:p>
          <w:p>
            <w:pPr>
              <w:widowControl/>
              <w:textAlignment w:val="center"/>
              <w:rPr>
                <w:rFonts w:ascii="宋体" w:cs="宋体"/>
                <w:color w:val="000000"/>
                <w:kern w:val="0"/>
                <w:sz w:val="22"/>
              </w:rPr>
            </w:pPr>
            <w:r>
              <w:rPr>
                <w:rFonts w:ascii="宋体" w:cs="宋体" w:hint="eastAsia"/>
                <w:color w:val="000000"/>
                <w:kern w:val="0"/>
                <w:sz w:val="22"/>
              </w:rPr>
              <w:t>目标2：保障海关行政执法技术支持的能力储备和其他支出需求，提升海关进出境商品检验、动植物检测、卫生检疫和应对技术性贸局措施的检测能力和水平，</w:t>
            </w:r>
          </w:p>
          <w:p>
            <w:pPr>
              <w:widowControl/>
              <w:textAlignment w:val="center"/>
              <w:rPr>
                <w:rFonts w:ascii="宋体" w:cs="宋体"/>
                <w:color w:val="000000"/>
                <w:sz w:val="22"/>
              </w:rPr>
            </w:pPr>
            <w:r>
              <w:rPr>
                <w:rFonts w:ascii="宋体" w:cs="宋体" w:hint="eastAsia"/>
                <w:color w:val="000000"/>
                <w:kern w:val="0"/>
                <w:sz w:val="22"/>
              </w:rPr>
              <w:t>目标3：推动海关技术性贸易壁垒的深入研究，促进我国对外贸易的顺利发展，遏制国外不合格的商品及产品流入国内，保护国家权益和入民的健康。</w:t>
            </w:r>
          </w:p>
        </w:tc>
      </w:tr>
      <w:tr>
        <w:trPr>
          <w:trHeight w:val="600"/>
        </w:trPr>
        <w:tc>
          <w:tcPr>
            <w:tcW w:w="534" w:type="dxa"/>
            <w:vMerge w:val="restart"/>
            <w:tcBorders>
              <w:top w:val="single" w:sz="4" w:space="0" w:color="000000"/>
              <w:left w:val="single" w:sz="4" w:space="0" w:color="000000"/>
              <w:bottom w:val="single" w:sz="4" w:space="0" w:color="auto"/>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口岸传染病疫情风险评估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采购试剂耗材保质期</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≥2年</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《全国口岸食品安全抽检计划》年度完成率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海关核心业务基础保障能力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有效提升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检验鉴定机构对抽查工作认同比率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进出口商品质量安全检验监管专项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中华人民共和国额济纳海关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5.50</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5.50</w:t>
            </w: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sz w:val="22"/>
              </w:rPr>
            </w:pPr>
            <w:r>
              <w:rPr>
                <w:rFonts w:ascii="宋体" w:cs="宋体" w:hint="eastAsia"/>
                <w:color w:val="000000"/>
                <w:kern w:val="0"/>
                <w:sz w:val="22"/>
              </w:rPr>
              <w:t>一是站位国家治理高度，做到“放开不出事，管住不误事”。二是加强政府职能转变、强化事中事后监管、全面深化进出口商品法定检验业务改革。三是坚持问题导向，全面增强现有质量安全风险预警监管体系的监管效能。四是坚持中国特色并与国际通行规则接轨，强化由不合格假定向合格假定监管体系的有效衔接和过渡，完善质量安全的闭环监管。</w:t>
            </w:r>
          </w:p>
        </w:tc>
      </w:tr>
      <w:tr>
        <w:trPr>
          <w:trHeight w:val="600"/>
        </w:trPr>
        <w:tc>
          <w:tcPr>
            <w:tcW w:w="534" w:type="dxa"/>
            <w:vMerge w:val="restart"/>
            <w:tcBorders>
              <w:top w:val="single" w:sz="4" w:space="0" w:color="000000"/>
              <w:left w:val="single" w:sz="4" w:space="0" w:color="000000"/>
              <w:bottom w:val="single" w:sz="4" w:space="0" w:color="auto"/>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进出口法检商品检验批次数量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≥3批</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风险监测获取的有效信息数量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≥2项</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采购计划完成率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保障人民生命健康安全有力有效</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业务人员满意度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防止境外疫情输入专项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中华人民共和国额济纳海关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13.75</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13.75</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1.保障口岸同入境人员有密切接触的岗位人员标准安全防护用具。</w:t>
            </w:r>
          </w:p>
          <w:p>
            <w:pPr>
              <w:widowControl/>
              <w:textAlignment w:val="center"/>
              <w:rPr>
                <w:rFonts w:ascii="宋体" w:cs="宋体"/>
                <w:color w:val="000000"/>
                <w:kern w:val="0"/>
                <w:sz w:val="22"/>
              </w:rPr>
            </w:pPr>
            <w:r>
              <w:rPr>
                <w:rFonts w:ascii="宋体" w:cs="宋体" w:hint="eastAsia"/>
                <w:color w:val="000000"/>
                <w:kern w:val="0"/>
                <w:sz w:val="22"/>
              </w:rPr>
              <w:t>2.保障开展体温监测及流行病学调查所需的专用材料。</w:t>
            </w:r>
          </w:p>
          <w:p>
            <w:pPr>
              <w:widowControl/>
              <w:textAlignment w:val="center"/>
              <w:rPr>
                <w:rFonts w:ascii="宋体" w:cs="宋体"/>
                <w:color w:val="000000"/>
                <w:sz w:val="22"/>
              </w:rPr>
            </w:pPr>
            <w:r>
              <w:rPr>
                <w:rFonts w:ascii="宋体" w:cs="宋体" w:hint="eastAsia"/>
                <w:color w:val="000000"/>
                <w:kern w:val="0"/>
                <w:sz w:val="22"/>
              </w:rPr>
              <w:t>3.保障口岸相关标准所必须的应急储备物资及设备升级改造。</w:t>
            </w:r>
          </w:p>
        </w:tc>
      </w:tr>
      <w:tr>
        <w:trPr>
          <w:trHeight w:val="600"/>
        </w:trPr>
        <w:tc>
          <w:tcPr>
            <w:tcW w:w="534" w:type="dxa"/>
            <w:vMerge w:val="restart"/>
            <w:tcBorders>
              <w:top w:val="single" w:sz="4" w:space="0" w:color="000000"/>
              <w:left w:val="single" w:sz="4" w:space="0" w:color="000000"/>
              <w:bottom w:val="single" w:sz="4" w:space="0" w:color="auto"/>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专用材料采购种类</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≥3种</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25</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采购计划完成率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25</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保障进出境防疫能力提升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有效提升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一线人员对物资保障的满意度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国门生物安全专项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中华人民共和国额济纳海关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3.00</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3.00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sz w:val="22"/>
              </w:rPr>
            </w:pPr>
            <w:r>
              <w:rPr>
                <w:rFonts w:ascii="宋体" w:cs="宋体" w:hint="eastAsia"/>
                <w:color w:val="000000"/>
                <w:kern w:val="0"/>
                <w:sz w:val="22"/>
              </w:rPr>
              <w:t>加强国门生物安全保障，将从根本上解决策克口岸日益增大的禁止进境动植物及其产品截获量与国门生物安全收到威胁之间的矛盾，提高疫情疫病检出率，更好的监测蒙古国和国内的疫情，防止动植物疫情和病媒生物的传入和传出，应对可能开展的业务，推动地方经济发展。</w:t>
            </w:r>
          </w:p>
        </w:tc>
      </w:tr>
      <w:tr>
        <w:trPr>
          <w:trHeight w:val="600"/>
        </w:trPr>
        <w:tc>
          <w:tcPr>
            <w:tcW w:w="534" w:type="dxa"/>
            <w:vMerge w:val="restart"/>
            <w:tcBorders>
              <w:top w:val="single" w:sz="4" w:space="0" w:color="000000"/>
              <w:left w:val="single" w:sz="4" w:space="0" w:color="000000"/>
              <w:bottom w:val="single" w:sz="4" w:space="0" w:color="auto"/>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开展国门生物安全培训或宣传次数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外来有害生物监测计划完成率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≥87%</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进出境动物疫病监测计划完成率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海关核心业务基础保障能力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有效提升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业务人员满意度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海关资产及专用设备运行维护费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中华人民共和国额济纳海关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67.50</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67.50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sz w:val="22"/>
              </w:rPr>
            </w:pPr>
            <w:r>
              <w:rPr>
                <w:rFonts w:ascii="宋体" w:cs="宋体" w:hint="eastAsia"/>
                <w:color w:val="000000"/>
                <w:kern w:val="0"/>
                <w:sz w:val="22"/>
              </w:rPr>
              <w:t>通过对各类业务设施、装备、设备的运维保障，提高海关日常各项业务工作效率，缓解海关人力资源不足与日益增长的业务工作量之间的矛盾，提升海关监管科技含量，提升海关各类设施，装备设备的现代化，科技化水平，优化海关监管与服务。</w:t>
            </w:r>
          </w:p>
        </w:tc>
      </w:tr>
      <w:tr>
        <w:trPr>
          <w:trHeight w:val="600"/>
        </w:trPr>
        <w:tc>
          <w:tcPr>
            <w:tcW w:w="534" w:type="dxa"/>
            <w:vMerge w:val="restart"/>
            <w:tcBorders>
              <w:top w:val="single" w:sz="4" w:space="0" w:color="000000"/>
              <w:left w:val="single" w:sz="4" w:space="0" w:color="000000"/>
              <w:bottom w:val="single" w:sz="4" w:space="0" w:color="auto"/>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运维专用设备数量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≥30台</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25</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专用设备正常使用率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25</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监测任务的风险防控能力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业务工作人员对项目使用满意度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缉私警察业务费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中华人民共和国额济纳海关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31.90</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31.90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sz w:val="22"/>
              </w:rPr>
            </w:pPr>
            <w:r>
              <w:rPr>
                <w:rFonts w:ascii="宋体" w:cs="宋体" w:hint="eastAsia"/>
                <w:color w:val="000000"/>
                <w:kern w:val="0"/>
                <w:sz w:val="22"/>
              </w:rPr>
              <w:t>保障额济纳海关缉私分局日常办案需要，优先保障大案要案办案需要，确保海关缉私工作正常开展，国家边境口岸进出口安全，做好边境调研及特情子目的培养，建立健全辖区境内外情报搜集机制。</w:t>
            </w:r>
          </w:p>
        </w:tc>
      </w:tr>
      <w:tr>
        <w:trPr>
          <w:trHeight w:val="600"/>
        </w:trPr>
        <w:tc>
          <w:tcPr>
            <w:tcW w:w="534" w:type="dxa"/>
            <w:vMerge w:val="restart"/>
            <w:tcBorders>
              <w:top w:val="single" w:sz="4" w:space="0" w:color="000000"/>
              <w:left w:val="single" w:sz="4" w:space="0" w:color="000000"/>
              <w:bottom w:val="single" w:sz="4" w:space="0" w:color="auto"/>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成本指标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经济成本指标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设备采购会压减租用或委托检测产生的费用</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≥0.2万元</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保障缉私机构数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≥1个</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top w:val="single" w:sz="4" w:space="0" w:color="000000"/>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参见相关业务培训人数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≥3人</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业务培训合格率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保障缉私工作正常开展，提高打私能力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≥60%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群众对缉私工作的满意度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缉私部门计算机网络运行维护</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中华人民共和国额济纳海关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7.65</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7.65</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sz w:val="22"/>
              </w:rPr>
            </w:pPr>
            <w:r>
              <w:rPr>
                <w:rFonts w:ascii="宋体" w:cs="宋体" w:hint="eastAsia"/>
                <w:color w:val="000000"/>
                <w:kern w:val="0"/>
                <w:sz w:val="22"/>
              </w:rPr>
              <w:t>根据“天眼”数据网络应用等法律条例规定，因工作需要需从地方公安接入公安网用于开展缉私业务从而保障口岸进出境安全。</w:t>
            </w:r>
          </w:p>
        </w:tc>
      </w:tr>
      <w:tr>
        <w:trPr>
          <w:trHeight w:val="600"/>
        </w:trPr>
        <w:tc>
          <w:tcPr>
            <w:tcW w:w="534" w:type="dxa"/>
            <w:vMerge w:val="restart"/>
            <w:tcBorders>
              <w:top w:val="single" w:sz="4" w:space="0" w:color="000000"/>
              <w:left w:val="single" w:sz="4" w:space="0" w:color="000000"/>
              <w:bottom w:val="single" w:sz="4" w:space="0" w:color="auto"/>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软、硬件配置完成率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top w:val="single" w:sz="4" w:space="0" w:color="000000"/>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网络、流量接入完成率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办案、业务培训合格率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≥86%</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提升缉私办案保障能力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群众对缉私工作满意度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海关缉私办案费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中华人民共和国东乌海关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0.50</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0.50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目标1：开展辖区内出口备案食品生产企业联合抽查工作；</w:t>
            </w:r>
          </w:p>
          <w:p>
            <w:pPr>
              <w:widowControl/>
              <w:textAlignment w:val="center"/>
              <w:rPr>
                <w:rFonts w:ascii="宋体" w:cs="宋体"/>
                <w:color w:val="000000"/>
                <w:sz w:val="22"/>
              </w:rPr>
            </w:pPr>
            <w:r>
              <w:rPr>
                <w:rFonts w:ascii="宋体" w:cs="宋体" w:hint="eastAsia"/>
                <w:color w:val="000000"/>
                <w:kern w:val="0"/>
                <w:sz w:val="22"/>
              </w:rPr>
              <w:t>目标2：规范出口食品企业管理体系运行，保证抽口食品质量安全。</w:t>
            </w:r>
          </w:p>
        </w:tc>
      </w:tr>
      <w:tr>
        <w:trPr>
          <w:trHeight w:val="600"/>
        </w:trPr>
        <w:tc>
          <w:tcPr>
            <w:tcW w:w="534" w:type="dxa"/>
            <w:vMerge w:val="restart"/>
            <w:tcBorders>
              <w:top w:val="single" w:sz="4" w:space="0" w:color="000000"/>
              <w:left w:val="single" w:sz="4" w:space="0" w:color="000000"/>
              <w:bottom w:val="single" w:sz="4" w:space="0" w:color="auto"/>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完成稽核查辖区企业数量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≥1家</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top w:val="single" w:sz="4" w:space="0" w:color="000000"/>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完成辖区进出口企业稽核查项目</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≥3项</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组织稽核查岗位人员培训</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对企业稽核查工作保障</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有所提升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辖区内稽核查出口食品企业食品安全事故发生率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≤0.1%</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辖区内企业满意度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监管查验技术装备设备购建及能力保障专项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中华人民共和国东乌海关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14.00</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14.00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目标1：为东乌海关监管现场配备货运、旅检等渠道监管查验技术装备，进一步提升进出口（境）监管查验能力，提高通关便利化水平；</w:t>
            </w:r>
          </w:p>
          <w:p>
            <w:pPr>
              <w:widowControl/>
              <w:textAlignment w:val="center"/>
              <w:rPr>
                <w:rFonts w:ascii="宋体" w:cs="宋体"/>
                <w:color w:val="000000"/>
                <w:kern w:val="0"/>
                <w:sz w:val="22"/>
              </w:rPr>
            </w:pPr>
            <w:r>
              <w:rPr>
                <w:rFonts w:ascii="宋体" w:cs="宋体" w:hint="eastAsia"/>
                <w:color w:val="000000"/>
                <w:kern w:val="0"/>
                <w:sz w:val="22"/>
              </w:rPr>
              <w:t>目标2：保障东乌海关监管装备运行维护经费，确保监管装备正常可用，有效支撑进出口（境）监管工作正常进行。</w:t>
            </w:r>
          </w:p>
          <w:p>
            <w:pPr>
              <w:widowControl/>
              <w:textAlignment w:val="center"/>
              <w:rPr>
                <w:rFonts w:ascii="宋体" w:cs="宋体"/>
                <w:color w:val="000000"/>
                <w:kern w:val="0"/>
                <w:sz w:val="22"/>
              </w:rPr>
            </w:pPr>
            <w:r>
              <w:rPr>
                <w:rFonts w:ascii="宋体" w:cs="宋体" w:hint="eastAsia"/>
                <w:color w:val="000000"/>
                <w:kern w:val="0"/>
                <w:sz w:val="22"/>
              </w:rPr>
              <w:t>目标3：组织开展东乌海关口岸监管环节反恐模拟演练、技能培训、工作宣传、研究调研等工作，提升海关口岸监管环节反恐怖工作能力。</w:t>
            </w:r>
          </w:p>
          <w:p>
            <w:pPr>
              <w:widowControl/>
              <w:textAlignment w:val="center"/>
              <w:rPr>
                <w:rFonts w:ascii="宋体" w:cs="宋体"/>
                <w:color w:val="000000"/>
                <w:kern w:val="0"/>
                <w:sz w:val="22"/>
              </w:rPr>
            </w:pPr>
            <w:r>
              <w:rPr>
                <w:rFonts w:ascii="宋体" w:cs="宋体" w:hint="eastAsia"/>
                <w:color w:val="000000"/>
                <w:kern w:val="0"/>
                <w:sz w:val="22"/>
              </w:rPr>
              <w:t>目标4：通过增配小型专用设备以提升东乌海关口岸监管查验能力和监管环节反恐人防、物防、技防水平。</w:t>
            </w:r>
          </w:p>
        </w:tc>
      </w:tr>
      <w:tr>
        <w:trPr>
          <w:trHeight w:val="600"/>
        </w:trPr>
        <w:tc>
          <w:tcPr>
            <w:tcW w:w="534" w:type="dxa"/>
            <w:vMerge w:val="restart"/>
            <w:tcBorders>
              <w:top w:val="single" w:sz="4" w:space="0" w:color="000000"/>
              <w:left w:val="single" w:sz="4" w:space="0" w:color="000000"/>
              <w:bottom w:val="single" w:sz="4" w:space="0" w:color="auto"/>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成本指标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经济成本指标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设备采购成本</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≤6万元</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年购置口岸监管类查验装备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≥3台</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top w:val="single" w:sz="4" w:space="0" w:color="000000"/>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组织开展口岸反恐模拟演练</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设备采购合同执行率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H986、CT机等大型监管查验设备全年正常运行率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口岸监管环节反恐能力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提升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用户满意度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海关业务保障及能力提升专项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中华人民共和国东乌海关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104.09</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104.09</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目标1：保障东乌海关关区行政执法、风险管理等各项业务日常经费需求,保障海关行政执法能力和执法水平；</w:t>
            </w:r>
          </w:p>
          <w:p>
            <w:pPr>
              <w:widowControl/>
              <w:textAlignment w:val="center"/>
              <w:rPr>
                <w:rFonts w:ascii="宋体" w:cs="宋体"/>
                <w:color w:val="000000"/>
                <w:kern w:val="0"/>
                <w:sz w:val="22"/>
              </w:rPr>
            </w:pPr>
            <w:r>
              <w:rPr>
                <w:rFonts w:ascii="宋体" w:cs="宋体" w:hint="eastAsia"/>
                <w:color w:val="000000"/>
                <w:kern w:val="0"/>
                <w:sz w:val="22"/>
              </w:rPr>
              <w:t>目标2：保障东乌关区行政执法技术支持的能力储备和其他支出需求。</w:t>
            </w:r>
          </w:p>
        </w:tc>
      </w:tr>
      <w:tr>
        <w:trPr>
          <w:trHeight w:val="600"/>
        </w:trPr>
        <w:tc>
          <w:tcPr>
            <w:tcW w:w="534" w:type="dxa"/>
            <w:vMerge w:val="restart"/>
            <w:tcBorders>
              <w:top w:val="single" w:sz="4" w:space="0" w:color="000000"/>
              <w:left w:val="single" w:sz="4" w:space="0" w:color="000000"/>
              <w:bottom w:val="single" w:sz="4" w:space="0" w:color="auto"/>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保障公务用车正常行驶公里数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≥0.3万公里</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保障公车正常运行数量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≥7辆</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业务培训次数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执法规范性</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参加培训合格率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执法能力有所提升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提升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服务企业对海关满意度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进出口商品质量安全检验监管专项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中华人民共和国东乌海关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7.00</w:t>
            </w:r>
            <w:r>
              <w:rPr>
                <w:rFonts w:ascii="宋体" w:cs="宋体" w:hint="eastAsia"/>
                <w:color w:val="000000"/>
                <w:kern w:val="0"/>
                <w:sz w:val="22"/>
              </w:rPr>
              <w:t xml:space="preserve"> </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7.00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目标1：危化品等重点敏感商品检验监管能力持续加强，维护国门安全水平有效提升。</w:t>
            </w:r>
          </w:p>
          <w:p>
            <w:pPr>
              <w:widowControl/>
              <w:textAlignment w:val="center"/>
              <w:rPr>
                <w:rFonts w:ascii="宋体" w:cs="宋体"/>
                <w:color w:val="000000"/>
                <w:kern w:val="0"/>
                <w:sz w:val="22"/>
              </w:rPr>
            </w:pPr>
            <w:r>
              <w:rPr>
                <w:rFonts w:ascii="宋体" w:cs="宋体" w:hint="eastAsia"/>
                <w:color w:val="000000"/>
                <w:kern w:val="0"/>
                <w:sz w:val="22"/>
              </w:rPr>
              <w:t>目标2：获取进出口商品质量安全风险信息数量增加，风险评估及预警处处置工作有序开展。</w:t>
            </w:r>
          </w:p>
          <w:p>
            <w:pPr>
              <w:widowControl/>
              <w:textAlignment w:val="center"/>
              <w:rPr>
                <w:rFonts w:ascii="宋体" w:cs="宋体"/>
                <w:color w:val="000000"/>
                <w:kern w:val="0"/>
                <w:sz w:val="22"/>
              </w:rPr>
            </w:pPr>
            <w:r>
              <w:rPr>
                <w:rFonts w:ascii="宋体" w:cs="宋体" w:hint="eastAsia"/>
                <w:color w:val="000000"/>
                <w:kern w:val="0"/>
                <w:sz w:val="22"/>
              </w:rPr>
              <w:t>目标3：基于风险评估结果深化商检业务改革，促进跨境贸易便利化水平有效提升，有力增强人民群众获得感。</w:t>
            </w:r>
          </w:p>
        </w:tc>
      </w:tr>
      <w:tr>
        <w:trPr>
          <w:trHeight w:val="600"/>
        </w:trPr>
        <w:tc>
          <w:tcPr>
            <w:tcW w:w="534" w:type="dxa"/>
            <w:vMerge w:val="restart"/>
            <w:tcBorders>
              <w:top w:val="single" w:sz="4" w:space="0" w:color="000000"/>
              <w:left w:val="single" w:sz="4" w:space="0" w:color="000000"/>
              <w:bottom w:val="single" w:sz="4" w:space="0" w:color="auto"/>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进出口危险化学品及包装实施检验批次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≥3批次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进出口法检商品检验批次数量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≥3批</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风险监测获取的有效信息数量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≥1项</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进出口危险化学品及包装实施检验率（%）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进口大宗资源类商品检验监管率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保障人民生命健康安全有力有效</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生态效益指标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对进口危险化学品及包装检验不合格处置率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进出口食品及化妆品安全专项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中华人民共和国东乌海关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0.50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0.50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目标1.组织实施对进出口食品化妆品的检验检疫监督管理。</w:t>
            </w:r>
          </w:p>
          <w:p>
            <w:pPr>
              <w:widowControl/>
              <w:textAlignment w:val="center"/>
              <w:rPr>
                <w:rFonts w:ascii="宋体" w:cs="宋体"/>
                <w:color w:val="000000"/>
                <w:kern w:val="0"/>
                <w:sz w:val="22"/>
              </w:rPr>
            </w:pPr>
            <w:r>
              <w:rPr>
                <w:rFonts w:ascii="宋体" w:cs="宋体" w:hint="eastAsia"/>
                <w:color w:val="000000"/>
                <w:kern w:val="0"/>
                <w:sz w:val="22"/>
              </w:rPr>
              <w:t>目标2.对境外发生的食品化妆品安全事件可能对我国境内造成影响，或者在接到执行管理部门通报进口食品化妆品中发现严重安全问题的，组织实施安全风险分析和紧急预防措施工作。</w:t>
            </w:r>
          </w:p>
          <w:p>
            <w:pPr>
              <w:widowControl/>
              <w:textAlignment w:val="center"/>
              <w:rPr>
                <w:rFonts w:ascii="宋体" w:cs="宋体"/>
                <w:color w:val="000000"/>
                <w:kern w:val="0"/>
                <w:sz w:val="22"/>
              </w:rPr>
            </w:pPr>
            <w:r>
              <w:rPr>
                <w:rFonts w:ascii="宋体" w:cs="宋体" w:hint="eastAsia"/>
                <w:color w:val="000000"/>
                <w:kern w:val="0"/>
                <w:sz w:val="22"/>
              </w:rPr>
              <w:t xml:space="preserve">目标3.按照总署食品局部署，开展国内外食品化妆品技术法规收集与分析，开展进出口食品化妆品安全风险信息收集、汇总工作。                                                            </w:t>
            </w:r>
          </w:p>
          <w:p>
            <w:pPr>
              <w:widowControl/>
              <w:textAlignment w:val="center"/>
              <w:rPr>
                <w:rFonts w:ascii="宋体" w:cs="宋体"/>
                <w:color w:val="000000"/>
                <w:kern w:val="0"/>
                <w:sz w:val="22"/>
              </w:rPr>
            </w:pPr>
            <w:r>
              <w:rPr>
                <w:rFonts w:ascii="宋体" w:cs="宋体" w:hint="eastAsia"/>
                <w:color w:val="000000"/>
                <w:kern w:val="0"/>
                <w:sz w:val="22"/>
              </w:rPr>
              <w:t xml:space="preserve">目标4.组织制定年度进出口食品化妆品监督抽检和风险监测计划。                         </w:t>
            </w:r>
          </w:p>
        </w:tc>
      </w:tr>
      <w:tr>
        <w:trPr>
          <w:trHeight w:val="600"/>
        </w:trPr>
        <w:tc>
          <w:tcPr>
            <w:tcW w:w="534" w:type="dxa"/>
            <w:vMerge w:val="restart"/>
            <w:tcBorders>
              <w:top w:val="single" w:sz="4" w:space="0" w:color="000000"/>
              <w:left w:val="single" w:sz="4" w:space="0" w:color="000000"/>
              <w:bottom w:val="single" w:sz="4" w:space="0" w:color="auto"/>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对当年进境动植物源性食品检验完成量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≥2批次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组织进出口食品安全监管岗位培训</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开展年度进出口食品监督抽检</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25</w:t>
            </w:r>
          </w:p>
        </w:tc>
      </w:tr>
      <w:tr>
        <w:trPr>
          <w:trHeight w:val="600"/>
        </w:trPr>
        <w:tc>
          <w:tcPr>
            <w:tcW w:w="534" w:type="dxa"/>
            <w:vMerge/>
            <w:tcBorders>
              <w:left w:val="single" w:sz="4" w:space="0" w:color="000000"/>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开展食品安全宣传周活动</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进出口食品企业满意度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口岸公共卫生安全专项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中华人民共和国东乌海关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10.00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10.00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目标1．开展传染病跨境传播风险专题评估、快速评估、季度评估等。</w:t>
            </w:r>
          </w:p>
          <w:p>
            <w:pPr>
              <w:widowControl/>
              <w:textAlignment w:val="center"/>
              <w:rPr>
                <w:rFonts w:ascii="宋体" w:cs="宋体"/>
                <w:color w:val="000000"/>
                <w:kern w:val="0"/>
                <w:sz w:val="22"/>
              </w:rPr>
            </w:pPr>
            <w:r>
              <w:rPr>
                <w:rFonts w:ascii="宋体" w:cs="宋体" w:hint="eastAsia"/>
                <w:color w:val="000000"/>
                <w:kern w:val="0"/>
                <w:sz w:val="22"/>
              </w:rPr>
              <w:t>目标2．依法依规履行卫生检疫职责，提高出入境检疫查验、传染病监测、国际旅行健康宣教和健康促进卫生监督以及卫生处理技术水平。</w:t>
            </w:r>
          </w:p>
          <w:p>
            <w:pPr>
              <w:widowControl/>
              <w:textAlignment w:val="center"/>
              <w:rPr>
                <w:rFonts w:ascii="宋体" w:cs="宋体"/>
                <w:color w:val="000000"/>
                <w:kern w:val="0"/>
                <w:sz w:val="22"/>
              </w:rPr>
            </w:pPr>
            <w:r>
              <w:rPr>
                <w:rFonts w:ascii="宋体" w:cs="宋体" w:hint="eastAsia"/>
                <w:color w:val="000000"/>
                <w:kern w:val="0"/>
                <w:sz w:val="22"/>
              </w:rPr>
              <w:t>目标3．持续巩固和提升已达标口岸的公共卫生核心能力水平，做好《国际卫生条例（2005）》要求的口岸公共卫生核心能力保持和提高等各项工作。</w:t>
            </w:r>
          </w:p>
          <w:p>
            <w:pPr>
              <w:widowControl/>
              <w:textAlignment w:val="center"/>
              <w:rPr>
                <w:rFonts w:ascii="宋体" w:cs="宋体"/>
                <w:color w:val="000000"/>
                <w:kern w:val="0"/>
                <w:sz w:val="22"/>
              </w:rPr>
            </w:pPr>
            <w:r>
              <w:rPr>
                <w:rFonts w:ascii="宋体" w:cs="宋体" w:hint="eastAsia"/>
                <w:color w:val="000000"/>
                <w:kern w:val="0"/>
                <w:sz w:val="22"/>
              </w:rPr>
              <w:t>目标4．口岸有效防止传染病跨境传播，有效开展症状监测，及时发现有症状者，开展有症状者检测和转交指定医院，实验室或临床确诊传染病。</w:t>
            </w:r>
          </w:p>
          <w:p>
            <w:pPr>
              <w:widowControl/>
              <w:textAlignment w:val="center"/>
              <w:rPr>
                <w:rFonts w:ascii="宋体" w:cs="宋体"/>
                <w:color w:val="000000"/>
                <w:kern w:val="0"/>
                <w:sz w:val="22"/>
              </w:rPr>
            </w:pPr>
            <w:r>
              <w:rPr>
                <w:rFonts w:ascii="宋体" w:cs="宋体" w:hint="eastAsia"/>
                <w:color w:val="000000"/>
                <w:kern w:val="0"/>
                <w:sz w:val="22"/>
              </w:rPr>
              <w:t>目标5．提高专业人员素质和能力，保证卫生检疫工作质量。</w:t>
            </w:r>
          </w:p>
          <w:p>
            <w:pPr>
              <w:widowControl/>
              <w:textAlignment w:val="center"/>
              <w:rPr>
                <w:rFonts w:ascii="宋体" w:cs="宋体"/>
                <w:color w:val="000000"/>
                <w:kern w:val="0"/>
                <w:sz w:val="22"/>
              </w:rPr>
            </w:pPr>
            <w:r>
              <w:rPr>
                <w:rFonts w:ascii="宋体" w:cs="宋体" w:hint="eastAsia"/>
                <w:color w:val="000000"/>
                <w:kern w:val="0"/>
                <w:sz w:val="22"/>
              </w:rPr>
              <w:t xml:space="preserve">目标6 .  科学有效实施特殊物品卫生检疫和风险防控，强化生物安全管理。                                                                                   </w:t>
            </w:r>
          </w:p>
        </w:tc>
      </w:tr>
      <w:tr>
        <w:trPr>
          <w:trHeight w:val="600"/>
        </w:trPr>
        <w:tc>
          <w:tcPr>
            <w:tcW w:w="534" w:type="dxa"/>
            <w:vMerge w:val="restart"/>
            <w:tcBorders>
              <w:top w:val="single" w:sz="4" w:space="0" w:color="000000"/>
              <w:left w:val="single" w:sz="4" w:space="0" w:color="000000"/>
              <w:bottom w:val="single" w:sz="4" w:space="0" w:color="auto"/>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口岸传染病疫情风险评估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传染病防控宣传</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传染病防控宣传效果</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《全国口岸食品安全抽检计划》年度完成率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left w:val="single" w:sz="4" w:space="0" w:color="000000"/>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国际重大烈性传染病防控</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口岸单位对疫情防控工作满意度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海关资产及专用设备运行维护费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中华人民共和国东乌海关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50.85</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50.85</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目标1：通过各类装备、设备的运维，提高海关监管工作效率，提升海关监管科技含量，提升海关装备设备现代化、科技化水平，优化海关缉监管与服务；</w:t>
            </w:r>
          </w:p>
          <w:p>
            <w:pPr>
              <w:widowControl/>
              <w:textAlignment w:val="center"/>
              <w:rPr>
                <w:rFonts w:ascii="宋体" w:cs="宋体"/>
                <w:color w:val="000000"/>
                <w:kern w:val="0"/>
                <w:sz w:val="22"/>
              </w:rPr>
            </w:pPr>
            <w:r>
              <w:rPr>
                <w:rFonts w:ascii="宋体" w:cs="宋体" w:hint="eastAsia"/>
                <w:color w:val="000000"/>
                <w:kern w:val="0"/>
                <w:sz w:val="22"/>
              </w:rPr>
              <w:t>目标2：对海关各类实验室设施运行进行维护，保障符合《生物安全法》等法律法规要求，提高检测精准度；</w:t>
            </w:r>
          </w:p>
          <w:p>
            <w:pPr>
              <w:widowControl/>
              <w:textAlignment w:val="center"/>
              <w:rPr>
                <w:rFonts w:ascii="宋体" w:cs="宋体"/>
                <w:color w:val="000000"/>
                <w:kern w:val="0"/>
                <w:sz w:val="22"/>
              </w:rPr>
            </w:pPr>
            <w:r>
              <w:rPr>
                <w:rFonts w:ascii="宋体" w:cs="宋体" w:hint="eastAsia"/>
                <w:color w:val="000000"/>
                <w:kern w:val="0"/>
                <w:sz w:val="22"/>
              </w:rPr>
              <w:t>目标3：对海关技术业务用房进行必要维护，保障业务正常开展。</w:t>
            </w:r>
          </w:p>
          <w:p>
            <w:pPr>
              <w:widowControl/>
              <w:textAlignment w:val="center"/>
              <w:rPr>
                <w:rFonts w:ascii="宋体" w:cs="宋体"/>
                <w:color w:val="000000"/>
                <w:kern w:val="0"/>
                <w:sz w:val="22"/>
              </w:rPr>
            </w:pPr>
            <w:r>
              <w:rPr>
                <w:rFonts w:ascii="宋体" w:cs="宋体"/>
                <w:color w:val="000000"/>
                <w:kern w:val="0"/>
                <w:sz w:val="22"/>
              </w:rPr>
              <w:t xml:space="preserve">          </w:t>
            </w:r>
            <w:r>
              <w:rPr>
                <w:rFonts w:ascii="宋体" w:cs="宋体" w:hint="eastAsia"/>
                <w:color w:val="000000"/>
                <w:kern w:val="0"/>
                <w:sz w:val="22"/>
              </w:rPr>
              <w:t xml:space="preserve">                                                                                </w:t>
            </w:r>
          </w:p>
        </w:tc>
      </w:tr>
      <w:tr>
        <w:trPr>
          <w:trHeight w:val="600"/>
        </w:trPr>
        <w:tc>
          <w:tcPr>
            <w:tcW w:w="534" w:type="dxa"/>
            <w:vMerge w:val="restart"/>
            <w:tcBorders>
              <w:top w:val="single" w:sz="4" w:space="0" w:color="000000"/>
              <w:left w:val="single" w:sz="4" w:space="0" w:color="000000"/>
              <w:bottom w:val="single" w:sz="4" w:space="0" w:color="auto"/>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成本指标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经济成本指标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各项资产及设备运行维护成本支出</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≤50万元</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运维专用设备数量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≥10台/套</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运维办公或监管场</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≥4个</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运维通用设备数量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≥10台/套</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设备正常使用率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东乌海关核心业务基础保障能力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提升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left w:val="single" w:sz="4" w:space="0" w:color="000000"/>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关警员对设备使用满意度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海关仪器设备购置及能力保障专项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中华人民共和国乌拉特海关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7.00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7.00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 xml:space="preserve">通过专业技术维修人员，提高实验室检测能力水平，降低仪器设备故障发生率，满足不断增加的检测业务要求，构建我关技术屏障，满足检验检疫工作发展的要求。                           </w:t>
            </w:r>
          </w:p>
        </w:tc>
      </w:tr>
      <w:tr>
        <w:trPr>
          <w:trHeight w:val="600"/>
        </w:trPr>
        <w:tc>
          <w:tcPr>
            <w:tcW w:w="534" w:type="dxa"/>
            <w:vMerge w:val="restart"/>
            <w:tcBorders>
              <w:top w:val="single" w:sz="4" w:space="0" w:color="000000"/>
              <w:left w:val="single" w:sz="4" w:space="0" w:color="000000"/>
              <w:bottom w:val="single" w:sz="4" w:space="0" w:color="auto"/>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试验室仪器设备维护次数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≥12次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12</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仪器设备校准标准</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符合国家质量标准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12</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仪器设备正常运行率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13</w:t>
            </w:r>
          </w:p>
        </w:tc>
      </w:tr>
      <w:tr>
        <w:trPr>
          <w:trHeight w:val="439"/>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故障响应时间</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≥1小时</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13</w:t>
            </w:r>
          </w:p>
        </w:tc>
      </w:tr>
      <w:tr>
        <w:trPr>
          <w:trHeight w:val="600"/>
        </w:trPr>
        <w:tc>
          <w:tcPr>
            <w:tcW w:w="534" w:type="dxa"/>
            <w:vMerge/>
            <w:tcBorders>
              <w:left w:val="single" w:sz="4" w:space="0" w:color="000000"/>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海关实验室技术能力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有所提升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40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进出口食品及化妆品安全专项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中华人民共和国乌拉特海关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12.00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12.00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目标1.组织实施对进出口食品化妆品的检验检疫监督管理。</w:t>
            </w:r>
          </w:p>
          <w:p>
            <w:pPr>
              <w:widowControl/>
              <w:textAlignment w:val="center"/>
              <w:rPr>
                <w:rFonts w:ascii="宋体" w:cs="宋体"/>
                <w:color w:val="000000"/>
                <w:kern w:val="0"/>
                <w:sz w:val="22"/>
              </w:rPr>
            </w:pPr>
            <w:r>
              <w:rPr>
                <w:rFonts w:ascii="宋体" w:cs="宋体" w:hint="eastAsia"/>
                <w:color w:val="000000"/>
                <w:kern w:val="0"/>
                <w:sz w:val="22"/>
              </w:rPr>
              <w:t>目标2.对境外发生的食品化妆品安全事件可能对我国境内造成影响，或者在接到执行管理部门通报进口食品化妆品中发现严重安全问题的，组织实施安全风险分析和紧急预防措施工作。</w:t>
            </w:r>
          </w:p>
          <w:p>
            <w:pPr>
              <w:widowControl/>
              <w:textAlignment w:val="center"/>
              <w:rPr>
                <w:rFonts w:ascii="宋体" w:cs="宋体"/>
                <w:color w:val="000000"/>
                <w:kern w:val="0"/>
                <w:sz w:val="22"/>
              </w:rPr>
            </w:pPr>
            <w:r>
              <w:rPr>
                <w:rFonts w:ascii="宋体" w:cs="宋体" w:hint="eastAsia"/>
                <w:color w:val="000000"/>
                <w:kern w:val="0"/>
                <w:sz w:val="22"/>
              </w:rPr>
              <w:t xml:space="preserve">目标3.按照总署食品局部署，开展国内外食品化妆品技术法规收集与分析，开展进出口食品化妆品安全风险信息收集、汇总工作。                                                            </w:t>
            </w:r>
          </w:p>
          <w:p>
            <w:pPr>
              <w:widowControl/>
              <w:textAlignment w:val="center"/>
              <w:rPr>
                <w:rFonts w:ascii="宋体" w:cs="宋体"/>
                <w:color w:val="000000"/>
                <w:kern w:val="0"/>
                <w:sz w:val="22"/>
              </w:rPr>
            </w:pPr>
            <w:r>
              <w:rPr>
                <w:rFonts w:ascii="宋体" w:cs="宋体" w:hint="eastAsia"/>
                <w:color w:val="000000"/>
                <w:kern w:val="0"/>
                <w:sz w:val="22"/>
              </w:rPr>
              <w:t xml:space="preserve">目标4.组织制定年度进出口食品化妆品监督抽检和风险监测计划。                           </w:t>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组织进出口食品安全监管岗位培训（次）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完成年度进口食品安全监督抽检计划（次）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完成年度食品安全信息监测任务（条）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≥7条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完成食品及化妆品准入风险评估任务（条）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不合格进口食品及化妆品公布率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auto"/>
              <w:left w:val="single" w:sz="4" w:space="0" w:color="000000"/>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对执行管理部门通报的重大食品安全事件处置率（%）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开展食品安全宣传周活动</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海关资产及专用设备运行维护费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中华人民共和国乌拉特海关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92.17</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92.17</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目标1：通过各类装备、设备的运维，提高海关监管工作效率，提升海关监管科技含量，提升海关装备设备现代化、科技化水平，优化海关缉监管与服务；</w:t>
            </w:r>
          </w:p>
          <w:p>
            <w:pPr>
              <w:widowControl/>
              <w:textAlignment w:val="center"/>
              <w:rPr>
                <w:rFonts w:ascii="宋体" w:cs="宋体"/>
                <w:color w:val="000000"/>
                <w:kern w:val="0"/>
                <w:sz w:val="22"/>
              </w:rPr>
            </w:pPr>
            <w:r>
              <w:rPr>
                <w:rFonts w:ascii="宋体" w:cs="宋体" w:hint="eastAsia"/>
                <w:color w:val="000000"/>
                <w:kern w:val="0"/>
                <w:sz w:val="22"/>
              </w:rPr>
              <w:t>目标2：对海关各类实验室设施运行进行维护，保障符合《生物安全法》等法律法规要求，提高检测精准度；</w:t>
            </w:r>
          </w:p>
          <w:p>
            <w:pPr>
              <w:widowControl/>
              <w:textAlignment w:val="center"/>
              <w:rPr>
                <w:rFonts w:ascii="宋体" w:cs="宋体"/>
                <w:color w:val="000000"/>
                <w:kern w:val="0"/>
                <w:sz w:val="22"/>
              </w:rPr>
            </w:pPr>
            <w:r>
              <w:rPr>
                <w:rFonts w:ascii="宋体" w:cs="宋体" w:hint="eastAsia"/>
                <w:color w:val="000000"/>
                <w:kern w:val="0"/>
                <w:sz w:val="22"/>
              </w:rPr>
              <w:t>目标3：对海关技术业务用房进行必要维护，保障业务正常开展。</w:t>
              <w:tab/>
              <w:tab/>
              <w:t xml:space="preserve">                 </w:t>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运维监管场所个数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≥4个</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运维实验室个数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≥1个</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运维100万以上设备数量（台/套）</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≥7台/套</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运维100万以下设备数量（台/套）</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≥500台/套</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设备正常使用率（%）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≥70%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大型设备维修及时率（%）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≥60%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w:t>
            </w:r>
          </w:p>
        </w:tc>
      </w:tr>
      <w:tr>
        <w:trPr>
          <w:trHeight w:val="600"/>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auto"/>
              <w:left w:val="single" w:sz="4" w:space="0" w:color="000000"/>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海关基础保障能力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稳定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left w:val="single" w:sz="4" w:space="0" w:color="000000"/>
              <w:bottom w:val="single" w:sz="4" w:space="0" w:color="auto"/>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生态效益指标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实验室建设是否符合《生物安全法》要求</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是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海关信息系统运行维护</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中华人民共和国乌拉特海关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19.00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19.00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根据乌拉特海关业务需求，租赁临河至甘其毛都口岸业务网主备专线，以提升业务网络访问能力；目标2：根据乌拉特海关业务需求，租赁临河至甘其毛都口岸监控网主备专线，以保障海关可视化监控正常运行，保障视频在线率；目标3：根据乌拉特海关业务需求，租赁临河至甘其毛都口岸电子口岸口岸网专线，以保障智能卡口系统正常运行，保障卡口验放效率。</w:t>
              <w:tab/>
              <w:t xml:space="preserve">                 </w:t>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租用网络线路（条）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设备故障率（%）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重大网络与信息系统安全事件数（件）</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≤3件</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工程重大安全事故（起）</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&lt;2起</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故障响应时长（小时）</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≤1小时</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业务工作效率提高(%)</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海关用户对信息系统安全满意度（%）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≥92%</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缉私部门计算机网络运行维护</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中华人民共和国乌拉特海关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5.35</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5.35</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目标1：保证乌拉特海关关区相关网络正常运行；</w:t>
            </w:r>
          </w:p>
          <w:p>
            <w:pPr>
              <w:widowControl/>
              <w:textAlignment w:val="center"/>
              <w:rPr>
                <w:rFonts w:ascii="宋体" w:cs="宋体"/>
                <w:color w:val="000000"/>
                <w:kern w:val="0"/>
                <w:sz w:val="22"/>
              </w:rPr>
            </w:pPr>
            <w:r>
              <w:rPr>
                <w:rFonts w:ascii="宋体" w:cs="宋体" w:hint="eastAsia"/>
                <w:color w:val="000000"/>
                <w:kern w:val="0"/>
                <w:sz w:val="22"/>
              </w:rPr>
              <w:t>目标2：开展单兵、警务终端等设备流量租赁，保证单兵等警务终端设备的正常使用；</w:t>
            </w:r>
          </w:p>
          <w:p>
            <w:pPr>
              <w:widowControl/>
              <w:textAlignment w:val="center"/>
              <w:rPr>
                <w:rFonts w:ascii="宋体" w:cs="宋体"/>
                <w:color w:val="000000"/>
                <w:kern w:val="0"/>
                <w:sz w:val="22"/>
              </w:rPr>
            </w:pPr>
            <w:r>
              <w:rPr>
                <w:rFonts w:ascii="宋体" w:cs="宋体" w:hint="eastAsia"/>
                <w:color w:val="000000"/>
                <w:kern w:val="0"/>
                <w:sz w:val="22"/>
              </w:rPr>
              <w:t xml:space="preserve">目标3：保障缉私相关系统平稳运行。             </w:t>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软、硬件配置完成率（%）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网络、流量接入完成率（%）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每年租赁网络线路（条）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系统故障率（%）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每个故障解决响应率（%）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每个故障平均响应时间（小时）</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≤24小时</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w:t>
            </w:r>
          </w:p>
        </w:tc>
      </w:tr>
      <w:tr>
        <w:trPr>
          <w:trHeight w:val="600"/>
        </w:trPr>
        <w:tc>
          <w:tcPr>
            <w:tcW w:w="534" w:type="dxa"/>
            <w:vMerge/>
            <w:tcBorders>
              <w:left w:val="single" w:sz="4" w:space="0" w:color="000000"/>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业务保障能力提升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民警对信息化系统维护满意率（%）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国门生物安全专项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中华人民共和国鄂尔多斯海关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3.00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3.00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目标1：巩固动植物疫病疫情防控能力基础，完成外来动植物疫病检测常规工作任务，保障国门生物安全；</w:t>
            </w:r>
          </w:p>
          <w:p>
            <w:pPr>
              <w:widowControl/>
              <w:textAlignment w:val="center"/>
              <w:rPr>
                <w:rFonts w:ascii="宋体" w:cs="宋体"/>
                <w:color w:val="000000"/>
                <w:kern w:val="0"/>
                <w:sz w:val="22"/>
              </w:rPr>
            </w:pPr>
            <w:r>
              <w:rPr>
                <w:rFonts w:ascii="宋体" w:cs="宋体" w:hint="eastAsia"/>
                <w:color w:val="000000"/>
                <w:kern w:val="0"/>
                <w:sz w:val="22"/>
              </w:rPr>
              <w:t>目标2：对境内外动植物疫病疫情风险进行监控，防范输入型疫病疫情传入传出；</w:t>
            </w:r>
          </w:p>
          <w:p>
            <w:pPr>
              <w:widowControl/>
              <w:textAlignment w:val="center"/>
              <w:rPr>
                <w:rFonts w:ascii="宋体" w:cs="宋体"/>
                <w:color w:val="000000"/>
                <w:kern w:val="0"/>
                <w:sz w:val="22"/>
              </w:rPr>
            </w:pPr>
            <w:r>
              <w:rPr>
                <w:rFonts w:ascii="宋体" w:cs="宋体" w:hint="eastAsia"/>
                <w:color w:val="000000"/>
                <w:kern w:val="0"/>
                <w:sz w:val="22"/>
              </w:rPr>
              <w:t xml:space="preserve">目标3：对动植物疫病疫情防控相关知识进行普及性宣传，提高人民群众防范动植物疫病疫情的意识。          </w:t>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成本指标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经济成本指标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重大动植物疫情保障费用</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≤4万元/年</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国门生物安全监测点</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≥2个</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开展国门生物安全培训或宣传次数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国门生物监测设施使用率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外来有害生物监测计划完成率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进出境动物疫病监测计划完成率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进出口食用农产品和饲料安全风险监控计划完成率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left w:val="single" w:sz="4" w:space="0" w:color="000000"/>
              <w:right w:val="single" w:sz="4" w:space="0" w:color="auto"/>
            </w:tcBorders>
            <w:shd w:val="clear" w:color="auto" w:fill="auto"/>
            <w:textDirection w:val="tbRlV"/>
            <w:vAlign w:val="center"/>
          </w:tcPr>
          <w:p/>
        </w:tc>
        <w:tc>
          <w:tcPr>
            <w:tcW w:w="1236" w:type="dxa"/>
            <w:vMerge w:val="restart"/>
            <w:tcBorders>
              <w:top w:val="single" w:sz="4" w:space="0" w:color="auto"/>
              <w:left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普及人民群众动植物疫病疫情防控常识与提高防控意识</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普及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right w:val="single" w:sz="4" w:space="0" w:color="auto"/>
            </w:tcBorders>
            <w:shd w:val="clear" w:color="auto" w:fill="auto"/>
            <w:textDirection w:val="tbRlV"/>
            <w:vAlign w:val="center"/>
          </w:tcPr>
          <w:p/>
        </w:tc>
        <w:tc>
          <w:tcPr>
            <w:tcW w:w="1236" w:type="dxa"/>
            <w:vMerge/>
            <w:tcBorders>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防范重大动植物疫病疫情防控有效性</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群众对国门生物安全保障满意度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进出口商品质量安全检验监管专项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中华人民共和国鄂尔多斯海关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10.00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10.00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 xml:space="preserve">依据《中华人民共和国进出口商品检验法》及其实施条例等法律法规，保障我关履行进出口商品检验监管职能，不断完善进出口商品质量安全监管制度建设和做好进出口商品检验监管工作，通过对进出口动植物产品、危化品及其他商品质量安全监管，着力提升进口商品质量安全保障能力和出口商品质量竞争水平，维护国家商品质量安全，不断贯彻国家质量战略，持续推动国家对外贸易健康发展。          </w:t>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成本指标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经济成本指标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进出口商品检测费用</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≤8万元/年</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进出口商品年度抽检次数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进出口法检商品检验批次数量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≥20批</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风险监测获取的有效信息数量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≥5项</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对进出口危险化学品及包装检验不合格处置率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报送重大进出口危险化学品及包装检验不合格处置情况及时率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right w:val="single" w:sz="4" w:space="0" w:color="auto"/>
            </w:tcBorders>
            <w:shd w:val="clear" w:color="auto" w:fill="auto"/>
            <w:textDirection w:val="tbRlV"/>
            <w:vAlign w:val="center"/>
          </w:tcPr>
          <w:p/>
        </w:tc>
        <w:tc>
          <w:tcPr>
            <w:tcW w:w="1236" w:type="dxa"/>
            <w:vMerge w:val="restart"/>
            <w:tcBorders>
              <w:top w:val="single" w:sz="4" w:space="0" w:color="auto"/>
              <w:left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进出口商品危险化学事故发生率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right w:val="single" w:sz="4" w:space="0" w:color="auto"/>
            </w:tcBorders>
            <w:shd w:val="clear" w:color="auto" w:fill="auto"/>
            <w:textDirection w:val="tbRlV"/>
            <w:vAlign w:val="center"/>
          </w:tcPr>
          <w:p/>
        </w:tc>
        <w:tc>
          <w:tcPr>
            <w:tcW w:w="1236" w:type="dxa"/>
            <w:vMerge/>
            <w:tcBorders>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保障人民生命健康安全有力有效</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服务企业满意度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海关资产及专用设备运行维护费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中华人民共和国鄂尔多斯海关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24.58</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24.58</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 xml:space="preserve">通过各类装备、设备的运维，提高海关监管工作效率，缓解海关人力资源不足与日益增长的监管工作量之间的矛盾，提升海关监管科技含量，提升海关装备设备现代化、科技化水平，优化海关监管与服务。        </w:t>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更新设备数量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≥6台/套</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运维专用设备数量（台/套）</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≥6台/套</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运维通用设备数量（台/套）</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≥9台/套</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运维办公或监管场所</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≥1个</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专用设备正常使用率（%）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维修合格率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设备正常使用率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大型设备维修及时率（%）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bottom w:val="single" w:sz="4" w:space="0" w:color="auto"/>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维修及时率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left w:val="single" w:sz="4" w:space="0" w:color="000000"/>
              <w:right w:val="single" w:sz="4" w:space="0" w:color="auto"/>
            </w:tcBorders>
            <w:shd w:val="clear" w:color="auto" w:fill="auto"/>
            <w:textDirection w:val="tbRlV"/>
            <w:vAlign w:val="center"/>
          </w:tcPr>
          <w:p/>
        </w:tc>
        <w:tc>
          <w:tcPr>
            <w:tcW w:w="1236" w:type="dxa"/>
            <w:tcBorders>
              <w:top w:val="single" w:sz="4" w:space="0" w:color="auto"/>
              <w:left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核心业务基础保障能力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稳定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服务关警员满意度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海关信息系统运行维护</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中华人民共和国鄂尔多斯海关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10.00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10.00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目标1：根据鄂尔多斯海关业务需求，租赁海关办公楼至机场海关大楼业务网主备专线，以提升业务网络访问能力；</w:t>
            </w:r>
          </w:p>
          <w:p>
            <w:pPr>
              <w:widowControl/>
              <w:textAlignment w:val="center"/>
              <w:rPr>
                <w:rFonts w:ascii="宋体" w:cs="宋体"/>
                <w:color w:val="000000"/>
                <w:kern w:val="0"/>
                <w:sz w:val="22"/>
              </w:rPr>
            </w:pPr>
          </w:p>
          <w:p>
            <w:pPr>
              <w:widowControl/>
              <w:textAlignment w:val="center"/>
              <w:rPr>
                <w:rFonts w:ascii="宋体" w:cs="宋体"/>
                <w:color w:val="000000"/>
                <w:kern w:val="0"/>
                <w:sz w:val="22"/>
              </w:rPr>
            </w:pPr>
            <w:r>
              <w:rPr>
                <w:rFonts w:ascii="宋体" w:cs="宋体" w:hint="eastAsia"/>
                <w:color w:val="000000"/>
                <w:kern w:val="0"/>
                <w:sz w:val="22"/>
              </w:rPr>
              <w:t xml:space="preserve">目标2：保障旅检通道智能设备采集数据高效、稳定传输，提升旅检通关效率。 </w:t>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租用网络线路</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设备故障率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工程重大安全事故</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&lt;1起</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重大网络与信息系统安全事件数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&lt;1件</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故障响应时长</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≤1小时</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right w:val="single" w:sz="4" w:space="0" w:color="auto"/>
            </w:tcBorders>
            <w:shd w:val="clear" w:color="auto" w:fill="auto"/>
            <w:textDirection w:val="tbRlV"/>
            <w:vAlign w:val="center"/>
          </w:tcPr>
          <w:p/>
        </w:tc>
        <w:tc>
          <w:tcPr>
            <w:tcW w:w="1236" w:type="dxa"/>
            <w:tcBorders>
              <w:top w:val="single" w:sz="4" w:space="0" w:color="auto"/>
              <w:left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业务工作效率提高</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≥60%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海关用户对信息系统安全满意度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≥92%</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海关业务保障及能力提升专项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中华人民共和国集宁海关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56.71</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56.71</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目标1：保障集宁海关行政执法、开展法检商品检验等各项业务日常经费需求,提升集宁海关行政执法能力和执法水平；</w:t>
            </w:r>
          </w:p>
          <w:p>
            <w:pPr>
              <w:widowControl/>
              <w:textAlignment w:val="center"/>
              <w:rPr>
                <w:rFonts w:ascii="宋体" w:cs="宋体"/>
                <w:color w:val="000000"/>
                <w:kern w:val="0"/>
                <w:sz w:val="22"/>
              </w:rPr>
            </w:pPr>
            <w:r>
              <w:rPr>
                <w:rFonts w:ascii="宋体" w:cs="宋体" w:hint="eastAsia"/>
                <w:color w:val="000000"/>
                <w:kern w:val="0"/>
                <w:sz w:val="22"/>
              </w:rPr>
              <w:t>目标2：通过有效发挥海关业务保障经费保障作用，以确保集宁海关监管能力有效发挥，并不断提升。</w:t>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保障海关机构数量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=1个</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执法执勤车辆出动次数（次）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检验检疫业务单证差错率（%）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≤0.5%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因保障能力造成的执法差错率（%）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≤0.5%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000000"/>
              <w:right w:val="single" w:sz="4" w:space="0" w:color="auto"/>
            </w:tcBorders>
            <w:shd w:val="clear" w:color="auto" w:fill="auto"/>
            <w:textDirection w:val="tbRlV"/>
            <w:vAlign w:val="center"/>
          </w:tcPr>
          <w:p/>
        </w:tc>
        <w:tc>
          <w:tcPr>
            <w:tcW w:w="1236" w:type="dxa"/>
            <w:vMerge w:val="restart"/>
            <w:tcBorders>
              <w:top w:val="single" w:sz="4" w:space="0" w:color="auto"/>
              <w:left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进出境检验检疫通关效率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000000"/>
              <w:right w:val="single" w:sz="4" w:space="0" w:color="auto"/>
            </w:tcBorders>
            <w:shd w:val="clear" w:color="auto" w:fill="auto"/>
            <w:textDirection w:val="tbRlV"/>
            <w:vAlign w:val="center"/>
          </w:tcPr>
          <w:p/>
        </w:tc>
        <w:tc>
          <w:tcPr>
            <w:tcW w:w="1236" w:type="dxa"/>
            <w:vMerge/>
            <w:tcBorders>
              <w:left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集宁海关核心业务基础保障能力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有所提升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000000"/>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服务对象满意度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进出口食品及化妆品安全专项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中华人民共和国集宁海关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0.50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0.50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 xml:space="preserve">1．组织实施对进口食品的检验检疫和监督管理；                                   </w:t>
            </w:r>
          </w:p>
          <w:p>
            <w:pPr>
              <w:widowControl/>
              <w:textAlignment w:val="center"/>
              <w:rPr>
                <w:rFonts w:ascii="宋体" w:cs="宋体"/>
                <w:color w:val="000000"/>
                <w:kern w:val="0"/>
                <w:sz w:val="22"/>
              </w:rPr>
            </w:pPr>
            <w:r>
              <w:rPr>
                <w:rFonts w:ascii="宋体" w:cs="宋体" w:hint="eastAsia"/>
                <w:color w:val="000000"/>
                <w:kern w:val="0"/>
                <w:sz w:val="22"/>
              </w:rPr>
              <w:t>2.对境外发生的食品安全事件可能对我国境内造成影响，或者在接到执行管理部门通报进口食品中发现严重安全问题的，组织实施安全风险分析和紧急预防措施工作；</w:t>
            </w:r>
          </w:p>
          <w:p>
            <w:pPr>
              <w:widowControl/>
              <w:textAlignment w:val="center"/>
              <w:rPr>
                <w:rFonts w:ascii="宋体" w:cs="宋体"/>
                <w:color w:val="000000"/>
                <w:kern w:val="0"/>
                <w:sz w:val="22"/>
              </w:rPr>
            </w:pPr>
            <w:r>
              <w:rPr>
                <w:rFonts w:ascii="宋体" w:cs="宋体" w:hint="eastAsia"/>
                <w:color w:val="000000"/>
                <w:kern w:val="0"/>
                <w:sz w:val="22"/>
              </w:rPr>
              <w:t>3.食品安全监管人员要参加业务培训，提高监管人员政策水平与业务能力。</w:t>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检测次数（次）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组织进出口食品安全监管岗位培训（次）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培训合格率（≥**%）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完成年度食品化妆品安全监测任务（%）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right w:val="single" w:sz="4" w:space="0" w:color="auto"/>
            </w:tcBorders>
            <w:shd w:val="clear" w:color="auto" w:fill="auto"/>
            <w:textDirection w:val="tbRlV"/>
            <w:vAlign w:val="center"/>
          </w:tcPr>
          <w:p/>
        </w:tc>
        <w:tc>
          <w:tcPr>
            <w:tcW w:w="1236" w:type="dxa"/>
            <w:tcBorders>
              <w:top w:val="single" w:sz="4" w:space="0" w:color="auto"/>
              <w:left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开展食品安全宣传周活动</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辖区企业满意度（%）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国门生物安全专项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中华人民共和国集宁海关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5.00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5.00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目标1．进一步夯实国门生物安全保障能力基础。</w:t>
            </w:r>
          </w:p>
          <w:p>
            <w:pPr>
              <w:widowControl/>
              <w:textAlignment w:val="center"/>
              <w:rPr>
                <w:rFonts w:ascii="宋体" w:cs="宋体"/>
                <w:color w:val="000000"/>
                <w:kern w:val="0"/>
                <w:sz w:val="22"/>
              </w:rPr>
            </w:pPr>
            <w:r>
              <w:rPr>
                <w:rFonts w:ascii="宋体" w:cs="宋体" w:hint="eastAsia"/>
                <w:color w:val="000000"/>
                <w:kern w:val="0"/>
                <w:sz w:val="22"/>
              </w:rPr>
              <w:t>目标2．完成年度进出境动植物检验检疫常规工作任务，稳步推进各项业务。</w:t>
              <w:tab/>
              <w:tab/>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完成进境动植物检验批次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开展国门生物安全培训或宣传次数（次）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外来有害生物监测至少完成监测计划</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进出口食用农产品和饲料安全风险监控计划完成率（%）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进出境动物疫病监测计划完成率（%）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培训合格率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left w:val="single" w:sz="4" w:space="0" w:color="000000"/>
              <w:right w:val="single" w:sz="4" w:space="0" w:color="auto"/>
            </w:tcBorders>
            <w:shd w:val="clear" w:color="auto" w:fill="auto"/>
            <w:textDirection w:val="tbRlV"/>
            <w:vAlign w:val="center"/>
          </w:tcPr>
          <w:p/>
        </w:tc>
        <w:tc>
          <w:tcPr>
            <w:tcW w:w="1236" w:type="dxa"/>
            <w:vMerge w:val="restart"/>
            <w:tcBorders>
              <w:top w:val="single" w:sz="4" w:space="0" w:color="auto"/>
              <w:left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防控进口种畜造成外来动物疫病爆发概率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000000"/>
              <w:right w:val="single" w:sz="4" w:space="0" w:color="auto"/>
            </w:tcBorders>
            <w:shd w:val="clear" w:color="auto" w:fill="auto"/>
            <w:textDirection w:val="tbRlV"/>
            <w:vAlign w:val="center"/>
          </w:tcPr>
          <w:p/>
        </w:tc>
        <w:tc>
          <w:tcPr>
            <w:tcW w:w="1236" w:type="dxa"/>
            <w:vMerge/>
            <w:tcBorders>
              <w:left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重大突发检验检疫问题处理案件处理率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000000"/>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服务企业满意度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海关资产及专用设备运行维护费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中华人民共和国集宁海关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11.25</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11.25</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保障集宁海关行政执法、风险管理等各项业务日常经费需求，保障海关行政执法能力和执法水平。</w:t>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运维通用设备数量（台/套）</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≥1台</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运维专用设备数量（台/套）</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≥1台</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基础设施正常使用率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专用设备正常使用率（%）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000000"/>
              <w:right w:val="single" w:sz="4" w:space="0" w:color="auto"/>
            </w:tcBorders>
            <w:shd w:val="clear" w:color="auto" w:fill="auto"/>
            <w:textDirection w:val="tbRlV"/>
            <w:vAlign w:val="center"/>
          </w:tcPr>
          <w:p/>
        </w:tc>
        <w:tc>
          <w:tcPr>
            <w:tcW w:w="1236" w:type="dxa"/>
            <w:tcBorders>
              <w:top w:val="single" w:sz="4" w:space="0" w:color="auto"/>
              <w:left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集宁海关核心业务基础保障能力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有所提升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设备使用人员满意度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海关缉私办案费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中华人民共和国乌海海关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1.50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1.50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根据海关总署办公厅关于印发《2023年全国海关企业管理和稽查工作要点》的通知工作要求，乌海海关结合自身工作职责，切实做好企业稽查工作。</w:t>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开展培训次数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稽核查作业查发数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≥0个</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稽查投入产出比</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right w:val="single" w:sz="4" w:space="0" w:color="auto"/>
            </w:tcBorders>
            <w:shd w:val="clear" w:color="auto" w:fill="auto"/>
            <w:textDirection w:val="tbRlV"/>
            <w:vAlign w:val="center"/>
          </w:tcPr>
          <w:p/>
        </w:tc>
        <w:tc>
          <w:tcPr>
            <w:tcW w:w="1236" w:type="dxa"/>
            <w:vMerge w:val="restart"/>
            <w:tcBorders>
              <w:top w:val="single" w:sz="4" w:space="0" w:color="auto"/>
              <w:left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稽核查追补税</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≥0万元</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000000"/>
              <w:right w:val="single" w:sz="4" w:space="0" w:color="auto"/>
            </w:tcBorders>
            <w:shd w:val="clear" w:color="auto" w:fill="auto"/>
            <w:textDirection w:val="tbRlV"/>
            <w:vAlign w:val="center"/>
          </w:tcPr>
          <w:p/>
        </w:tc>
        <w:tc>
          <w:tcPr>
            <w:tcW w:w="1236" w:type="dxa"/>
            <w:vMerge/>
            <w:tcBorders>
              <w:left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受训人员业务能力提升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000000"/>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缉私办案人员工作满意度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监管查验技术装备设备购建及能力保障专项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中华人民共和国乌海海关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4.00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4.00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根据《海关总署商品检验司关于进一步加强危险货物及其包装检验监管有关事项的通知》（商检函〔2021〕4 号）文件要求，结合乌海海关辖区内化工企业较多、进出口危险货物及其包装检测任务重等特点，保障开展监管查验技术设备新增和更新维护等相关工作。</w:t>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成本指标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经济成本指标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装备购置成本</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≤2.6万元</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运维监管查验装备（台套）</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≥1台</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购置监管查验装备（台/套）</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≥1台</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开展业务培训</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组织开展口岸反恐模拟演练（次）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装备购置政府采购率（%）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业务培训合格率（%）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H986、CT机等大型监管查验设备全年正常运行率（%）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left w:val="single" w:sz="4" w:space="0" w:color="000000"/>
              <w:right w:val="single" w:sz="4" w:space="0" w:color="auto"/>
            </w:tcBorders>
            <w:shd w:val="clear" w:color="auto" w:fill="auto"/>
            <w:textDirection w:val="tbRlV"/>
            <w:vAlign w:val="center"/>
          </w:tcPr>
          <w:p/>
        </w:tc>
        <w:tc>
          <w:tcPr>
            <w:tcW w:w="1236" w:type="dxa"/>
            <w:tcBorders>
              <w:top w:val="single" w:sz="4" w:space="0" w:color="auto"/>
              <w:left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通关便利化水平</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有所提升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left w:val="single" w:sz="4" w:space="0" w:color="000000"/>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辖区企业满意度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海关业务保障及能力提升专项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中华人民共和国乌海海关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87.21</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87.21</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目标1：保障乌海关区行政执法、风险管理等各项业务日常经费需求,保障海关行政执法能力和执法水平；</w:t>
            </w:r>
          </w:p>
          <w:p>
            <w:pPr>
              <w:widowControl/>
              <w:textAlignment w:val="center"/>
              <w:rPr>
                <w:rFonts w:ascii="宋体" w:cs="宋体"/>
                <w:color w:val="000000"/>
                <w:kern w:val="0"/>
                <w:sz w:val="22"/>
              </w:rPr>
            </w:pPr>
            <w:r>
              <w:rPr>
                <w:rFonts w:ascii="宋体" w:cs="宋体" w:hint="eastAsia"/>
                <w:color w:val="000000"/>
                <w:kern w:val="0"/>
                <w:sz w:val="22"/>
              </w:rPr>
              <w:t>目标2：保障乌海关区行政执法技术支持的能力储备和其他支出需求；</w:t>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法定检验检测任务完成率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实验室检测项目</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≥10项</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培训人次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≥3人次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关区检验检疫监督抽查任务完成率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执法人员持证上岗率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培训考试合格率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right w:val="single" w:sz="4" w:space="0" w:color="auto"/>
            </w:tcBorders>
            <w:shd w:val="clear" w:color="auto" w:fill="auto"/>
            <w:textDirection w:val="tbRlV"/>
            <w:vAlign w:val="center"/>
          </w:tcPr>
          <w:p/>
        </w:tc>
        <w:tc>
          <w:tcPr>
            <w:tcW w:w="1236" w:type="dxa"/>
            <w:tcBorders>
              <w:top w:val="single" w:sz="4" w:space="0" w:color="auto"/>
              <w:left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关区检验检疫能力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有所提升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辖区企业满意度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国门生物安全专项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中华人民共和国乌海海关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10.00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10.00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1.进一步夯实国门生物安全保障能力基础；</w:t>
            </w:r>
          </w:p>
          <w:p>
            <w:pPr>
              <w:widowControl/>
              <w:textAlignment w:val="center"/>
              <w:rPr>
                <w:rFonts w:ascii="宋体" w:cs="宋体"/>
                <w:color w:val="000000"/>
                <w:kern w:val="0"/>
                <w:sz w:val="22"/>
              </w:rPr>
            </w:pPr>
            <w:r>
              <w:rPr>
                <w:rFonts w:ascii="宋体" w:cs="宋体" w:hint="eastAsia"/>
                <w:color w:val="000000"/>
                <w:kern w:val="0"/>
                <w:sz w:val="22"/>
              </w:rPr>
              <w:t>2.完成进出境动植物检验检疫常规工作任务，稳步推进各项改革事项。</w:t>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开展国门生物安全培训或宣传次数（次）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业务培训合格率（%）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外来有害生物监测计划完成率（%）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进出境动物疫病监测计划完成率（%）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进出口食用农产品和饲料安全风险监控计划完成率（%）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right w:val="single" w:sz="4" w:space="0" w:color="auto"/>
            </w:tcBorders>
            <w:shd w:val="clear" w:color="auto" w:fill="auto"/>
            <w:textDirection w:val="tbRlV"/>
            <w:vAlign w:val="center"/>
          </w:tcPr>
          <w:p/>
        </w:tc>
        <w:tc>
          <w:tcPr>
            <w:tcW w:w="1236" w:type="dxa"/>
            <w:tcBorders>
              <w:top w:val="single" w:sz="4" w:space="0" w:color="auto"/>
              <w:left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重大突发检验检疫问题处理率（%）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辖区企业满意度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进出口食品及化妆品安全专项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中华人民共和国乌海海关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1.00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1.00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深入贯彻落实《中华人民共和国进出口商品检验法》及其实施条例，进一步完善进出口商品质量安全监管构制，树牢进出口商品尤其是进出口危险化学品及其包装安全底线，促进贸易便利化水平，加强全过程、全方位的质量管理，全面提升学质量安全管理水平.</w:t>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食品安全监管人员参训人次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≥3人次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完成年度食品化妆品安全检测任务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组织进出口食品安全监管岗位培训（次）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业务培训合格率（%）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食品监督抽检和法定检验完成率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组织制定本关年度进出口食品化妆品监督抽检和风险监测计划</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=1份</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600"/>
        </w:trPr>
        <w:tc>
          <w:tcPr>
            <w:tcW w:w="534" w:type="dxa"/>
            <w:vMerge/>
            <w:tcBorders>
              <w:left w:val="single" w:sz="4" w:space="0" w:color="000000"/>
              <w:right w:val="single" w:sz="4" w:space="0" w:color="auto"/>
            </w:tcBorders>
            <w:shd w:val="clear" w:color="auto" w:fill="auto"/>
            <w:textDirection w:val="tbRlV"/>
            <w:vAlign w:val="center"/>
          </w:tcPr>
          <w:p/>
        </w:tc>
        <w:tc>
          <w:tcPr>
            <w:tcW w:w="1236" w:type="dxa"/>
            <w:tcBorders>
              <w:top w:val="single" w:sz="4" w:space="0" w:color="auto"/>
              <w:left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开展食品安全宣传周活动</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辖区企业满意度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海关资产及专用设备运行维护费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中华人民共和国乌海海关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36.15</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36.15</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通过各类装备、设备的运维，提高监管工作效率，缓解人力资源不足与日益增长的监管工作量之间的矛盾，提升监管科技含量，提升装备设备现代化、科技化水平，优化监管与服务。</w:t>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运维专用设备数量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≥3台/套</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运维通用设备数量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≥10台/套</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运维监管覆盖率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设备正常使用率（%）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设备维修及时率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right w:val="single" w:sz="4" w:space="0" w:color="auto"/>
            </w:tcBorders>
            <w:shd w:val="clear" w:color="auto" w:fill="auto"/>
            <w:textDirection w:val="tbRlV"/>
            <w:vAlign w:val="center"/>
          </w:tcPr>
          <w:p/>
        </w:tc>
        <w:tc>
          <w:tcPr>
            <w:tcW w:w="1236" w:type="dxa"/>
            <w:tcBorders>
              <w:top w:val="single" w:sz="4" w:space="0" w:color="auto"/>
              <w:left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核心业务基础保障能力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稳定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关员满意度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监管查验技术装备设备购建及能力保障专项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中华人民共和国呼和浩特白塔机场海关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21.00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21.00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目标1.保障白塔机场海关监管装备运行维护经费，确保监管装备正常可用，有效支撑进出口监管工作正常进行。</w:t>
            </w:r>
          </w:p>
          <w:p>
            <w:pPr>
              <w:widowControl/>
              <w:textAlignment w:val="center"/>
              <w:rPr>
                <w:rFonts w:ascii="宋体" w:cs="宋体"/>
                <w:color w:val="000000"/>
                <w:kern w:val="0"/>
                <w:sz w:val="22"/>
              </w:rPr>
            </w:pPr>
            <w:r>
              <w:rPr>
                <w:rFonts w:ascii="宋体" w:cs="宋体" w:hint="eastAsia"/>
                <w:color w:val="000000"/>
                <w:kern w:val="0"/>
                <w:sz w:val="22"/>
              </w:rPr>
              <w:t>目标2.做好口岸监管工作用犬工作的正常运行与维护，保障监管工作用犬饲养、初训与复训、考核、使用等。</w:t>
            </w:r>
          </w:p>
          <w:p>
            <w:pPr>
              <w:widowControl/>
              <w:textAlignment w:val="center"/>
              <w:rPr>
                <w:rFonts w:ascii="宋体" w:cs="宋体"/>
                <w:color w:val="000000"/>
                <w:kern w:val="0"/>
                <w:sz w:val="22"/>
              </w:rPr>
            </w:pPr>
            <w:r>
              <w:rPr>
                <w:rFonts w:ascii="宋体" w:cs="宋体" w:hint="eastAsia"/>
                <w:color w:val="000000"/>
                <w:kern w:val="0"/>
                <w:sz w:val="22"/>
              </w:rPr>
              <w:t>目标3.组织开展海关口岸监管环节反恐模拟演练、技能培训、工作宣传、研究调研等工作，提升海关口岸监管环节反恐怖工作能力。</w:t>
            </w:r>
          </w:p>
          <w:p>
            <w:pPr>
              <w:widowControl/>
              <w:textAlignment w:val="center"/>
              <w:rPr>
                <w:rFonts w:ascii="宋体" w:cs="宋体"/>
                <w:color w:val="000000"/>
                <w:kern w:val="0"/>
                <w:sz w:val="22"/>
              </w:rPr>
            </w:pPr>
            <w:r>
              <w:rPr>
                <w:rFonts w:ascii="宋体" w:cs="宋体" w:hint="eastAsia"/>
                <w:color w:val="000000"/>
                <w:kern w:val="0"/>
                <w:sz w:val="22"/>
              </w:rPr>
              <w:t>目标4.根据工作需求，购买测试材料等，提升海关口岸监管环节反恐人防、物防、技防水平。</w:t>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保障口岸监管工作用犬数量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≥1只/年</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CT机等大型监管查验设备全年正常运行率（%）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left w:val="single" w:sz="4" w:space="0" w:color="000000"/>
              <w:right w:val="single" w:sz="4" w:space="0" w:color="auto"/>
            </w:tcBorders>
            <w:shd w:val="clear" w:color="auto" w:fill="auto"/>
            <w:textDirection w:val="tbRlV"/>
            <w:vAlign w:val="center"/>
          </w:tcPr>
          <w:p/>
        </w:tc>
        <w:tc>
          <w:tcPr>
            <w:tcW w:w="1236" w:type="dxa"/>
            <w:tcBorders>
              <w:top w:val="single" w:sz="4" w:space="0" w:color="auto"/>
              <w:left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核辐射超标物质入境扩散造成突发公共卫生事件发生率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出入境旅客对监管查验技术设备工作满意度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海关业务保障及能力提升专项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中华人民共和国呼和浩特白塔机场海关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59.15</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59.15</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目标1：保障机场海关行政执法、风险管理等各项业务日常经费需求,保障海关行政执法能力和执法水平；</w:t>
            </w:r>
          </w:p>
          <w:p>
            <w:pPr>
              <w:widowControl/>
              <w:textAlignment w:val="center"/>
              <w:rPr>
                <w:rFonts w:ascii="宋体" w:cs="宋体"/>
                <w:color w:val="000000"/>
                <w:kern w:val="0"/>
                <w:sz w:val="22"/>
              </w:rPr>
            </w:pPr>
            <w:r>
              <w:rPr>
                <w:rFonts w:ascii="宋体" w:cs="宋体" w:hint="eastAsia"/>
                <w:color w:val="000000"/>
                <w:kern w:val="0"/>
                <w:sz w:val="22"/>
              </w:rPr>
              <w:t>目标2：保障机场海关行政执法技术支持的能力储备和公务用车运行维护、其他支出需求；</w:t>
              <w:tab/>
              <w:tab/>
              <w:tab/>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保障公车数量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≥4辆</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保障车辆安全行驶，违章次数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执法人员持证上岗率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因保障能力造成的执法差错率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海关检验检疫能力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有所提升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000000"/>
              <w:right w:val="single" w:sz="4" w:space="0" w:color="auto"/>
            </w:tcBorders>
            <w:shd w:val="clear" w:color="auto" w:fill="auto"/>
            <w:textDirection w:val="tbRlV"/>
            <w:vAlign w:val="center"/>
          </w:tcPr>
          <w:p/>
        </w:tc>
        <w:tc>
          <w:tcPr>
            <w:tcW w:w="1236" w:type="dxa"/>
            <w:tcBorders>
              <w:top w:val="single" w:sz="4" w:space="0" w:color="auto"/>
              <w:left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服务企业满意度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000000"/>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保障公车数量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≥4辆</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进出口商品质量安全检验监管专项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中华人民共和国呼和浩特白塔机场海关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1.00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1.00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1.配合上级部门，开展进出口商品监督抽查工作。</w:t>
            </w:r>
          </w:p>
          <w:p>
            <w:pPr>
              <w:widowControl/>
              <w:textAlignment w:val="center"/>
              <w:rPr>
                <w:rFonts w:ascii="宋体" w:cs="宋体"/>
                <w:color w:val="000000"/>
                <w:kern w:val="0"/>
                <w:sz w:val="22"/>
              </w:rPr>
            </w:pPr>
          </w:p>
          <w:p>
            <w:pPr>
              <w:widowControl/>
              <w:textAlignment w:val="center"/>
              <w:rPr>
                <w:rFonts w:ascii="宋体" w:cs="宋体"/>
                <w:color w:val="000000"/>
                <w:kern w:val="0"/>
                <w:sz w:val="22"/>
              </w:rPr>
            </w:pPr>
            <w:r>
              <w:rPr>
                <w:rFonts w:ascii="宋体" w:cs="宋体" w:hint="eastAsia"/>
                <w:color w:val="000000"/>
                <w:kern w:val="0"/>
                <w:sz w:val="22"/>
              </w:rPr>
              <w:t>2.参加危险化学品包装现场检验监管培训</w:t>
            </w:r>
          </w:p>
          <w:p>
            <w:pPr>
              <w:widowControl/>
              <w:textAlignment w:val="center"/>
              <w:rPr>
                <w:rFonts w:ascii="宋体" w:cs="宋体"/>
                <w:color w:val="000000"/>
                <w:kern w:val="0"/>
                <w:sz w:val="22"/>
              </w:rPr>
            </w:pPr>
          </w:p>
          <w:p>
            <w:pPr>
              <w:widowControl/>
              <w:textAlignment w:val="center"/>
              <w:rPr>
                <w:rFonts w:ascii="宋体" w:cs="宋体"/>
                <w:color w:val="000000"/>
                <w:kern w:val="0"/>
                <w:sz w:val="22"/>
              </w:rPr>
            </w:pPr>
            <w:r>
              <w:rPr>
                <w:rFonts w:ascii="宋体" w:cs="宋体" w:hint="eastAsia"/>
                <w:color w:val="000000"/>
                <w:kern w:val="0"/>
                <w:sz w:val="22"/>
              </w:rPr>
              <w:t xml:space="preserve">3.严防洋垃圾入境，坚决拒洋垃圾于国门之外。       </w:t>
            </w:r>
          </w:p>
          <w:p>
            <w:pPr>
              <w:widowControl/>
              <w:textAlignment w:val="center"/>
              <w:rPr>
                <w:rFonts w:ascii="宋体" w:cs="宋体"/>
                <w:color w:val="000000"/>
                <w:kern w:val="0"/>
                <w:sz w:val="22"/>
              </w:rPr>
            </w:pPr>
          </w:p>
          <w:p>
            <w:pPr>
              <w:widowControl/>
              <w:textAlignment w:val="center"/>
              <w:rPr>
                <w:rFonts w:ascii="宋体" w:cs="宋体"/>
                <w:color w:val="000000"/>
                <w:kern w:val="0"/>
                <w:sz w:val="22"/>
              </w:rPr>
            </w:pPr>
            <w:r>
              <w:rPr>
                <w:rFonts w:ascii="宋体" w:cs="宋体" w:hint="eastAsia"/>
                <w:color w:val="000000"/>
                <w:kern w:val="0"/>
                <w:sz w:val="22"/>
              </w:rPr>
              <w:t>4.打击贸易欺诈等不正当竞争行为，维护国家利益，促进对外贸易健康发展。</w:t>
            </w:r>
          </w:p>
        </w:tc>
      </w:tr>
      <w:tr>
        <w:trPr>
          <w:trHeight w:val="600"/>
        </w:trPr>
        <w:tc>
          <w:tcPr>
            <w:tcW w:w="534" w:type="dxa"/>
            <w:vMerge w:val="restart"/>
            <w:tcBorders>
              <w:top w:val="single" w:sz="4" w:space="0" w:color="000000"/>
              <w:left w:val="single" w:sz="4" w:space="0" w:color="000000"/>
              <w:right w:val="single" w:sz="4" w:space="0" w:color="000000"/>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val="restart"/>
            <w:tcBorders>
              <w:top w:val="single" w:sz="4" w:space="0" w:color="000000"/>
              <w:left w:val="single" w:sz="4" w:space="0" w:color="000000"/>
              <w:right w:val="single" w:sz="4" w:space="0" w:color="000000"/>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对危险货物及包装检验监管人员岗位培训学时</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≥5学时</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危险货物及包装检验监管人员岗位培训完成率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000000"/>
              <w:right w:val="single" w:sz="4" w:space="0" w:color="000000"/>
            </w:tcBorders>
            <w:shd w:val="clear" w:color="auto" w:fill="auto"/>
            <w:textDirection w:val="tbRlV"/>
            <w:vAlign w:val="center"/>
          </w:tcPr>
          <w:p/>
        </w:tc>
        <w:tc>
          <w:tcPr>
            <w:tcW w:w="1236" w:type="dxa"/>
            <w:vMerge/>
            <w:tcBorders>
              <w:left w:val="single" w:sz="4" w:space="0" w:color="000000"/>
              <w:right w:val="single" w:sz="4" w:space="0" w:color="000000"/>
            </w:tcBorders>
            <w:shd w:val="clear" w:color="auto" w:fill="auto"/>
            <w:vAlign w:val="center"/>
          </w:tcPr>
          <w:p/>
        </w:tc>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对检验出口商品不合格处置及时率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left w:val="single" w:sz="4" w:space="0" w:color="000000"/>
              <w:right w:val="single" w:sz="4" w:space="0" w:color="auto"/>
            </w:tcBorders>
            <w:shd w:val="clear" w:color="auto" w:fill="auto"/>
            <w:textDirection w:val="tbRlV"/>
            <w:vAlign w:val="center"/>
          </w:tcPr>
          <w:p/>
        </w:tc>
        <w:tc>
          <w:tcPr>
            <w:tcW w:w="1236" w:type="dxa"/>
            <w:vMerge w:val="restart"/>
            <w:tcBorders>
              <w:top w:val="single" w:sz="4" w:space="0" w:color="auto"/>
              <w:left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打击洋垃圾入境行为</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left w:val="single" w:sz="4" w:space="0" w:color="000000"/>
              <w:bottom w:val="single" w:sz="4" w:space="0" w:color="auto"/>
              <w:right w:val="single" w:sz="4" w:space="0" w:color="auto"/>
            </w:tcBorders>
            <w:shd w:val="clear" w:color="auto" w:fill="auto"/>
            <w:textDirection w:val="tbRlV"/>
            <w:vAlign w:val="center"/>
          </w:tcPr>
          <w:p/>
        </w:tc>
        <w:tc>
          <w:tcPr>
            <w:tcW w:w="1236" w:type="dxa"/>
            <w:vMerge/>
            <w:tcBorders>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保障人民生命健康安全有力有效</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海关资产及专用设备运行维护费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中华人民共和国呼和浩特白塔机场海关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38.23</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38.23</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目标1：通过各类装备、设备的运维，提高海关监管工作效率，提升海关监管科技含量，提升海关装备设备现代化、科技化水平，优化海关缉监管与服务；</w:t>
            </w:r>
          </w:p>
          <w:p>
            <w:pPr>
              <w:widowControl/>
              <w:textAlignment w:val="center"/>
              <w:rPr>
                <w:rFonts w:ascii="宋体" w:cs="宋体"/>
                <w:color w:val="000000"/>
                <w:kern w:val="0"/>
                <w:sz w:val="22"/>
              </w:rPr>
            </w:pPr>
            <w:r>
              <w:rPr>
                <w:rFonts w:ascii="宋体" w:cs="宋体" w:hint="eastAsia"/>
                <w:color w:val="000000"/>
                <w:kern w:val="0"/>
                <w:sz w:val="22"/>
              </w:rPr>
              <w:t>目标2：对机场海关初筛实验室设施运行进行维护，保障符合《生物安全法》等法律法规要求，提高检测精准度；</w:t>
            </w:r>
          </w:p>
        </w:tc>
      </w:tr>
      <w:tr>
        <w:trPr>
          <w:trHeight w:val="600"/>
        </w:trPr>
        <w:tc>
          <w:tcPr>
            <w:tcW w:w="534" w:type="dxa"/>
            <w:vMerge w:val="restart"/>
            <w:tcBorders>
              <w:top w:val="single" w:sz="4" w:space="0" w:color="auto"/>
              <w:left w:val="single" w:sz="4" w:space="0" w:color="auto"/>
              <w:bottom w:val="single" w:sz="4" w:space="0" w:color="auto"/>
              <w:right w:val="single" w:sz="4" w:space="0" w:color="auto"/>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top w:val="single" w:sz="4" w:space="0" w:color="auto"/>
              <w:left w:val="single" w:sz="4" w:space="0" w:color="auto"/>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成本指标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经济成本指标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年度设备购置成本</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≤18.6万</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top w:val="single" w:sz="4" w:space="0" w:color="auto"/>
              <w:left w:val="single" w:sz="4" w:space="0" w:color="auto"/>
              <w:bottom w:val="single" w:sz="4" w:space="0" w:color="auto"/>
              <w:right w:val="single" w:sz="4" w:space="0" w:color="auto"/>
            </w:tcBorders>
            <w:shd w:val="clear" w:color="auto" w:fill="auto"/>
            <w:textDirection w:val="tbRlV"/>
            <w:vAlign w:val="center"/>
          </w:tcPr>
          <w:p/>
        </w:tc>
        <w:tc>
          <w:tcPr>
            <w:tcW w:w="123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运维监管场所</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≥2个</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auto"/>
              <w:left w:val="single" w:sz="4" w:space="0" w:color="auto"/>
              <w:bottom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海关资产运维工作完成率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auto"/>
              <w:left w:val="single" w:sz="4" w:space="0" w:color="auto"/>
              <w:bottom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设备正常使用率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top w:val="single" w:sz="4" w:space="0" w:color="auto"/>
              <w:left w:val="single" w:sz="4" w:space="0" w:color="auto"/>
              <w:bottom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海关资产运维工作及时率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top w:val="single" w:sz="4" w:space="0" w:color="auto"/>
              <w:left w:val="single" w:sz="4" w:space="0" w:color="auto"/>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机场海关核心业务基础保障能力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稳定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海关缉私办案费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中华人民共和国赛罕海关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3.00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3.00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目标1：积极开展打击走私活动，加强行政案件规范性；目标2：保障外出执法人员经费支出。</w:t>
            </w:r>
          </w:p>
        </w:tc>
      </w:tr>
      <w:tr>
        <w:trPr>
          <w:trHeight w:val="600"/>
        </w:trPr>
        <w:tc>
          <w:tcPr>
            <w:tcW w:w="534" w:type="dxa"/>
            <w:vMerge w:val="restart"/>
            <w:tcBorders>
              <w:top w:val="single" w:sz="4" w:space="0" w:color="auto"/>
              <w:left w:val="single" w:sz="4" w:space="0" w:color="auto"/>
              <w:right w:val="single" w:sz="4" w:space="0" w:color="auto"/>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稽查作业数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≥37家</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25</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执法规范性</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25</w:t>
            </w:r>
          </w:p>
        </w:tc>
      </w:tr>
      <w:tr>
        <w:trPr>
          <w:trHeight w:val="600"/>
        </w:trPr>
        <w:tc>
          <w:tcPr>
            <w:tcW w:w="534" w:type="dxa"/>
            <w:vMerge/>
            <w:tcBorders>
              <w:left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保护经济发展</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有效打击偷逃税款走私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auto"/>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对稽核查工作投诉反馈率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企业管理及稽查专项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中华人民共和国赛罕海关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3.00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3.00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目标1：借助社会力量，引入中介机构，协助海关稽核查执法，弥补海关稽核查部门监管力量不足，增强海关监管透明度。</w:t>
            </w:r>
          </w:p>
          <w:p>
            <w:pPr>
              <w:widowControl/>
              <w:textAlignment w:val="center"/>
              <w:rPr>
                <w:rFonts w:ascii="宋体" w:cs="宋体"/>
                <w:color w:val="000000"/>
                <w:kern w:val="0"/>
                <w:sz w:val="22"/>
              </w:rPr>
            </w:pPr>
            <w:r>
              <w:rPr>
                <w:rFonts w:ascii="宋体" w:cs="宋体" w:hint="eastAsia"/>
                <w:color w:val="000000"/>
                <w:kern w:val="0"/>
                <w:sz w:val="22"/>
              </w:rPr>
              <w:t>目标2：积极开展打击走私活动，加强行政案件规范性；</w:t>
            </w:r>
          </w:p>
          <w:p>
            <w:pPr>
              <w:widowControl/>
              <w:textAlignment w:val="center"/>
              <w:rPr>
                <w:rFonts w:ascii="宋体" w:cs="宋体"/>
                <w:color w:val="000000"/>
                <w:kern w:val="0"/>
                <w:sz w:val="22"/>
              </w:rPr>
            </w:pPr>
            <w:r>
              <w:rPr>
                <w:rFonts w:ascii="宋体" w:cs="宋体" w:hint="eastAsia"/>
                <w:color w:val="000000"/>
                <w:kern w:val="0"/>
                <w:sz w:val="22"/>
              </w:rPr>
              <w:t>目标3：保障外出执法人员经费支出。</w:t>
            </w:r>
          </w:p>
        </w:tc>
      </w:tr>
      <w:tr>
        <w:trPr>
          <w:trHeight w:val="600"/>
        </w:trPr>
        <w:tc>
          <w:tcPr>
            <w:tcW w:w="534" w:type="dxa"/>
            <w:vMerge w:val="restart"/>
            <w:tcBorders>
              <w:top w:val="single" w:sz="4" w:space="0" w:color="auto"/>
              <w:left w:val="single" w:sz="4" w:space="0" w:color="auto"/>
              <w:right w:val="single" w:sz="4" w:space="0" w:color="auto"/>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成本指标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经济成本指标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引入中介机构稽核查作业数量（起）</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≤1万元</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引入中介机构稽核查作业数量（起）</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≥2起</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执法规范性</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left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保护经济发展</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打击偷逃税款走私取得明显成效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600"/>
        </w:trPr>
        <w:tc>
          <w:tcPr>
            <w:tcW w:w="534" w:type="dxa"/>
            <w:vMerge/>
            <w:tcBorders>
              <w:left w:val="single" w:sz="4" w:space="0" w:color="auto"/>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对关员工作投诉反馈率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海关业务保障及能力提升专项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中华人民共和国赛罕海关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129.70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129.70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目标1：保障赛罕海关行政执法、法规制修订、风险管理等各项业务日常经费需求,提升赛罕海关行政执法能力和执法水平</w:t>
            </w:r>
          </w:p>
          <w:p>
            <w:pPr>
              <w:widowControl/>
              <w:textAlignment w:val="center"/>
              <w:rPr>
                <w:rFonts w:ascii="宋体" w:cs="宋体"/>
                <w:color w:val="000000"/>
                <w:kern w:val="0"/>
                <w:sz w:val="22"/>
              </w:rPr>
            </w:pPr>
            <w:r>
              <w:rPr>
                <w:rFonts w:ascii="宋体" w:cs="宋体" w:hint="eastAsia"/>
                <w:color w:val="000000"/>
                <w:kern w:val="0"/>
                <w:sz w:val="22"/>
              </w:rPr>
              <w:t xml:space="preserve">目标2：保障业务现场正常运行，通过经费支出确保海关监管职能有效发挥;              </w:t>
            </w:r>
          </w:p>
          <w:p>
            <w:pPr>
              <w:widowControl/>
              <w:textAlignment w:val="center"/>
              <w:rPr>
                <w:rFonts w:ascii="宋体" w:cs="宋体"/>
                <w:color w:val="000000"/>
                <w:kern w:val="0"/>
                <w:sz w:val="22"/>
              </w:rPr>
            </w:pPr>
            <w:r>
              <w:rPr>
                <w:rFonts w:ascii="宋体" w:cs="宋体" w:hint="eastAsia"/>
                <w:color w:val="000000"/>
                <w:kern w:val="0"/>
                <w:sz w:val="22"/>
              </w:rPr>
              <w:t xml:space="preserve">目标3：加强我关预算数据审核，提高预算申报质量，积极争取财力支持；                                                           </w:t>
            </w:r>
          </w:p>
          <w:p>
            <w:pPr>
              <w:widowControl/>
              <w:textAlignment w:val="center"/>
              <w:rPr>
                <w:rFonts w:ascii="宋体" w:cs="宋体"/>
                <w:color w:val="000000"/>
                <w:kern w:val="0"/>
                <w:sz w:val="22"/>
              </w:rPr>
            </w:pPr>
            <w:r>
              <w:rPr>
                <w:rFonts w:ascii="宋体" w:cs="宋体" w:hint="eastAsia"/>
                <w:color w:val="000000"/>
                <w:kern w:val="0"/>
                <w:sz w:val="22"/>
              </w:rPr>
              <w:t>目标4：保障赛罕海关行政执法技术支持的能力储备和其他支出需求，提升本关进出境商品检验、动植物检疫、卫生检疫水平；</w:t>
            </w:r>
          </w:p>
          <w:p>
            <w:pPr>
              <w:widowControl/>
              <w:textAlignment w:val="center"/>
              <w:rPr>
                <w:rFonts w:ascii="宋体" w:cs="宋体"/>
                <w:color w:val="000000"/>
                <w:kern w:val="0"/>
                <w:sz w:val="22"/>
              </w:rPr>
            </w:pPr>
            <w:r>
              <w:rPr>
                <w:rFonts w:ascii="宋体" w:cs="宋体" w:hint="eastAsia"/>
                <w:color w:val="000000"/>
                <w:kern w:val="0"/>
                <w:sz w:val="22"/>
              </w:rPr>
              <w:t>目标5：推动赛罕海关技术性贸易壁垒的深入研究，促进我市对外贸易的顺利发展，遏制国外不合格的商品及产品流入国内，保护国家权益和人民的健康。</w:t>
            </w:r>
          </w:p>
        </w:tc>
      </w:tr>
      <w:tr>
        <w:trPr>
          <w:trHeight w:val="600"/>
        </w:trPr>
        <w:tc>
          <w:tcPr>
            <w:tcW w:w="534" w:type="dxa"/>
            <w:vMerge w:val="restart"/>
            <w:tcBorders>
              <w:top w:val="single" w:sz="4" w:space="0" w:color="auto"/>
              <w:left w:val="single" w:sz="4" w:space="0" w:color="auto"/>
              <w:right w:val="single" w:sz="4" w:space="0" w:color="auto"/>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年度培训次数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16</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保障执法执勤用车（辆）</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≥3辆</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17</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培训合格率（%）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17</w:t>
            </w:r>
          </w:p>
        </w:tc>
      </w:tr>
      <w:tr>
        <w:trPr>
          <w:trHeight w:val="600"/>
        </w:trPr>
        <w:tc>
          <w:tcPr>
            <w:tcW w:w="534" w:type="dxa"/>
            <w:vMerge/>
            <w:tcBorders>
              <w:left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赛罕海关执法能力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稳定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auto"/>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辖区企业对海关工作满意度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国门生物安全专项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中华人民共和国赛罕海关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6.00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6.00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进一步夯实国门生物安全保障能力基础，促进国门生物安全保障能力持续提升。完成年度进出境动植物检验检疫各项工作任务，稳步推进各项改革事项，有效控制重大动植物疫情疫病和有毒有害物质传入传出，有效保障农林牧渔业生产安全、人民群众生命健康安全和生态安全。进一步促进出口农产品质量安全保障体系的完善，挖掘扩大农产品出口潜力，帮助优势特色农产品扩大出口。</w:t>
              <w:tab/>
              <w:tab/>
              <w:tab/>
              <w:tab/>
              <w:tab/>
              <w:tab/>
              <w:tab/>
            </w:r>
          </w:p>
        </w:tc>
      </w:tr>
      <w:tr>
        <w:trPr>
          <w:trHeight w:val="600"/>
        </w:trPr>
        <w:tc>
          <w:tcPr>
            <w:tcW w:w="534" w:type="dxa"/>
            <w:vMerge w:val="restart"/>
            <w:tcBorders>
              <w:top w:val="single" w:sz="4" w:space="0" w:color="auto"/>
              <w:left w:val="single" w:sz="4" w:space="0" w:color="auto"/>
              <w:bottom w:val="single" w:sz="4" w:space="0" w:color="auto"/>
              <w:right w:val="single" w:sz="4" w:space="0" w:color="auto"/>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top w:val="single" w:sz="4" w:space="0" w:color="auto"/>
              <w:left w:val="single" w:sz="4" w:space="0" w:color="auto"/>
              <w:bottom w:val="single" w:sz="4" w:space="0" w:color="auto"/>
              <w:right w:val="single" w:sz="4" w:space="0" w:color="auto"/>
            </w:tcBorders>
            <w:shd w:val="clear" w:color="auto" w:fill="auto"/>
            <w:textDirection w:val="tbRlV"/>
            <w:vAlign w:val="center"/>
          </w:tcPr>
          <w:p/>
        </w:tc>
        <w:tc>
          <w:tcPr>
            <w:tcW w:w="123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国门生物安全宣传</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13</w:t>
            </w:r>
          </w:p>
        </w:tc>
      </w:tr>
      <w:tr>
        <w:trPr>
          <w:trHeight w:val="439"/>
        </w:trPr>
        <w:tc>
          <w:tcPr>
            <w:tcW w:w="534" w:type="dxa"/>
            <w:vMerge/>
            <w:tcBorders>
              <w:top w:val="single" w:sz="4" w:space="0" w:color="auto"/>
              <w:left w:val="single" w:sz="4" w:space="0" w:color="auto"/>
              <w:bottom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外来有害生物监测完成当年监测计划率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12</w:t>
            </w:r>
          </w:p>
        </w:tc>
      </w:tr>
      <w:tr>
        <w:trPr>
          <w:trHeight w:val="439"/>
        </w:trPr>
        <w:tc>
          <w:tcPr>
            <w:tcW w:w="534" w:type="dxa"/>
            <w:vMerge/>
            <w:tcBorders>
              <w:top w:val="single" w:sz="4" w:space="0" w:color="auto"/>
              <w:left w:val="single" w:sz="4" w:space="0" w:color="auto"/>
              <w:bottom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进出境动物疫病监测计划完成率（%）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13</w:t>
            </w:r>
          </w:p>
        </w:tc>
      </w:tr>
      <w:tr>
        <w:trPr>
          <w:trHeight w:val="439"/>
        </w:trPr>
        <w:tc>
          <w:tcPr>
            <w:tcW w:w="534" w:type="dxa"/>
            <w:vMerge/>
            <w:tcBorders>
              <w:top w:val="single" w:sz="4" w:space="0" w:color="auto"/>
              <w:left w:val="single" w:sz="4" w:space="0" w:color="auto"/>
              <w:bottom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进出口食用农产品和饲料安全风险监控当年监控计划完成率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12</w:t>
            </w:r>
          </w:p>
        </w:tc>
      </w:tr>
      <w:tr>
        <w:trPr>
          <w:trHeight w:val="600"/>
        </w:trPr>
        <w:tc>
          <w:tcPr>
            <w:tcW w:w="534" w:type="dxa"/>
            <w:vMerge/>
            <w:tcBorders>
              <w:top w:val="single" w:sz="4" w:space="0" w:color="auto"/>
              <w:left w:val="single" w:sz="4" w:space="0" w:color="auto"/>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重大突发检验检疫问题处理案件处理率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40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进出口食品及化妆品安全专项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中华人民共和国赛罕海关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5.80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5.80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组织实施对进出口食品化妆品的检验检疫监督管理；目标2.对境外发生的食品化妆品安全事件可能对我国境内造成影响，或者在接到执行管理部门通报进口食品化妆品中发现严重安全问题的，组织实施安全风险分析和紧急预防措施工作；目标3.按照总署食品局部署，开展国内外食品化妆品技术法规收集与分析，开展进出口食品化妆品安全风险信息收集、汇总工作。                                                            目标4.组织制定年度进出口食品化妆品监督抽检和风险监测计划。</w:t>
              <w:tab/>
              <w:tab/>
              <w:tab/>
              <w:tab/>
              <w:tab/>
              <w:tab/>
              <w:tab/>
              <w:tab/>
              <w:tab/>
              <w:tab/>
              <w:tab/>
            </w:r>
          </w:p>
        </w:tc>
      </w:tr>
      <w:tr>
        <w:trPr>
          <w:trHeight w:val="600"/>
        </w:trPr>
        <w:tc>
          <w:tcPr>
            <w:tcW w:w="534" w:type="dxa"/>
            <w:vMerge w:val="restart"/>
            <w:tcBorders>
              <w:top w:val="single" w:sz="4" w:space="0" w:color="auto"/>
              <w:left w:val="single" w:sz="4" w:space="0" w:color="auto"/>
              <w:right w:val="single" w:sz="4" w:space="0" w:color="auto"/>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组织进出口食品安全监管岗位培训（次）</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17</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组织制定赛罕海关内年度进出口食品化妆品监督抽检和风险监测计划（%）</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16</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当年进境动植物源性食品检疫审批正确率（%）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17</w:t>
            </w:r>
          </w:p>
        </w:tc>
      </w:tr>
      <w:tr>
        <w:trPr>
          <w:trHeight w:val="600"/>
        </w:trPr>
        <w:tc>
          <w:tcPr>
            <w:tcW w:w="534" w:type="dxa"/>
            <w:vMerge/>
            <w:tcBorders>
              <w:left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开展食品安全宣传周活动</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auto"/>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辖区企业对海关工作满意度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海关资产及专用设备运行维护费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中华人民共和国赛罕海关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15.00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15.00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通过各类装备、设备的运维，保障海关日常办公和业务设备运行维护所需支出，加强节能改造，落实过“紧日子”要求，优化海关办公与监管执法工作效率。</w:t>
              <w:tab/>
              <w:tab/>
              <w:tab/>
              <w:tab/>
              <w:tab/>
            </w:r>
          </w:p>
        </w:tc>
      </w:tr>
      <w:tr>
        <w:trPr>
          <w:trHeight w:val="600"/>
        </w:trPr>
        <w:tc>
          <w:tcPr>
            <w:tcW w:w="534" w:type="dxa"/>
            <w:vMerge w:val="restart"/>
            <w:tcBorders>
              <w:top w:val="single" w:sz="4" w:space="0" w:color="auto"/>
              <w:left w:val="single" w:sz="4" w:space="0" w:color="auto"/>
              <w:bottom w:val="single" w:sz="4" w:space="0" w:color="auto"/>
              <w:right w:val="single" w:sz="4" w:space="0" w:color="auto"/>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top w:val="single" w:sz="4" w:space="0" w:color="auto"/>
              <w:left w:val="single" w:sz="4" w:space="0" w:color="auto"/>
              <w:bottom w:val="single" w:sz="4" w:space="0" w:color="auto"/>
              <w:right w:val="single" w:sz="4" w:space="0" w:color="auto"/>
            </w:tcBorders>
            <w:shd w:val="clear" w:color="auto" w:fill="auto"/>
            <w:textDirection w:val="tbRlV"/>
            <w:vAlign w:val="center"/>
          </w:tcPr>
          <w:p/>
        </w:tc>
        <w:tc>
          <w:tcPr>
            <w:tcW w:w="123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运维业务用房或监管场所（个）</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≥1个</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12</w:t>
            </w:r>
          </w:p>
        </w:tc>
      </w:tr>
      <w:tr>
        <w:trPr>
          <w:trHeight w:val="439"/>
        </w:trPr>
        <w:tc>
          <w:tcPr>
            <w:tcW w:w="534" w:type="dxa"/>
            <w:vMerge/>
            <w:tcBorders>
              <w:top w:val="single" w:sz="4" w:space="0" w:color="auto"/>
              <w:left w:val="single" w:sz="4" w:space="0" w:color="auto"/>
              <w:bottom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运维设备数量（台/套）</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≥10（台/套）</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12</w:t>
            </w:r>
          </w:p>
        </w:tc>
      </w:tr>
      <w:tr>
        <w:trPr>
          <w:trHeight w:val="439"/>
        </w:trPr>
        <w:tc>
          <w:tcPr>
            <w:tcW w:w="534" w:type="dxa"/>
            <w:vMerge/>
            <w:tcBorders>
              <w:top w:val="single" w:sz="4" w:space="0" w:color="auto"/>
              <w:left w:val="single" w:sz="4" w:space="0" w:color="auto"/>
              <w:bottom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设备维修及时率（%）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13</w:t>
            </w:r>
          </w:p>
        </w:tc>
      </w:tr>
      <w:tr>
        <w:trPr>
          <w:trHeight w:val="439"/>
        </w:trPr>
        <w:tc>
          <w:tcPr>
            <w:tcW w:w="534" w:type="dxa"/>
            <w:vMerge/>
            <w:tcBorders>
              <w:top w:val="single" w:sz="4" w:space="0" w:color="auto"/>
              <w:left w:val="single" w:sz="4" w:space="0" w:color="auto"/>
              <w:bottom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设备正常使用率（%）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13</w:t>
            </w:r>
          </w:p>
        </w:tc>
      </w:tr>
      <w:tr>
        <w:trPr>
          <w:trHeight w:val="600"/>
        </w:trPr>
        <w:tc>
          <w:tcPr>
            <w:tcW w:w="534" w:type="dxa"/>
            <w:vMerge/>
            <w:tcBorders>
              <w:top w:val="single" w:sz="4" w:space="0" w:color="auto"/>
              <w:left w:val="single" w:sz="4" w:space="0" w:color="auto"/>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海关（关区）核心业务基础保障能力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稳定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40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海关资产及专用设备运行维护费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呼和浩特海关后勤管理中心</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37.50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37.50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目标1：保障交流干部住房的基础设施配备齐全，保障各项日常需求，提升服务质量和服务水平。</w:t>
            </w:r>
          </w:p>
          <w:p>
            <w:pPr>
              <w:widowControl/>
              <w:textAlignment w:val="center"/>
              <w:rPr>
                <w:rFonts w:ascii="宋体" w:cs="宋体"/>
                <w:color w:val="000000"/>
                <w:kern w:val="0"/>
                <w:sz w:val="22"/>
              </w:rPr>
            </w:pPr>
            <w:r>
              <w:rPr>
                <w:rFonts w:ascii="宋体" w:cs="宋体" w:hint="eastAsia"/>
                <w:color w:val="000000"/>
                <w:kern w:val="0"/>
                <w:sz w:val="22"/>
              </w:rPr>
              <w:t>目标2：保障各项设备设施的安全性，保障各项设备设施的按时维修维护和正常运行，提高海关业务保障能力，确保各项工作有序开展。</w:t>
            </w:r>
          </w:p>
        </w:tc>
      </w:tr>
      <w:tr>
        <w:trPr>
          <w:trHeight w:val="600"/>
        </w:trPr>
        <w:tc>
          <w:tcPr>
            <w:tcW w:w="534" w:type="dxa"/>
            <w:vMerge w:val="restart"/>
            <w:tcBorders>
              <w:top w:val="single" w:sz="4" w:space="0" w:color="auto"/>
              <w:left w:val="single" w:sz="4" w:space="0" w:color="auto"/>
              <w:right w:val="single" w:sz="4" w:space="0" w:color="auto"/>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交流干部住房家政服务等劳务次数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每户每周交流干部住房保洁次数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维修（护）设备设施（台）套</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更换配件合格率（%）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4</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设备正常使用率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工作时间机房巡查间隔（小时）</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≤8小时</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非工作时间机房巡查间隔（小时）</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≤12小时</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w:t>
            </w:r>
          </w:p>
        </w:tc>
      </w:tr>
      <w:tr>
        <w:trPr>
          <w:trHeight w:val="600"/>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val="restart"/>
            <w:tcBorders>
              <w:top w:val="single" w:sz="4" w:space="0" w:color="auto"/>
              <w:left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降低单位管理及运营成本</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增加社会就业人数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≥1人</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auto"/>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服务对象满意度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国门生物安全专项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中华人民共和国阿拉善海关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3.00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3.00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加强国门生物安全保障，将从根本上解决口岸日益增大的禁止进境动植物及其产品截获量与国门生物安全收到威胁之间的矛盾，提高疫情疫病检出率，更好的监测蒙古国和国内的疫情，防止动植物疫情和病媒生物的传入和传出，应对可能开展的业务，推动地方经济发展。</w:t>
            </w:r>
          </w:p>
        </w:tc>
      </w:tr>
      <w:tr>
        <w:trPr>
          <w:trHeight w:val="600"/>
        </w:trPr>
        <w:tc>
          <w:tcPr>
            <w:tcW w:w="534" w:type="dxa"/>
            <w:vMerge w:val="restart"/>
            <w:tcBorders>
              <w:top w:val="single" w:sz="4" w:space="0" w:color="auto"/>
              <w:left w:val="single" w:sz="4" w:space="0" w:color="auto"/>
              <w:right w:val="single" w:sz="4" w:space="0" w:color="auto"/>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开展国门生物安全培训或宣传次数</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外来有害生物监测计划完成率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7.5</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国门生物安全培训合格率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7.5</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按时监测任务完成率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val="restart"/>
            <w:tcBorders>
              <w:top w:val="single" w:sz="4" w:space="0" w:color="auto"/>
              <w:left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经济效益指标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检验检疫技术保障社会安全能力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稳定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监测任务的风险防控能力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稳定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auto"/>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服务企业满意度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海关缉私办案费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中华人民共和国阿拉善海关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0.50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0.50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目标1：开展辖区内出口备案食品生产企业联合抽查工作；目标2：开展辖区内属地查检相关工作。</w:t>
              <w:tab/>
              <w:tab/>
              <w:tab/>
              <w:tab/>
            </w:r>
          </w:p>
        </w:tc>
      </w:tr>
      <w:tr>
        <w:trPr>
          <w:trHeight w:val="600"/>
        </w:trPr>
        <w:tc>
          <w:tcPr>
            <w:tcW w:w="534" w:type="dxa"/>
            <w:vMerge w:val="restart"/>
            <w:tcBorders>
              <w:top w:val="single" w:sz="4" w:space="0" w:color="auto"/>
              <w:left w:val="single" w:sz="4" w:space="0" w:color="auto"/>
              <w:right w:val="single" w:sz="4" w:space="0" w:color="auto"/>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完成稽核查辖区企业数量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=1家</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完成辖区进出口企业稽核查项目</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完成辖区属地查检数量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开展稽核查、属地查检培训</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≥2次</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辖区内进出口食品企业安全事故发生率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1%</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auto"/>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进出口食品企业满意度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进出口商品质量安全检验监管专项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中华人民共和国阿拉善海关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7.00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7.00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依据《中华人民共和国进出口商品检验法》及其实施条例等法律法规，保障我关履行进出口商品检验监管职能，完善进出口商品质量安全监管制度和做好进出口商品检验监管工作，着力提升进口商品质量安全保障水平和出口商品质量竞争水平，维护国门安全。</w:t>
            </w:r>
          </w:p>
        </w:tc>
      </w:tr>
      <w:tr>
        <w:trPr>
          <w:trHeight w:val="600"/>
        </w:trPr>
        <w:tc>
          <w:tcPr>
            <w:tcW w:w="534" w:type="dxa"/>
            <w:vMerge w:val="restart"/>
            <w:tcBorders>
              <w:top w:val="single" w:sz="4" w:space="0" w:color="auto"/>
              <w:left w:val="single" w:sz="4" w:space="0" w:color="auto"/>
              <w:right w:val="single" w:sz="4" w:space="0" w:color="auto"/>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进出口法检商品检验批次数量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≥98批</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风险监测获取的有效信息数量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≥98项</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按规范对出口不合格工业产品退运追溯调查完成率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开展进出口商品监督抽查工作</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val="restart"/>
            <w:tcBorders>
              <w:top w:val="single" w:sz="4" w:space="0" w:color="auto"/>
              <w:left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保障人民生命健康安全有力有效</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有效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left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生态效益指标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对进出口危险化学品及包装检验不合格处置率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≥99%</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auto"/>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服务企业满意度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≥90%</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海关资产及专用设备运行维护费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中华人民共和国阿拉善海关</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18.00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18.00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通过各类装备、设备的运维提高海关监管工作效率，缓解海关人力资源不足与日益增长的监管工作量之间的矛盾、提升海关科技监管含量，提升海关装备设备现代化、科技化水平，优化海关监管与服务。</w:t>
            </w:r>
          </w:p>
        </w:tc>
      </w:tr>
      <w:tr>
        <w:trPr>
          <w:trHeight w:val="600"/>
        </w:trPr>
        <w:tc>
          <w:tcPr>
            <w:tcW w:w="534" w:type="dxa"/>
            <w:vMerge w:val="restart"/>
            <w:tcBorders>
              <w:top w:val="single" w:sz="4" w:space="0" w:color="auto"/>
              <w:left w:val="single" w:sz="4" w:space="0" w:color="auto"/>
              <w:right w:val="single" w:sz="4" w:space="0" w:color="auto"/>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运维专用设备数量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≥30台/套</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运维通用设备数量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≥50台/套</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设备正常使用率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大型设备维修及时率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val="restart"/>
            <w:tcBorders>
              <w:top w:val="single" w:sz="4" w:space="0" w:color="auto"/>
              <w:left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核心业务基础保障能力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稳定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left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监管工作效率提高</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提高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auto"/>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服务企业满意度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海关资产及专用设备运行维护费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呼和浩特海关技术中心</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w:t>
            </w:r>
            <w:r>
              <w:rPr>
                <w:rFonts w:ascii="宋体" w:cs="宋体" w:hint="eastAsia"/>
                <w:color w:val="000000"/>
                <w:kern w:val="0"/>
                <w:sz w:val="22"/>
              </w:rPr>
              <w:t>5</w:t>
            </w:r>
            <w:r>
              <w:rPr>
                <w:rFonts w:ascii="宋体" w:cs="宋体"/>
                <w:color w:val="000000"/>
                <w:kern w:val="0"/>
                <w:sz w:val="22"/>
              </w:rPr>
              <w:t>.00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w:t>
            </w:r>
            <w:r>
              <w:rPr>
                <w:rFonts w:ascii="宋体" w:cs="宋体" w:hint="eastAsia"/>
                <w:color w:val="000000"/>
                <w:kern w:val="0"/>
                <w:sz w:val="22"/>
              </w:rPr>
              <w:t>5</w:t>
            </w:r>
            <w:r>
              <w:rPr>
                <w:rFonts w:ascii="宋体" w:cs="宋体"/>
                <w:color w:val="000000"/>
                <w:kern w:val="0"/>
                <w:sz w:val="22"/>
              </w:rPr>
              <w:t>.00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目标1：通过各类装备、设备的运维，提高海关监管工作效率，缓解海关人力资源不足与日益增长的监管工作量之间的矛盾，提升海关监管科技含量，提升海关装备设备现代化、科技化水平，优化海关缉监管与服务。保障实验室仪器正常运行，实验室检测不因仪器故障造成检测不及时及停滞。</w:t>
            </w:r>
          </w:p>
          <w:p>
            <w:pPr>
              <w:widowControl/>
              <w:textAlignment w:val="center"/>
              <w:rPr>
                <w:rFonts w:ascii="宋体" w:cs="宋体"/>
                <w:color w:val="000000"/>
                <w:kern w:val="0"/>
                <w:sz w:val="22"/>
              </w:rPr>
            </w:pPr>
          </w:p>
          <w:p>
            <w:pPr>
              <w:widowControl/>
              <w:textAlignment w:val="center"/>
              <w:rPr>
                <w:rFonts w:ascii="宋体" w:cs="宋体"/>
                <w:color w:val="000000"/>
                <w:kern w:val="0"/>
                <w:sz w:val="22"/>
              </w:rPr>
            </w:pPr>
            <w:r>
              <w:rPr>
                <w:rFonts w:ascii="宋体" w:cs="宋体" w:hint="eastAsia"/>
                <w:color w:val="000000"/>
                <w:kern w:val="0"/>
                <w:sz w:val="22"/>
              </w:rPr>
              <w:t xml:space="preserve">目标2：完成对新海关系统亟需立即进行的检验检疫实验室技术仪器设备的修缮和必要维护，以消除安全隐患，根据工作需要恢复完善技术业务用房必要功能，以保障海关行使法定职能的必要条件。                                                                                                   </w:t>
            </w:r>
          </w:p>
          <w:p>
            <w:pPr>
              <w:widowControl/>
              <w:textAlignment w:val="center"/>
              <w:rPr>
                <w:rFonts w:ascii="宋体" w:cs="宋体"/>
                <w:color w:val="000000"/>
                <w:kern w:val="0"/>
                <w:sz w:val="22"/>
              </w:rPr>
            </w:pPr>
          </w:p>
          <w:p>
            <w:pPr>
              <w:widowControl/>
              <w:textAlignment w:val="center"/>
              <w:rPr>
                <w:rFonts w:ascii="宋体" w:cs="宋体"/>
                <w:color w:val="000000"/>
                <w:kern w:val="0"/>
                <w:sz w:val="22"/>
              </w:rPr>
            </w:pPr>
            <w:r>
              <w:rPr>
                <w:rFonts w:ascii="宋体" w:cs="宋体" w:hint="eastAsia"/>
                <w:color w:val="000000"/>
                <w:kern w:val="0"/>
                <w:sz w:val="22"/>
              </w:rPr>
              <w:t>目标3：确保实验室仪器故障能够得到及时维修，保障高效及时完成法检任务，为海关执法提供有力的支撑。</w:t>
            </w:r>
          </w:p>
        </w:tc>
      </w:tr>
      <w:tr>
        <w:trPr>
          <w:trHeight w:val="600"/>
        </w:trPr>
        <w:tc>
          <w:tcPr>
            <w:tcW w:w="534" w:type="dxa"/>
            <w:vMerge w:val="restart"/>
            <w:tcBorders>
              <w:top w:val="single" w:sz="4" w:space="0" w:color="auto"/>
              <w:left w:val="single" w:sz="4" w:space="0" w:color="auto"/>
              <w:right w:val="single" w:sz="4" w:space="0" w:color="auto"/>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运维100万以上设备数量（台/套）</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≥5台/套</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运维100万以下设备数量（台/套）</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≥10台/套</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设备正常使用率（%）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大型设备维修及时率（%）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r>
        <w:trPr>
          <w:trHeight w:val="600"/>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val="restart"/>
            <w:tcBorders>
              <w:top w:val="single" w:sz="4" w:space="0" w:color="auto"/>
              <w:left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关区基础保障能力</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 xml:space="preserve"> 稳定 </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left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生态效益指标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设备节能要求达标率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auto"/>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设备、房屋使用人满意度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sectPr>
          <w:pgSz w:w="11906" w:h="16838"/>
          <w:pgMar w:top="1440" w:right="1800" w:bottom="1440" w:left="1800" w:header="851" w:footer="992" w:gutter="0"/>
          <w:docGrid w:type="lines" w:linePitch="312" w:charSpace="0"/>
        </w:sectPr>
      </w:pPr>
    </w:p>
    <w:tbl>
      <w:tblPr>
        <w:jc w:val="center"/>
        <w:tblW w:w="985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34"/>
        <w:gridCol w:w="1236"/>
        <w:gridCol w:w="1941"/>
        <w:gridCol w:w="942"/>
        <w:gridCol w:w="2020"/>
        <w:gridCol w:w="2020"/>
        <w:gridCol w:w="1160"/>
      </w:tblGrid>
      <w:tr>
        <w:trPr>
          <w:trHeight w:val="702"/>
        </w:trPr>
        <w:tc>
          <w:tcPr>
            <w:tcW w:w="9853" w:type="dxa"/>
            <w:gridSpan w:val="7"/>
            <w:tcBorders>
              <w:top w:val="nil"/>
              <w:left w:val="nil"/>
              <w:bottom w:val="nil"/>
              <w:right w:val="nil"/>
            </w:tcBorders>
            <w:shd w:val="clear" w:color="auto" w:fill="auto"/>
            <w:vAlign w:val="center"/>
          </w:tcPr>
          <w:p>
            <w:pPr>
              <w:widowControl/>
              <w:jc w:val="center"/>
              <w:textAlignment w:val="center"/>
              <w:rPr>
                <w:rFonts w:ascii="黑体" w:eastAsia="黑体" w:cs="黑体"/>
                <w:color w:val="000000"/>
                <w:sz w:val="40"/>
                <w:szCs w:val="40"/>
              </w:rPr>
            </w:pPr>
            <w:r>
              <w:rPr>
                <w:rFonts w:ascii="黑体" w:eastAsia="黑体" w:cs="黑体" w:hint="eastAsia"/>
                <w:color w:val="000000"/>
                <w:kern w:val="0"/>
                <w:sz w:val="40"/>
                <w:szCs w:val="40"/>
              </w:rPr>
              <w:t>项目绩效目标表</w:t>
            </w:r>
          </w:p>
        </w:tc>
      </w:tr>
      <w:tr>
        <w:trPr>
          <w:trHeight w:val="499"/>
        </w:trPr>
        <w:tc>
          <w:tcPr>
            <w:tcW w:w="9853" w:type="dxa"/>
            <w:gridSpan w:val="7"/>
            <w:tcBorders>
              <w:top w:val="nil"/>
              <w:left w:val="nil"/>
              <w:bottom w:val="nil"/>
              <w:right w:val="nil"/>
            </w:tcBorders>
            <w:shd w:val="clear" w:color="auto" w:fill="auto"/>
          </w:tcPr>
          <w:p>
            <w:pPr>
              <w:widowControl/>
              <w:jc w:val="center"/>
              <w:textAlignment w:val="top"/>
              <w:rPr>
                <w:rFonts w:ascii="宋体" w:cs="宋体"/>
                <w:color w:val="000000"/>
                <w:sz w:val="24"/>
                <w:szCs w:val="24"/>
              </w:rPr>
            </w:pPr>
            <w:r>
              <w:rPr>
                <w:rFonts w:ascii="宋体" w:cs="宋体" w:hint="eastAsia"/>
                <w:color w:val="000000"/>
                <w:kern w:val="0"/>
                <w:sz w:val="24"/>
                <w:szCs w:val="24"/>
              </w:rPr>
              <w:t>（2023年度）</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项目名称</w:t>
            </w:r>
          </w:p>
        </w:tc>
        <w:tc>
          <w:tcPr>
            <w:tcW w:w="80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海关资产及专用设备运行维护费</w:t>
            </w:r>
          </w:p>
        </w:tc>
      </w:tr>
      <w:tr>
        <w:trPr>
          <w:trHeight w:val="439"/>
        </w:trPr>
        <w:tc>
          <w:tcPr>
            <w:tcW w:w="17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主管部门及代码</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[167]海关总署</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实施单位</w:t>
            </w:r>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呼和浩特国际旅行卫生保健中心(呼和浩特海关口岸门诊部）</w:t>
            </w:r>
          </w:p>
        </w:tc>
      </w:tr>
      <w:tr>
        <w:trPr>
          <w:trHeight w:val="439"/>
        </w:trPr>
        <w:tc>
          <w:tcPr>
            <w:tcW w:w="177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项目资金</w:t>
              <w:br/>
              <w:t>（万元）</w:t>
            </w: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textAlignment w:val="center"/>
              <w:rPr>
                <w:rFonts w:ascii="宋体" w:cs="宋体"/>
                <w:color w:val="000000"/>
                <w:sz w:val="22"/>
              </w:rPr>
            </w:pPr>
            <w:r>
              <w:rPr>
                <w:rFonts w:ascii="宋体" w:cs="宋体" w:hint="eastAsia"/>
                <w:color w:val="000000"/>
                <w:kern w:val="0"/>
                <w:sz w:val="22"/>
              </w:rPr>
              <w:t xml:space="preserve"> 年度资金总额：</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11.20</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执行率</w:t>
              <w:br/>
              <w:t>分值（10）</w:t>
            </w: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其中：财政拨款</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r>
              <w:rPr>
                <w:rFonts w:ascii="宋体" w:cs="宋体"/>
                <w:color w:val="000000"/>
                <w:kern w:val="0"/>
                <w:sz w:val="22"/>
              </w:rPr>
              <w:t>11.20</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上年结转</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39"/>
        </w:trPr>
        <w:tc>
          <w:tcPr>
            <w:tcW w:w="177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883"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其他资金</w:t>
            </w:r>
          </w:p>
        </w:tc>
        <w:tc>
          <w:tcPr>
            <w:tcW w:w="40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 xml:space="preserve"> </w:t>
            </w: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599"/>
        </w:trPr>
        <w:tc>
          <w:tcPr>
            <w:tcW w:w="534" w:type="dxa"/>
            <w:tcBorders>
              <w:top w:val="single" w:sz="4" w:space="0" w:color="000000"/>
              <w:left w:val="single" w:sz="4" w:space="0" w:color="000000"/>
              <w:bottom w:val="single" w:sz="4" w:space="0" w:color="auto"/>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年</w:t>
              <w:br/>
              <w:t>度</w:t>
              <w:br/>
              <w:t>总</w:t>
              <w:br/>
              <w:t>体</w:t>
              <w:br/>
              <w:t>目</w:t>
              <w:br/>
              <w:t>标</w:t>
            </w:r>
          </w:p>
        </w:tc>
        <w:tc>
          <w:tcPr>
            <w:tcW w:w="93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textAlignment w:val="center"/>
              <w:rPr>
                <w:rFonts w:ascii="宋体" w:cs="宋体"/>
                <w:color w:val="000000"/>
                <w:kern w:val="0"/>
                <w:sz w:val="22"/>
              </w:rPr>
            </w:pPr>
            <w:r>
              <w:rPr>
                <w:rFonts w:ascii="宋体" w:cs="宋体" w:hint="eastAsia"/>
                <w:color w:val="000000"/>
                <w:kern w:val="0"/>
                <w:sz w:val="22"/>
              </w:rPr>
              <w:t>通过对保健中心实验室仪器设备的投入提升海关相关检测能力，解决现有检测能力不适应检测业务需求的问题。</w:t>
            </w:r>
          </w:p>
        </w:tc>
      </w:tr>
      <w:tr>
        <w:trPr>
          <w:trHeight w:val="600"/>
        </w:trPr>
        <w:tc>
          <w:tcPr>
            <w:tcW w:w="534" w:type="dxa"/>
            <w:vMerge w:val="restart"/>
            <w:tcBorders>
              <w:top w:val="single" w:sz="4" w:space="0" w:color="auto"/>
              <w:left w:val="single" w:sz="4" w:space="0" w:color="auto"/>
              <w:right w:val="single" w:sz="4" w:space="0" w:color="auto"/>
            </w:tcBorders>
            <w:shd w:val="clear" w:color="auto" w:fill="auto"/>
            <w:textDirection w:val="tbRlV"/>
            <w:vAlign w:val="center"/>
          </w:tcPr>
          <w:p>
            <w:pPr>
              <w:widowControl/>
              <w:jc w:val="center"/>
              <w:textAlignment w:val="center"/>
              <w:rPr>
                <w:rFonts w:ascii="宋体" w:cs="宋体"/>
                <w:color w:val="000000"/>
                <w:sz w:val="22"/>
              </w:rPr>
            </w:pPr>
            <w:r>
              <w:rPr>
                <w:rFonts w:ascii="宋体" w:cs="宋体" w:hint="eastAsia"/>
                <w:color w:val="000000"/>
                <w:kern w:val="0"/>
                <w:sz w:val="22"/>
              </w:rPr>
              <w:t>绩效指标</w:t>
            </w: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一级指标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二级指标</w:t>
            </w:r>
          </w:p>
        </w:tc>
        <w:tc>
          <w:tcPr>
            <w:tcW w:w="2962"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三级指标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指标值</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分值权重</w:t>
              <w:br/>
              <w:t>（90）</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jc w:val="center"/>
              <w:textAlignment w:val="center"/>
              <w:rPr>
                <w:rFonts w:ascii="宋体" w:cs="宋体"/>
                <w:color w:val="000000"/>
                <w:kern w:val="0"/>
                <w:sz w:val="22"/>
              </w:rPr>
            </w:pPr>
            <w:r>
              <w:rPr>
                <w:rFonts w:ascii="宋体" w:cs="宋体" w:hint="eastAsia"/>
                <w:color w:val="000000"/>
                <w:kern w:val="0"/>
                <w:sz w:val="22"/>
              </w:rPr>
              <w:t>产出指标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数量指标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运维专用设备数量</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≥8台/套</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20</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质量指标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维修合格率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≥95%</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439"/>
        </w:trPr>
        <w:tc>
          <w:tcPr>
            <w:tcW w:w="534" w:type="dxa"/>
            <w:vMerge/>
            <w:tcBorders>
              <w:left w:val="single" w:sz="4" w:space="0" w:color="auto"/>
              <w:right w:val="single" w:sz="4" w:space="0" w:color="auto"/>
            </w:tcBorders>
            <w:shd w:val="clear" w:color="auto" w:fill="auto"/>
            <w:textDirection w:val="tbRlV"/>
            <w:vAlign w:val="center"/>
          </w:tcPr>
          <w:p/>
        </w:tc>
        <w:tc>
          <w:tcPr>
            <w:tcW w:w="123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时效指标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仪器设备验收及时率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15</w:t>
            </w:r>
          </w:p>
        </w:tc>
      </w:tr>
      <w:tr>
        <w:trPr>
          <w:trHeight w:val="600"/>
        </w:trPr>
        <w:tc>
          <w:tcPr>
            <w:tcW w:w="534" w:type="dxa"/>
            <w:vMerge/>
            <w:tcBorders>
              <w:left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right w:val="single" w:sz="4" w:space="0" w:color="auto"/>
            </w:tcBorders>
            <w:shd w:val="clear" w:color="auto" w:fill="auto"/>
            <w:vAlign w:val="center"/>
          </w:tcPr>
          <w:p>
            <w:pPr>
              <w:widowControl/>
              <w:jc w:val="center"/>
              <w:textAlignment w:val="center"/>
              <w:rPr>
                <w:rFonts w:ascii="宋体" w:cs="宋体"/>
                <w:color w:val="000000"/>
                <w:sz w:val="22"/>
              </w:rPr>
            </w:pPr>
            <w:r>
              <w:rPr>
                <w:rFonts w:ascii="宋体" w:cs="宋体" w:hint="eastAsia"/>
                <w:color w:val="000000"/>
                <w:kern w:val="0"/>
                <w:sz w:val="22"/>
              </w:rPr>
              <w:t>效益指标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社会效益指标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检测结果社会认可率</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30</w:t>
            </w:r>
          </w:p>
        </w:tc>
      </w:tr>
      <w:tr>
        <w:trPr>
          <w:trHeight w:val="600"/>
        </w:trPr>
        <w:tc>
          <w:tcPr>
            <w:tcW w:w="534" w:type="dxa"/>
            <w:vMerge/>
            <w:tcBorders>
              <w:left w:val="single" w:sz="4" w:space="0" w:color="auto"/>
              <w:bottom w:val="single" w:sz="4" w:space="0" w:color="auto"/>
              <w:right w:val="single" w:sz="4" w:space="0" w:color="auto"/>
            </w:tcBorders>
            <w:shd w:val="clear" w:color="auto" w:fill="auto"/>
            <w:textDirection w:val="tbRlV"/>
            <w:vAlign w:val="center"/>
          </w:tcPr>
          <w:p/>
        </w:tc>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center"/>
              <w:rPr>
                <w:rFonts w:ascii="宋体" w:cs="宋体"/>
                <w:color w:val="000000"/>
                <w:kern w:val="0"/>
                <w:sz w:val="22"/>
              </w:rPr>
            </w:pPr>
            <w:r>
              <w:rPr>
                <w:rFonts w:ascii="宋体" w:cs="宋体" w:hint="eastAsia"/>
                <w:color w:val="000000"/>
                <w:kern w:val="0"/>
                <w:sz w:val="22"/>
              </w:rPr>
              <w:t>满意度指标</w:t>
            </w:r>
          </w:p>
        </w:tc>
        <w:tc>
          <w:tcPr>
            <w:tcW w:w="1941" w:type="dxa"/>
            <w:tcBorders>
              <w:top w:val="single" w:sz="4" w:space="0" w:color="000000"/>
              <w:left w:val="single" w:sz="4" w:space="0" w:color="auto"/>
              <w:bottom w:val="single" w:sz="4" w:space="0" w:color="000000"/>
              <w:right w:val="single" w:sz="4" w:space="0" w:color="000000"/>
            </w:tcBorders>
            <w:shd w:val="clear" w:color="auto" w:fill="auto"/>
            <w:vAlign w:val="center"/>
          </w:tcPr>
          <w:p>
            <w:pPr>
              <w:rPr>
                <w:rFonts w:ascii="宋体" w:cs="宋体"/>
                <w:sz w:val="24"/>
                <w:szCs w:val="24"/>
              </w:rPr>
            </w:pPr>
            <w:r>
              <w:rPr>
                <w:rFonts w:hint="eastAsia"/>
              </w:rPr>
              <w:t>服务对象满意度指标</w:t>
            </w:r>
          </w:p>
        </w:tc>
        <w:tc>
          <w:tcPr>
            <w:tcW w:w="2962" w:type="dxa"/>
            <w:gridSpan w:val="2"/>
            <w:tcBorders>
              <w:top w:val="single" w:sz="4" w:space="0" w:color="000000"/>
              <w:left w:val="nil"/>
              <w:bottom w:val="single" w:sz="4" w:space="0" w:color="000000"/>
              <w:right w:val="nil"/>
            </w:tcBorders>
            <w:shd w:val="clear" w:color="auto" w:fill="auto"/>
            <w:vAlign w:val="center"/>
          </w:tcPr>
          <w:p>
            <w:pPr>
              <w:rPr>
                <w:rFonts w:ascii="宋体" w:cs="宋体"/>
                <w:sz w:val="24"/>
                <w:szCs w:val="24"/>
              </w:rPr>
            </w:pPr>
            <w:r>
              <w:rPr>
                <w:rFonts w:hint="eastAsia"/>
              </w:rPr>
              <w:t>服务对象对检验检疫满意度</w:t>
            </w:r>
          </w:p>
        </w:tc>
        <w:tc>
          <w:tcPr>
            <w:tcW w:w="202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≥98%</w:t>
            </w: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cs="宋体"/>
                <w:sz w:val="24"/>
                <w:szCs w:val="24"/>
              </w:rPr>
            </w:pPr>
            <w:r>
              <w:rPr>
                <w:rFonts w:hint="eastAsia"/>
              </w:rPr>
              <w:t>10</w:t>
            </w:r>
          </w:p>
        </w:tc>
      </w:tr>
    </w:tbl>
    <w:p>
      <w:pPr>
        <w:jc w:val="left"/>
        <w:rPr>
          <w:rFonts w:ascii="Times New Roman" w:eastAsia="方正仿宋_GBK" w:hAnsi="Times New Roman"/>
          <w:sz w:val="32"/>
          <w:szCs w:val="32"/>
        </w:rPr>
      </w:pP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黑体_GBK">
    <w:panose1 w:val="03000509000000000000"/>
    <w:charset w:val="86"/>
    <w:family w:val="script"/>
    <w:pitch w:val="variable"/>
    <w:sig w:usb0="00000001" w:usb1="080E0000" w:usb2="00000010" w:usb3="00000000" w:csb0="00040000" w:csb1="00000000"/>
  </w:font>
  <w:font w:name="黑体">
    <w:altName w:val="SimHei"/>
    <w:panose1 w:val="02010600030101010101"/>
    <w:charset w:val="86"/>
    <w:family w:val="auto"/>
    <w:pitch w:val="variable"/>
    <w:sig w:usb0="800002BF" w:usb1="38CF7CFA" w:usb2="00000016" w:usb3="00000000" w:csb0="00040001" w:csb1="00000000"/>
  </w:font>
  <w:font w:name="方正楷体_GBK">
    <w:panose1 w:val="03000509000000000000"/>
    <w:charset w:val="86"/>
    <w:family w:val="script"/>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5"/>
      <w:tabs>
        <w:tab w:val="center" w:pos="4153"/>
        <w:tab w:val="right" w:pos="8307"/>
      </w:tabs>
      <w:jc w:val="center"/>
    </w:pPr>
    <w:r>
      <w:t xml:space="preserve">- </w:t>
    </w:r>
    <w:r>
      <w:fldChar w:fldCharType="begin"/>
    </w:r>
    <w:r>
      <w:instrText>PAGE</w:instrText>
    </w:r>
    <w:r>
      <w:fldChar w:fldCharType="separate"/>
    </w:r>
    <w:r>
      <w:t>26</w:t>
    </w:r>
    <w:r>
      <w:fldChar w:fldCharType="end"/>
    </w:r>
    <w:r>
      <w:t xml:space="preserve"> -</w:t>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bordersDoNotSurroundHeader/>
  <w:bordersDoNotSurroundFooter/>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ulTrailSpace/>
    <w:doNotExpandShiftReturn/>
    <w:adjustLineHeightInTable/>
    <w:growAutofit/>
    <w:doNotUseIndentAsNumberingTabStop/>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character" w:default="1" w:styleId="10">
    <w:name w:val="Default Paragraph Font"/>
  </w:style>
  <w:style w:type="paragraph" w:styleId="15">
    <w:name w:val="footer"/>
    <w:basedOn w:val="0"/>
    <w:pPr>
      <w:tabs>
        <w:tab w:val="center" w:pos="4153"/>
        <w:tab w:val="right" w:pos="8307"/>
      </w:tabs>
      <w:snapToGrid w:val="0"/>
      <w:jc w:val="left"/>
    </w:pPr>
    <w:rPr>
      <w:sz w:val="18"/>
    </w:rPr>
  </w:style>
  <w:style w:type="paragraph" w:styleId="16">
    <w:name w:val="header"/>
    <w:basedOn w:val="0"/>
    <w:pPr>
      <w:tabs>
        <w:tab w:val="center" w:pos="4153"/>
        <w:tab w:val="right" w:pos="8306"/>
      </w:tabs>
      <w:snapToGrid w:val="0"/>
    </w:pPr>
    <w:rPr>
      <w:sz w:val="18"/>
    </w:rPr>
  </w:style>
  <w:style w:type="character" w:styleId="17">
    <w:name w:val="page number"/>
    <w:basedOn w:val="10"/>
  </w:style>
  <w:style w:type="paragraph" w:customStyle="1" w:styleId="18">
    <w:name w:val="样式 4 10 磅"/>
    <w:basedOn w:val="0"/>
    <w:rPr>
      <w:rFonts w:ascii="Times New Roman" w:cs="Times New Roman" w:hAnsi="Times New Roman"/>
      <w:szCs w:val="21"/>
    </w:rPr>
  </w:style>
  <w:style w:type="paragraph" w:customStyle="1" w:styleId="19">
    <w:name w:val="样式 51 10 磅"/>
    <w:basedOn w:val="0"/>
    <w:rPr>
      <w:rFonts w:ascii="Times New Roman" w:cs="Times New Roman" w:hAnsi="Times New Roman"/>
      <w:szCs w:val="21"/>
    </w:rPr>
  </w:style>
  <w:style w:type="paragraph" w:customStyle="1" w:styleId="20">
    <w:name w:val="样式 36 10 磅"/>
    <w:basedOn w:val="0"/>
    <w:rPr>
      <w:rFonts w:ascii="Times New Roman" w:cs="Times New Roman" w:hAnsi="Times New Roman"/>
      <w:szCs w:val="21"/>
    </w:rPr>
  </w:style>
  <w:style w:type="paragraph" w:customStyle="1" w:styleId="21">
    <w:name w:val="样式 49 10 磅"/>
    <w:basedOn w:val="0"/>
    <w:rPr>
      <w:rFonts w:ascii="Times New Roman" w:cs="Times New Roman" w:hAnsi="Times New Roman"/>
      <w:szCs w:val="21"/>
    </w:rPr>
  </w:style>
  <w:style w:type="character" w:customStyle="1" w:styleId="22">
    <w:name w:val="font41"/>
    <w:basedOn w:val="10"/>
    <w:rPr>
      <w:rFonts w:ascii="宋体" w:eastAsia="宋体" w:cs="宋体"/>
      <w:color w:val="000000"/>
      <w:sz w:val="22"/>
      <w:szCs w:val="22"/>
      <w:u w:val="none"/>
    </w:rPr>
  </w:style>
  <w:style w:type="character" w:customStyle="1" w:styleId="23">
    <w:name w:val="font61"/>
    <w:basedOn w:val="10"/>
    <w:rPr>
      <w:rFonts w:ascii="宋体" w:eastAsia="宋体" w:cs="宋体"/>
      <w:color w:val="000000"/>
      <w:sz w:val="22"/>
      <w:szCs w:val="22"/>
      <w:u w:val="none"/>
    </w:rPr>
  </w:style>
  <w:style w:type="character" w:customStyle="1" w:styleId="24">
    <w:name w:val="font71"/>
    <w:basedOn w:val="10"/>
    <w:rPr>
      <w:rFonts w:ascii="Times New Roman" w:cs="Times New Roman" w:hAnsi="Times New Roman"/>
      <w:color w:val="000000"/>
      <w:sz w:val="22"/>
      <w:szCs w:val="22"/>
      <w:u w:val="none"/>
    </w:rPr>
  </w:style>
  <w:style w:type="character" w:customStyle="1" w:styleId="25">
    <w:name w:val="font51"/>
    <w:basedOn w:val="10"/>
    <w:rPr>
      <w:rFonts w:ascii="宋体" w:eastAsia="宋体" w:cs="宋体"/>
      <w:color w:val="000000"/>
      <w:sz w:val="22"/>
      <w:szCs w:val="22"/>
      <w:u w:val="none"/>
    </w:rPr>
  </w:style>
  <w:style w:type="character" w:customStyle="1" w:styleId="26">
    <w:name w:val="font01"/>
    <w:basedOn w:val="10"/>
    <w:rPr>
      <w:rFonts w:ascii="宋体" w:eastAsia="宋体" w:cs="宋体"/>
      <w:color w:val="000000"/>
      <w:sz w:val="22"/>
      <w:szCs w:val="22"/>
      <w:u w:val="none"/>
    </w:rPr>
  </w:style>
  <w:style w:type="paragraph" w:customStyle="1" w:styleId="27">
    <w:name w:val="样式 2 10 磅"/>
    <w:basedOn w:val="0"/>
    <w:rPr>
      <w:rFonts w:ascii="Times New Roman" w:cs="Times New Roman" w:hAnsi="Times New Roman"/>
      <w:szCs w:val="21"/>
    </w:rPr>
  </w:style>
  <w:style w:type="paragraph" w:customStyle="1" w:styleId="28">
    <w:name w:val="样式 1 10 磅"/>
    <w:basedOn w:val="0"/>
    <w:rPr>
      <w:rFonts w:ascii="Times New Roman" w:cs="Times New Roman" w:hAnsi="Times New Roman"/>
      <w:szCs w:val="21"/>
    </w:rPr>
  </w:style>
  <w:style w:type="paragraph" w:styleId="29">
    <w:name w:val="Balloon Text"/>
    <w:basedOn w:val="0"/>
    <w:rPr>
      <w:sz w:val="18"/>
      <w:szCs w:val="18"/>
    </w:rPr>
  </w:style>
  <w:style w:type="paragraph" w:customStyle="1" w:styleId="30">
    <w:name w:val="样式 10 磅"/>
    <w:pPr>
      <w:widowControl w:val="0"/>
      <w:jc w:val="both"/>
    </w:pPr>
    <w:rPr>
      <w:rFonts w:ascii="Times New Roman" w:eastAsia="宋体" w:cs="Times New Roman" w:hAnsi="Times New Roman"/>
      <w:kern w:val="2"/>
      <w:sz w:val="21"/>
      <w:szCs w:val="21"/>
      <w:lang w:val="en-US" w:eastAsia="zh-CN" w:bidi="ar-SA"/>
    </w:rPr>
  </w:style>
  <w:style w:type="paragraph" w:customStyle="1" w:styleId="31">
    <w:name w:val="样式 3 10 磅"/>
    <w:pPr>
      <w:widowControl w:val="0"/>
      <w:jc w:val="both"/>
    </w:pPr>
    <w:rPr>
      <w:rFonts w:ascii="Calibri" w:eastAsia="宋体" w:cs="Arial" w:hAnsi="Calibri"/>
      <w:kern w:val="2"/>
      <w:sz w:val="21"/>
      <w:szCs w:val="22"/>
      <w:lang w:val="en-US" w:eastAsia="zh-CN" w:bidi="ar-SA"/>
    </w:rPr>
  </w:style>
  <w:style w:type="paragraph" w:customStyle="1" w:styleId="32">
    <w:name w:val="样式 5 10 磅"/>
    <w:pPr>
      <w:widowControl w:val="0"/>
      <w:jc w:val="both"/>
    </w:pPr>
    <w:rPr>
      <w:rFonts w:ascii="Calibri" w:eastAsia="宋体" w:cs="Arial" w:hAnsi="Calibri"/>
      <w:kern w:val="2"/>
      <w:sz w:val="21"/>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jpeg"/><Relationship Id="rId3" Type="http://schemas.openxmlformats.org/officeDocument/2006/relationships/footer" Target="footer1.xml"/><Relationship Id="rId4" Type="http://schemas.openxmlformats.org/officeDocument/2006/relationships/image" Target="media/5.png"/><Relationship Id="rId5" Type="http://schemas.openxmlformats.org/officeDocument/2006/relationships/image" Target="media/8.png"/><Relationship Id="rId6" Type="http://schemas.openxmlformats.org/officeDocument/2006/relationships/image" Target="media/11.png"/><Relationship Id="rId7" Type="http://schemas.openxmlformats.org/officeDocument/2006/relationships/image" Target="media/14.png"/><Relationship Id="rId8" Type="http://schemas.openxmlformats.org/officeDocument/2006/relationships/styles" Target="styles.xml"/><Relationship Id="rId9" Type="http://schemas.openxmlformats.org/officeDocument/2006/relationships/fontTable" Target="fontTable.xml"/></Relationships>
</file>

<file path=docProps/app.xml><?xml version="1.0" encoding="utf-8"?>
<Properties xmlns="http://schemas.openxmlformats.org/officeDocument/2006/extended-properties">
  <Template>Normal.eit</Template>
  <TotalTime>41</TotalTime>
  <Application>Yozo_Office</Application>
  <Pages>116</Pages>
  <Words>40870</Words>
  <Characters>47745</Characters>
  <Lines>7516</Lines>
  <Paragraphs>5464</Paragraphs>
  <CharactersWithSpaces>52533</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lenovo</dc:creator>
  <cp:lastModifiedBy>曾得源</cp:lastModifiedBy>
  <cp:revision>8</cp:revision>
  <dcterms:created xsi:type="dcterms:W3CDTF">2023-05-11T06:11:00Z</dcterms:created>
  <dcterms:modified xsi:type="dcterms:W3CDTF">2024-04-12T09:24:36Z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2052-11.1.0.13703</vt:lpwstr>
  </property>
  <property fmtid="{D5CDD505-2E9C-101B-9397-08002B2CF9AE}" pid="3" name="ICV">
    <vt:lpwstr>549C4AFD17B24936AA0EF0C3A256E8AB</vt:lpwstr>
  </property>
</Properties>
</file>