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>
  <w:body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/>
          <w:sz w:val="44"/>
          <w:szCs w:val="44"/>
        </w:rPr>
        <w:t>走私案件</w:t>
      </w:r>
      <w:r>
        <w:rPr>
          <w:rFonts w:ascii="方正小标宋_GBK" w:eastAsia="方正小标宋_GBK" w:hint="eastAsia"/>
          <w:sz w:val="44"/>
          <w:szCs w:val="44"/>
        </w:rPr>
        <w:t>行政处罚事项事前公开表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bookmarkEnd w:id="0"/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事项名称：走私违法案件的行政处罚</w:t>
      </w: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执法依据（需具体填写相应法律法规条款内容）：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一、《中华人民共和国海关法》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第八十二条　违反本法及有关法律、行政法规，逃避海关监管，偷逃应纳税款、逃避国家有关进出境的禁止性或者限制性管理，有下列情形之一的，是走私行为：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（一）运输、携带、邮寄国家禁止或者限制进出境货物、物品或者依法应当缴纳税款的货物、物品进出境的；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（二）未经海关许可并且未缴纳应纳税款、交验有关许可证件，擅自将保税货物、特定减免税货物以及其他海关监管货物、物品、进境的境外运输工具，在境内销售的；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（三）有逃避海关监管，构成走私的其他行为的。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有前款所列行为之一，尚不构成犯罪的，由海关没收走私货物、物品及违法所得，可以并处罚款；专门或者多次用于掩护走私的货物、物品，专门或者多次用于走私的运输工具，予以没收，藏匿走私货物、物品的特制设备，责令拆毁或者没收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有第一款所列行为之一，构成犯罪的，依法追究刑事责任。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第八十三条　有下列行为之一的，按走私行为论处，依照本法第八十二条的规定处罚：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（一）直接向走私人非法收购走私进口的货物、物品的；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（二）在内海、领海、界河、界湖，船舶及所载人员运输、收购、贩卖国家禁止或者限制进出境的货物、物品，或者运输、收购、贩卖依法应当缴纳税款的货物，没有合法证明的。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第八十四条 伪造、变造、买卖海关单证，与走私人通谋为走私人提供贷款、资金、帐号、发票、证明、海关单证，与走私人通谋为走私人提供运输、保管、邮寄或者其他方便，构成犯罪的，依法追究刑事责任；尚不构成犯罪的，由海关没收违法所得，并处罚款。</w:t>
      </w:r>
    </w:p>
    <w:p>
      <w:pPr>
        <w:ind w:firstLineChars="200" w:firstLine="631"/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二、《中华人民共和国海关行政处罚实施条例》　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第七条　违反海关法及其他有关法律、行政法规,逃避海关监管,偷逃应纳税款、逃避国家有关进出境的禁止性或者限制性管理,有下列情形之一的,是走私行为: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(一)未经国务院或者国务院授权的机关批准,从未设立海关的地点运输、携带国家禁止或者限制进出境的货物、物品或者依法应当缴纳税款的货物、物品进出境的;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(二)经过设立海关的地点,以藏匿、伪装、瞒报、伪报或者其他方式逃避海关监管,运输、携带、邮寄国家禁止或者限制进出境的货物、物品或者依法应当缴纳税款的货物、物品进出境的;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(三)使用伪造、变造的手册、单证、印章、账册、电子数据或者以其他方式逃避海关监管,擅自将海关监管货物、物品、进境的境外运输工具,在境内销售的;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(四)使用伪造、变造的手册、单证、印章、账册、电子数据或者以伪报加工贸易制成品单位耗料量等方式,致使海关监管货物、物品脱离监管的;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(五)以藏匿、伪装、瞒报、伪报或者其他方式逃避海关监管,擅自将保税区、出口加工区等海关特殊监管区域内的海关监管货物、物品,运出区外的;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(六)有逃避海关监管,构成走私的其他行为的。</w:t>
      </w: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　　第八条　有下列行为之一的,按走私行为论处: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(一)明知是走私进口的货物、物品,直接向走私人非法收购的;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(二)在内海、领海、界河、界湖,船舶及所载人员运输、收购、贩卖国家禁止或者限制进出境的货物、物品,或者运输、收购、贩卖依法应当缴纳税款的货物,没有合法证明的。</w:t>
      </w: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　　第九条　有本实施条例第七条、第八条所列行为之一的,依照下列规定处罚: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(一)走私国家禁止进出口的货物的,没收走私货物及违法所得,可以并处100万元以下罚款;走私国家禁止进出境的物品的,没收走私物品及违法所得,可以并处10万元以下罚款;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(二)应当提交许可证件而未提交但未偷逃税款,走私国家限制进出境的货物、物品的,没收走私货物、物品及违法所得,可以并处走私货物、物品等值以下罚款;</w:t>
      </w:r>
    </w:p>
    <w:p>
      <w:pPr>
        <w:ind w:firstLineChars="200" w:firstLine="631"/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(三)偷逃应纳税款但未逃避许可证件管理,走私依法应当缴纳税款的货物、物品的,没收走私货物、物品及违法所得,可以并处偷逃应纳税款3倍以下罚款。</w:t>
      </w: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　　专门用于走私的运输工具或者用于掩护走私的货物、物品,2年内3次以上用于走私的运输工具或者用于掩护走私的货物、物品,应当予以没收。藏匿走私货物、物品的特制设备、夹层、暗格,应当予以没收或者责令拆毁。使用特制设备、夹层、暗格实施走私的,应当从重处罚。</w:t>
      </w: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　　第十条　与走私人通谋为走私人提供贷款、资金、账号、发票、证明、海关单证的,与走私人通谋为走私人提供走私货物、物品的提取、发运、运输、保管、邮寄或者其他方便的,以走私的共同当事人论处,没收违法所得,并依照本实施条例第九条的规定予以处罚。</w:t>
      </w:r>
    </w:p>
    <w:p>
      <w:pPr>
        <w:rPr>
          <w:rFonts w:ascii="方正黑体_GBK" w:eastAsia="方正黑体_GBK"/>
          <w:vanish w:val="0"/>
          <w:szCs w:val="32"/>
          <w:bdr w:val="none" w:sz="0" w:space="0" w:color="auto"/>
        </w:rPr>
      </w:pPr>
      <w:r>
        <w:rPr>
          <w:rFonts w:ascii="方正黑体_GBK" w:eastAsia="方正黑体_GBK"/>
          <w:vanish w:val="0"/>
          <w:szCs w:val="32"/>
          <w:bdr w:val="none" w:sz="0" w:space="0" w:color="auto"/>
        </w:rPr>
        <w:t>　　第十一条　报关企业、报关人员和海关准予从事海关监管货物的运输、储存、加工、装配、寄售、展示等业务的企业,构成走私犯罪或者1年内有2次以上走私行为的,海关可以撤销其注册登记、取消其报关从业资格。</w:t>
      </w: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执行条件（达到采取行政处罚、强制的具体标准）：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违反《海关法》及有关法律、行政法规，逃避海关监管，偷逃应纳税款、逃避国家有关进出境的禁止性或者限制性管理，有下列情形之一的，是走私行为：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（一）运输、携带、邮寄国家禁止或者限制进出境货物、物品或者依法应当缴纳税款的货物、物品进出境的；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（二）未经海关许可并且未缴纳应纳税款、交验有关许可证件，擅自将保税货物、特定减免税货物以及其他海关监管货物、物品、进境的境外运输工具，在境内销售的；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（三）有逃避海关监管，构成走私的其他行为的。</w:t>
      </w: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执法程序（办理流程）：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一、相关程序和要求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一）行政处罚程序分为一般程序、简单案件程序。符合《中华人民共和国海关办理行政处罚简单案件程序规定》（海关总署第188号令）第三条、《中华人民共和国海关总署公告》（2019年第162号）规定的案件，适用简单案件程序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 xml:space="preserve">1.一般程序 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 xml:space="preserve">（1）立案调查，收集证据。                               </w:t>
      </w:r>
    </w:p>
    <w:p>
      <w:pPr>
        <w:ind w:leftChars="50" w:left="157" w:firstLineChars="150" w:firstLine="473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 xml:space="preserve">（2）对调查结果进行审查。对情节复杂或者重大违法行为给予较重的行政处罚，应当由海关案件审理委员会集体讨论决定。                                           </w:t>
      </w:r>
    </w:p>
    <w:p>
      <w:pPr>
        <w:ind w:leftChars="50" w:left="157" w:firstLineChars="150" w:firstLine="473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（3）在作出行政处罚决定前，告知当事人作出行政处罚决定的事实、理由和依据，以及当事人的陈述申辩和申请听证的权利。对当事人的书面陈述、申辩意见进行复核。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  <w:bdr w:val="none" w:sz="0" w:space="0" w:color="auto"/>
        </w:rPr>
        <w:t>（4）</w:t>
      </w:r>
      <w:r>
        <w:rPr>
          <w:rFonts w:ascii="方正黑体_GBK" w:eastAsia="方正黑体_GBK"/>
          <w:szCs w:val="32"/>
        </w:rPr>
        <w:t>符合听证条件的，依法组织听证。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（5）依法作出行政处罚决定。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（6）当事人确有经济困难的，经申请海关可以批准其暂缓或者分期缴纳罚款，并及时通知收缴罚款的机构。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2.简单案件程序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（1）告知当事人适用简单案件程序。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（2）当场立案，立即开展调查取证。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（3）当场制发行政处罚告知单，并交由当事人或其代理人签收。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（4）依法作出行政处罚决定，符合规定情形的，可以当场制发处罚决定书并当场送达。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（5）有规定的情形的依法终止适用简单案件程序，适用一般程序规定办理，并告知当事人。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（二）依法处以警告、罚款等行政处罚，但不没收进出境货物、物品、运输工具的，不免除当事人依法缴纳税款、提交进出口许可证件、办理有关海关手续的义务。</w:t>
      </w:r>
    </w:p>
    <w:p>
      <w:pPr>
        <w:ind w:firstLineChars="200" w:firstLine="631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（三）行政处罚同时依法应当进行销毁、技术性处理、责令退运（退回）等处理的，按照相关规定执行。</w:t>
      </w:r>
    </w:p>
    <w:p>
      <w:pPr>
        <w:rPr>
          <w:rFonts w:ascii="方正黑体_GBK" w:eastAsia="方正黑体_GBK" w:hint="eastAsia"/>
          <w:szCs w:val="32"/>
        </w:rPr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Normal (Web)"/>
    <w:next w:val="15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</TotalTime>
  <Application>Yozo_Office</Application>
  <Pages>6</Pages>
  <Words>2711</Words>
  <Characters>2724</Characters>
  <Lines>128</Lines>
  <Paragraphs>55</Paragraphs>
  <CharactersWithSpaces>2818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资凡</dc:creator>
  <cp:lastModifiedBy>admin</cp:lastModifiedBy>
  <cp:revision>1</cp:revision>
  <dcterms:created xsi:type="dcterms:W3CDTF">2020-11-12T02:48:58Z</dcterms:created>
</cp:coreProperties>
</file>