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昆明海关关区</w:t>
      </w:r>
      <w:r>
        <w:rPr>
          <w:rFonts w:eastAsia="方正小标宋_GBK" w:cs="Times New Roman"/>
          <w:sz w:val="44"/>
          <w:szCs w:val="44"/>
        </w:rPr>
        <w:t>2021</w:t>
      </w:r>
      <w:r>
        <w:rPr>
          <w:rFonts w:ascii="方正小标宋_GBK" w:eastAsia="方正小标宋_GBK" w:hint="eastAsia"/>
          <w:sz w:val="44"/>
          <w:szCs w:val="44"/>
        </w:rPr>
        <w:t>年政府信息公开</w:t>
      </w:r>
    </w:p>
    <w:p>
      <w:pPr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工作年度报告</w:t>
      </w:r>
    </w:p>
    <w:p>
      <w:bookmarkEnd w:id="0"/>
    </w:p>
    <w:p>
      <w:r>
        <w:t>本年报根据《中华人民共和国政府信息公开条例》《国务院办公厅政府信息与政务公开办公室关于印发〈中华人民共和国政府信息公开工作年度报告格式〉的通知》（国办公开办函〔2021〕30号），经梳理2021年昆明海关政府信息公开情况编制而成。本年报中所列数据的统计期间为2021年1月1日至2021年12月31日。如对本年报有疑问或意见、建议，请联系：昆明海关办公室政务公开科。地址：云南省昆明市北京路618号昆明海关1002室；邮编：650051；电话：0871-63016317；传真：0871-63016311；电子邮箱：kmhg_gwgk@customs.gov.cn。</w:t>
      </w:r>
    </w:p>
    <w:p>
      <w:r>
        <w:rPr>
          <w:rFonts w:ascii="方正黑体_GBK" w:eastAsia="方正黑体_GBK" w:hint="eastAsia"/>
        </w:rPr>
        <w:t>一、总体情况</w:t>
      </w:r>
    </w:p>
    <w:p>
      <w:r>
        <w:t>　　</w:t>
      </w:r>
      <w:r>
        <w:rPr>
          <w:rFonts w:ascii="方正楷体_GBK" w:eastAsia="方正楷体_GBK" w:hint="eastAsia"/>
          <w:b/>
          <w:bCs/>
        </w:rPr>
        <w:t>（一）夯实关区政务公开工作基础。</w:t>
      </w:r>
    </w:p>
    <w:p>
      <w:r>
        <w:t>　　结合关区实际制定了《2021年昆明海关政务公开工作要点》，部署2021年度关区政务公开领域重点推进的4个方面11项工作措施，均已完成。修订了《昆明海关政府信息公开工作规程》《昆明海关政府信息公开审查规程》和《昆明海关主动公开基本目录（2021年版）》，进一步提升政府信息公开规范化水平。深入推进基层海关政务公开标准化规范化建设，组织开展基层海关政务公开专项提升工作，不断规范基层海关政务公开受理、办理、反馈工作流程。严格执行政府信息公开年报格式内容要求，依法依规按时完成昆明海关关区、昆明海关本级机关、30个隶属海关三级年报的编制工作。</w:t>
      </w:r>
    </w:p>
    <w:p>
      <w:pPr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　　（二）强化政府信息公开法定职责。</w:t>
      </w:r>
    </w:p>
    <w:p>
      <w:r>
        <w:t>　　进一步优化政府信息公开工作流程及公众信息获取途径。主动公开方面，按照“以公开为常态、不公开为例外”的工作原则，不断提升主动公开政府信息质效，2021年在门户网站发布信息866条。积极提高政府采购透明度，全年对外公开政府采购公告及中标公告93篇；做好行政执法信息公开，对外公开行政许可和行政处罚信息149条；不断推进行政执法事前公开工作，梳理对外公开行政执法事前事项8项。依申请公开方面，强化关区各部门单位办理职责权限，细化操作流程指引、答复模板等，进一步提升依申请公开办理的规范化水平。加强对隶属海关在依申请公开受理、审查过程中的指导，2021年昆明关区共受理依申请公开共7件，集中在海关统计、单证通关等领域。未发生关于政府信息公开的复议和诉讼情事。</w:t>
      </w:r>
    </w:p>
    <w:p>
      <w:r>
        <w:t>　　</w:t>
      </w:r>
      <w:r>
        <w:rPr>
          <w:rFonts w:ascii="方正楷体_GBK" w:eastAsia="方正楷体_GBK" w:hint="eastAsia"/>
          <w:b/>
          <w:bCs/>
        </w:rPr>
        <w:t>（三）畅通社会公众咨询交流渠道</w:t>
      </w:r>
      <w:r>
        <w:rPr>
          <w:rFonts w:ascii="方正楷体_GBK" w:eastAsia="方正楷体_GBK" w:hint="eastAsia"/>
        </w:rPr>
        <w:t>。</w:t>
      </w:r>
    </w:p>
    <w:p>
      <w:pPr>
        <w:ind w:firstLine="644"/>
      </w:pPr>
      <w:r>
        <w:t>2021年共办理门户网站业务咨询、关长信箱等渠道留言184条；接听12360热线电话12407个。充分发挥政务新媒体传播快、受众广的优势，2021年在“昆明海关发布”公众号发布信息306条，拓宽了政府信息主动公开的渠道。基层海关在办公场所和口岸一线设立公告查询区域和窗口等，提供信息公开、申请、办事、咨询、答复等服务；有效运用“好差评”系统，把政务服务“好差评”作为听取服务对象意见建议、改进工作的重要抓手，强化公众监督，不断提升基层海关政府信息公开水平。</w:t>
      </w:r>
    </w:p>
    <w:p>
      <w:pPr>
        <w:pStyle w:val="12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2" w:lineRule="atLeast"/>
        <w:rPr>
          <w:rFonts w:ascii="方正黑体_GBK" w:eastAsia="方正黑体_GBK" w:hint="eastAsia"/>
          <w:vanish w:val="0"/>
          <w:sz w:val="32"/>
          <w:szCs w:val="32"/>
        </w:rPr>
      </w:pPr>
      <w:r>
        <w:rPr>
          <w:rFonts w:ascii="方正黑体_GBK" w:eastAsia="方正黑体_GBK" w:hint="eastAsia"/>
          <w:vanish w:val="0"/>
          <w:sz w:val="32"/>
          <w:szCs w:val="32"/>
        </w:rPr>
        <w:t>二、主动公开政府信息情况</w:t>
      </w:r>
    </w:p>
    <w:tbl>
      <w:tblPr>
        <w:jc w:val="center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715"/>
        <w:gridCol w:w="2190"/>
        <w:gridCol w:w="1935"/>
        <w:gridCol w:w="2160"/>
      </w:tblGrid>
      <w:tr>
        <w:tc>
          <w:tcPr>
            <w:tcW w:w="9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第二十条第（一）项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信息内容</w:t>
            </w:r>
          </w:p>
        </w:tc>
        <w:tc>
          <w:tcPr>
            <w:tcW w:w="2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本年制发件数</w:t>
            </w:r>
          </w:p>
        </w:tc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本年废止件数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现行有效件数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规章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行政规范性文件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7</w:t>
            </w:r>
          </w:p>
        </w:tc>
      </w:tr>
      <w:tr>
        <w:tc>
          <w:tcPr>
            <w:tcW w:w="90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第二十条第（五）项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信息内容</w:t>
            </w:r>
          </w:p>
        </w:tc>
        <w:tc>
          <w:tcPr>
            <w:tcW w:w="627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本年处理决定数量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行政许可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1753</w:t>
            </w:r>
          </w:p>
        </w:tc>
      </w:tr>
      <w:tr>
        <w:tc>
          <w:tcPr>
            <w:tcW w:w="90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第二十条第（六）项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信息内容</w:t>
            </w:r>
          </w:p>
        </w:tc>
        <w:tc>
          <w:tcPr>
            <w:tcW w:w="627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本年处理决定数量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行政处罚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1366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行政强制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502</w:t>
            </w:r>
          </w:p>
        </w:tc>
      </w:tr>
      <w:tr>
        <w:tc>
          <w:tcPr>
            <w:tcW w:w="90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第二十条第（八）项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信息内容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本年收费金额（单位：万元）</w:t>
            </w:r>
          </w:p>
        </w:tc>
      </w:tr>
      <w:tr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行政事业性收费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</w:tr>
    </w:tbl>
    <w:p>
      <w:pPr>
        <w:pStyle w:val="12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2" w:lineRule="atLeast"/>
        <w:rPr>
          <w:rFonts w:ascii="方正黑体_GBK" w:eastAsia="方正黑体_GBK" w:hint="eastAsia"/>
          <w:vanish w:val="0"/>
          <w:sz w:val="32"/>
          <w:szCs w:val="32"/>
        </w:rPr>
      </w:pPr>
      <w:r>
        <w:rPr>
          <w:rFonts w:ascii="方正黑体_GBK" w:eastAsia="方正黑体_GBK" w:hint="eastAsia"/>
          <w:vanish w:val="0"/>
          <w:sz w:val="32"/>
          <w:szCs w:val="32"/>
        </w:rPr>
        <w:t>三、收到和处理政府信息公开申请情况</w:t>
      </w:r>
    </w:p>
    <w:tbl>
      <w:tblPr>
        <w:jc w:val="center"/>
        <w:tblW w:w="9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930"/>
        <w:gridCol w:w="2685"/>
        <w:gridCol w:w="630"/>
        <w:gridCol w:w="675"/>
        <w:gridCol w:w="750"/>
        <w:gridCol w:w="765"/>
        <w:gridCol w:w="765"/>
        <w:gridCol w:w="495"/>
        <w:gridCol w:w="690"/>
      </w:tblGrid>
      <w:tr>
        <w:tc>
          <w:tcPr>
            <w:tcW w:w="430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（本列数据的勾稽关系为：第一项加第二项之和，等于第三项加第四项之和）</w:t>
            </w:r>
          </w:p>
        </w:tc>
        <w:tc>
          <w:tcPr>
            <w:tcW w:w="477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申请人情况</w:t>
            </w:r>
          </w:p>
        </w:tc>
      </w:tr>
      <w:tr>
        <w:tc>
          <w:tcPr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6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自然人</w:t>
            </w:r>
          </w:p>
        </w:tc>
        <w:tc>
          <w:tcPr>
            <w:tcW w:w="345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法人或其他组织</w:t>
            </w:r>
          </w:p>
        </w:tc>
        <w:tc>
          <w:tcPr>
            <w:tcW w:w="67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总计</w:t>
            </w:r>
          </w:p>
        </w:tc>
      </w:tr>
      <w:tr>
        <w:tc>
          <w:tcPr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科研机构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社会公益组织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法律服务机构</w:t>
            </w:r>
          </w:p>
        </w:tc>
        <w:tc>
          <w:tcPr>
            <w:tcW w:w="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jc w:val="center"/>
              <w:rPr>
                <w:b/>
                <w:vanish w:val="0"/>
              </w:rPr>
            </w:pPr>
            <w:r>
              <w:rPr>
                <w:b/>
                <w:vanish w:val="0"/>
              </w:rPr>
              <w:t>　　其他</w:t>
            </w:r>
          </w:p>
        </w:tc>
        <w:tc>
          <w:tcPr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</w:tr>
      <w:tr>
        <w:tc>
          <w:tcPr>
            <w:tcW w:w="43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一、本年新收政府信息公开申请数量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7</w:t>
            </w:r>
          </w:p>
        </w:tc>
      </w:tr>
      <w:tr>
        <w:tc>
          <w:tcPr>
            <w:tcW w:w="43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二、上年结转政府信息公开申请数量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tcW w:w="6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三、本年度办理结果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（一）予以公开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（二）部分公开（区分处理的，只计这一情形，不计其他情形）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1.属于国家秘密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2.其他法律行政法规禁止公开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3.危及“三安全一稳定”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4.保护第三方合法权益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5.属于三类内部事务信息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6.属于四类过程性信息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7.属于行政执法案卷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8.属于行政查询事项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1.本机关不掌握相关政府信息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2.没有现成信息需要另行制作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1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3.补正后申请内容仍不明确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1.信访举报投诉类申请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2.重复申请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3.要求提供公开出版物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4.无正当理由大量反复申请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5.要求行政机关确认或重新出具已获取信息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1.申请人无正当理由逾期不补正、行政机关不再处理其政府信息公开申请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2.申请人逾期未按收费通知要求缴纳费用、行政机关不再处理其政府信息公开申请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3.咨询事项，指引咨询渠道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4.申请人撤销申请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（七）总计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5</w:t>
            </w:r>
          </w:p>
        </w:tc>
      </w:tr>
      <w:tr>
        <w:tc>
          <w:tcPr>
            <w:tcW w:w="43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四、结转下年度继续办理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2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</w:tr>
    </w:tbl>
    <w:p>
      <w:pPr>
        <w:pStyle w:val="12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2" w:lineRule="atLeast"/>
        <w:rPr>
          <w:rFonts w:ascii="方正黑体_GBK" w:eastAsia="方正黑体_GBK" w:hint="eastAsia"/>
          <w:vanish w:val="0"/>
          <w:sz w:val="32"/>
          <w:szCs w:val="32"/>
        </w:rPr>
      </w:pPr>
      <w:r>
        <w:rPr>
          <w:rFonts w:ascii="方正黑体_GBK" w:eastAsia="方正黑体_GBK" w:hint="eastAsia"/>
          <w:vanish w:val="0"/>
          <w:sz w:val="32"/>
          <w:szCs w:val="32"/>
        </w:rPr>
        <w:t>四、政府信息公开行政复议、行政诉讼情况</w:t>
      </w:r>
    </w:p>
    <w:tbl>
      <w:tblPr>
        <w:jc w:val="center"/>
        <w:tblW w:w="9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c>
          <w:tcPr>
            <w:tcW w:w="3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行政诉讼</w:t>
            </w:r>
          </w:p>
        </w:tc>
      </w:tr>
      <w:tr>
        <w:tc>
          <w:tcPr>
            <w:tcW w:w="6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复议后起诉</w:t>
            </w:r>
          </w:p>
        </w:tc>
      </w:tr>
      <w:tr>
        <w:tc>
          <w:tcPr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结果纠正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其他结果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尚未审结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总计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结果维持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结果纠正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其他结果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尚未审结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总计</w:t>
            </w:r>
          </w:p>
        </w:tc>
      </w:tr>
      <w:t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" w:lineRule="atLeast"/>
              <w:ind w:left="0"/>
              <w:rPr>
                <w:vanish w:val="0"/>
              </w:rPr>
            </w:pPr>
            <w:r>
              <w:rPr>
                <w:vanish w:val="0"/>
              </w:rPr>
              <w:t>0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28"/>
              <w:ind w:left="0"/>
              <w:rPr>
                <w:vanish w:val="0"/>
              </w:rPr>
            </w:pPr>
          </w:p>
        </w:tc>
      </w:tr>
    </w:tbl>
    <w:p>
      <w:pPr>
        <w:pStyle w:val="12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2" w:lineRule="atLeas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vanish w:val="0"/>
          <w:sz w:val="32"/>
          <w:szCs w:val="32"/>
        </w:rPr>
        <w:t>五、存在的主要问题及改进情况</w:t>
      </w:r>
    </w:p>
    <w:p>
      <w:pPr>
        <w:ind w:left="0"/>
      </w:pPr>
      <w:r>
        <w:t>　　（一）2020年年报中所提问题整改情况。2020年，昆明海关关区存在少数隶属海关信息公开工作年报内容单一，编制质量还需进一步提高，关区政府信息公开工作人员人力不足，专业性与工作能力还需进一步加强等问题。</w:t>
      </w:r>
    </w:p>
    <w:p>
      <w:pPr>
        <w:ind w:left="0"/>
      </w:pPr>
      <w:r>
        <w:t>　　上述问题在2021年均已采取措施完成整改：对照年报编制要求，对关区、机关本级和各隶属海关年报进行认真审核，对编制质量不高、文本格式不规范、填报口径不统一等情况进行再梳理再核查，存在问题的一律要求重新编制；将年报质量纳入政务公开工作年度考核，进一步压实年报编制主体责任；进一步加强政务公开工作人员的能力提升工作，通过线上培训、工作群交流及日常电话指导等方式，不断提升政务公开工作人员的专业水平。</w:t>
      </w:r>
    </w:p>
    <w:p>
      <w:pPr>
        <w:ind w:left="0"/>
      </w:pPr>
      <w:r>
        <w:t>　　（二）目前存在的问题。基层海关政府信息公开工作的意识和能力仍需要加强，主动公开的政府信息存在滞后的情况；新媒体稿件编发的数量和质量还有待提高。</w:t>
      </w:r>
    </w:p>
    <w:p>
      <w:pPr>
        <w:ind w:left="0"/>
      </w:pPr>
      <w:r>
        <w:t>　　六、其他需要报告的事项</w:t>
      </w:r>
    </w:p>
    <w:p>
      <w:pPr>
        <w:ind w:left="0"/>
      </w:pPr>
      <w:r>
        <w:t>　　无。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92">
    <w:name w:val="Normal (Web)"/>
    <w:basedOn w:val="0"/>
    <w:rPr>
      <w:sz w:val="24"/>
    </w:rPr>
  </w:style>
  <w:style w:type="paragraph" w:customStyle="1" w:styleId="123">
    <w:name w:val="样式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24">
    <w:name w:val="样式 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25">
    <w:name w:val="样式 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26">
    <w:name w:val="样式 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27">
    <w:name w:val="样式 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28">
    <w:name w:val="样式 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1</Pages>
  <Words>6</Words>
  <Characters>6</Characters>
  <Lines>1</Lines>
  <Paragraphs>1</Paragraphs>
  <CharactersWithSpaces>6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User</dc:creator>
  <cp:lastModifiedBy>Windows User</cp:lastModifiedBy>
  <cp:revision>1</cp:revision>
  <dcterms:created xsi:type="dcterms:W3CDTF">2023-04-04T09:07:16Z</dcterms:created>
  <dcterms:modified xsi:type="dcterms:W3CDTF">2023-04-04T09:22:46Z</dcterms:modified>
</cp:coreProperties>
</file>