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23"/>
        <w:spacing w:line="580" w:lineRule="exact"/>
        <w:ind w:left="0"/>
        <w:rPr>
          <w:rFonts w:ascii="方正黑体_GBK" w:eastAsia="方正黑体_GBK" w:cs="方正小标宋_GBK" w:hint="eastAsia"/>
          <w:color w:val="auto"/>
          <w:szCs w:val="32"/>
          <w:lang w:bidi="ar-SA"/>
        </w:rPr>
      </w:pPr>
      <w:bookmarkStart w:id="0" w:name="_Hlk25540369"/>
      <w:bookmarkStart w:id="1" w:name="cogw__正文__file"/>
    </w:p>
    <w:p>
      <w:pPr>
        <w:pStyle w:val="123"/>
        <w:spacing w:line="580" w:lineRule="exact"/>
        <w:ind w:left="0"/>
        <w:jc w:val="center"/>
        <w:rPr>
          <w:rFonts w:ascii="方正小标宋_GBK" w:eastAsia="方正小标宋_GBK" w:cs="方正小标宋_GBK" w:hint="eastAsia"/>
          <w:color w:val="auto"/>
          <w:sz w:val="44"/>
          <w:szCs w:val="44"/>
          <w:lang w:bidi="ar-SA"/>
        </w:rPr>
      </w:pPr>
      <w:r>
        <w:rPr>
          <w:rFonts w:ascii="方正小标宋_GBK" w:eastAsia="方正小标宋_GBK" w:cs="方正小标宋_GBK" w:hint="eastAsia"/>
          <w:color w:val="auto"/>
          <w:sz w:val="44"/>
          <w:szCs w:val="44"/>
          <w:lang w:bidi="ar-SA"/>
        </w:rPr>
        <w:t>腾冲</w:t>
      </w:r>
      <w:r>
        <w:rPr>
          <w:rFonts w:ascii="方正小标宋_GBK" w:eastAsia="方正小标宋_GBK" w:cs="方正小标宋_GBK" w:hint="eastAsia"/>
          <w:color w:val="auto"/>
          <w:sz w:val="44"/>
          <w:szCs w:val="44"/>
          <w:lang w:bidi="ar-SA"/>
        </w:rPr>
        <w:t>海关20</w:t>
      </w:r>
      <w:r>
        <w:rPr>
          <w:rFonts w:ascii="方正小标宋_GBK" w:eastAsia="方正小标宋_GBK" w:cs="方正小标宋_GBK" w:hint="eastAsia"/>
          <w:color w:val="auto"/>
          <w:sz w:val="44"/>
          <w:szCs w:val="44"/>
          <w:lang w:bidi="ar-SA"/>
        </w:rPr>
        <w:t>2</w:t>
      </w:r>
      <w:r>
        <w:rPr>
          <w:rFonts w:ascii="方正小标宋_GBK" w:eastAsia="方正小标宋_GBK" w:cs="方正小标宋_GBK"/>
          <w:color w:val="auto"/>
          <w:sz w:val="44"/>
          <w:szCs w:val="44"/>
          <w:lang w:bidi="ar-SA"/>
        </w:rPr>
        <w:t>5</w:t>
      </w:r>
      <w:r>
        <w:rPr>
          <w:rFonts w:ascii="方正小标宋_GBK" w:eastAsia="方正小标宋_GBK" w:cs="方正小标宋_GBK" w:hint="eastAsia"/>
          <w:color w:val="auto"/>
          <w:sz w:val="44"/>
          <w:szCs w:val="44"/>
          <w:lang w:bidi="ar-SA"/>
        </w:rPr>
        <w:t>年</w:t>
      </w:r>
      <w:r>
        <w:rPr>
          <w:rFonts w:ascii="方正小标宋_GBK" w:eastAsia="方正小标宋_GBK" w:cs="方正小标宋_GBK" w:hint="eastAsia"/>
          <w:color w:val="auto"/>
          <w:sz w:val="44"/>
          <w:szCs w:val="44"/>
          <w:lang w:bidi="ar-SA"/>
        </w:rPr>
        <w:t>政府信息公开工作年度报告</w:t>
      </w:r>
      <w:bookmarkEnd w:id="0"/>
    </w:p>
    <w:p>
      <w:pPr>
        <w:pStyle w:val="92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="0"/>
        <w:jc w:val="both"/>
        <w:rPr>
          <w:rFonts w:ascii="楷体_GB2312" w:eastAsia="楷体_GB2312" w:cs="楷体_GB2312" w:hint="eastAsia"/>
          <w:bCs/>
          <w:color w:val="auto"/>
          <w:sz w:val="32"/>
          <w:szCs w:val="32"/>
          <w:shd w:val="clear" w:color="auto" w:fill="FFFFFF"/>
          <w:lang w:bidi="ar-SA"/>
        </w:rPr>
      </w:pPr>
    </w:p>
    <w:p>
      <w:pPr>
        <w:pStyle w:val="92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 w:hint="eastAsia"/>
          <w:bCs/>
          <w:color w:val="auto"/>
          <w:sz w:val="32"/>
          <w:szCs w:val="32"/>
          <w:lang w:bidi="ar-SA"/>
        </w:rPr>
      </w:pPr>
      <w:r>
        <w:rPr>
          <w:rFonts w:ascii="方正黑体_GBK" w:eastAsia="方正黑体_GBK" w:cs="楷体_GB2312" w:hint="eastAsia"/>
          <w:bCs/>
          <w:color w:val="auto"/>
          <w:sz w:val="32"/>
          <w:szCs w:val="32"/>
          <w:shd w:val="clear" w:color="auto" w:fill="FFFFFF"/>
          <w:lang w:bidi="ar-SA"/>
        </w:rPr>
        <w:t>一、总体情况</w:t>
      </w:r>
    </w:p>
    <w:p>
      <w:pPr>
        <w:pStyle w:val="124"/>
        <w:adjustRightInd w:val="0"/>
        <w:snapToGrid w:val="0"/>
        <w:spacing w:line="560" w:lineRule="exact"/>
        <w:ind w:firstLineChars="200" w:firstLine="640"/>
        <w:contextualSpacing w:val="0"/>
        <w:jc w:val="both"/>
        <w:rPr>
          <w:rFonts w:ascii="Times New Roman" w:eastAsia="方正仿宋_GBK" w:hAnsi="Times New Roman"/>
          <w:snapToGrid w:val="0"/>
          <w:kern w:val="0"/>
          <w:sz w:val="32"/>
          <w:szCs w:val="32"/>
          <w:bdr w:val="none" w:sz="0" w:space="0" w:color="auto"/>
        </w:rPr>
      </w:pPr>
      <w:r>
        <w:rPr>
          <w:rFonts w:ascii="Times New Roman" w:eastAsia="方正仿宋_GBK" w:hAnsi="Times New Roman"/>
          <w:snapToGrid w:val="0"/>
          <w:kern w:val="0"/>
          <w:sz w:val="32"/>
          <w:szCs w:val="32"/>
          <w:lang w:bidi="ar-SA"/>
        </w:rPr>
        <w:t>202</w:t>
      </w:r>
      <w:r>
        <w:rPr>
          <w:rFonts w:ascii="Times New Roman" w:eastAsia="方正仿宋_GBK" w:hAnsi="Times New Roman"/>
          <w:snapToGrid w:val="0"/>
          <w:kern w:val="0"/>
          <w:sz w:val="32"/>
          <w:szCs w:val="32"/>
          <w:lang w:bidi="ar-SA"/>
        </w:rPr>
        <w:t>5</w:t>
      </w:r>
      <w:r>
        <w:rPr>
          <w:rFonts w:ascii="Times New Roman" w:eastAsia="方正仿宋_GBK" w:hAnsi="Times New Roman"/>
          <w:snapToGrid w:val="0"/>
          <w:kern w:val="0"/>
          <w:sz w:val="32"/>
          <w:szCs w:val="32"/>
          <w:lang w:bidi="ar-SA"/>
        </w:rPr>
        <w:t>年，</w:t>
      </w:r>
      <w:r>
        <w:rPr>
          <w:rFonts w:ascii="Times New Roman" w:eastAsia="方正仿宋_GBK" w:cs="Times New Roman" w:hAnsi="Times New Roman"/>
          <w:snapToGrid w:val="0"/>
          <w:kern w:val="0"/>
          <w:sz w:val="32"/>
          <w:szCs w:val="32"/>
          <w:lang w:val="en-US" w:eastAsia="zh-CN"/>
        </w:rPr>
        <w:t>腾冲海关政府信息公开工作</w:t>
      </w:r>
      <w:r>
        <w:rPr>
          <w:rFonts w:ascii="Times New Roman" w:eastAsia="方正仿宋_GBK" w:hAnsi="Times New Roman"/>
          <w:snapToGrid w:val="0"/>
          <w:kern w:val="0"/>
          <w:sz w:val="32"/>
          <w:szCs w:val="32"/>
          <w:lang w:bidi="ar-SA"/>
        </w:rPr>
        <w:t>坚持以习近平新时代中国特色社会主义思想为指导，全面贯彻党的二十大及二十届</w:t>
      </w:r>
      <w:r>
        <w:rPr>
          <w:rFonts w:ascii="Times New Roman" w:eastAsia="方正仿宋_GBK" w:hAnsi="Times New Roman"/>
          <w:snapToGrid w:val="0"/>
          <w:kern w:val="0"/>
          <w:sz w:val="32"/>
          <w:szCs w:val="32"/>
          <w:lang w:bidi="ar-SA"/>
        </w:rPr>
        <w:t>历次</w:t>
      </w:r>
      <w:r>
        <w:rPr>
          <w:rFonts w:ascii="Times New Roman" w:eastAsia="方正仿宋_GBK" w:hAnsi="Times New Roman"/>
          <w:snapToGrid w:val="0"/>
          <w:kern w:val="0"/>
          <w:sz w:val="32"/>
          <w:szCs w:val="32"/>
          <w:lang w:bidi="ar-SA"/>
        </w:rPr>
        <w:t>全会精神，严格落实海关总署、昆明海关</w:t>
      </w:r>
      <w:r>
        <w:rPr>
          <w:rFonts w:ascii="Times New Roman" w:eastAsia="方正仿宋_GBK" w:cs="Times New Roman" w:hAnsi="Times New Roman"/>
          <w:snapToGrid w:val="0"/>
          <w:kern w:val="0"/>
          <w:sz w:val="32"/>
          <w:szCs w:val="32"/>
          <w:lang w:bidi="ar-SA"/>
        </w:rPr>
        <w:t>关于信息公开各项决策部署，</w:t>
      </w:r>
      <w:r>
        <w:rPr>
          <w:rFonts w:ascii="Times New Roman" w:eastAsia="方正仿宋_GBK" w:cs="Times New Roman" w:hAnsi="Times New Roman"/>
          <w:snapToGrid w:val="0"/>
          <w:kern w:val="0"/>
          <w:sz w:val="32"/>
          <w:szCs w:val="32"/>
        </w:rPr>
        <w:t>进一步推进信息公开，以公开促落实、促规范，全力保障企业和群众的知</w:t>
      </w:r>
      <w:r>
        <w:rPr>
          <w:rFonts w:ascii="Times New Roman" w:eastAsia="方正仿宋_GBK" w:hAnsi="Times New Roman"/>
          <w:snapToGrid w:val="0"/>
          <w:kern w:val="0"/>
          <w:sz w:val="32"/>
          <w:szCs w:val="32"/>
          <w:bdr w:val="none" w:sz="0" w:space="0" w:color="auto"/>
        </w:rPr>
        <w:t>情权、参与权、表达权和监督权，全面增强海关工作的公信力和执行力。</w:t>
      </w:r>
    </w:p>
    <w:p>
      <w:pPr>
        <w:pStyle w:val="124"/>
        <w:adjustRightInd w:val="0"/>
        <w:snapToGrid w:val="0"/>
        <w:spacing w:line="560" w:lineRule="exact"/>
        <w:ind w:left="0" w:firstLineChars="200" w:firstLine="640"/>
        <w:contextualSpacing w:val="0"/>
        <w:jc w:val="both"/>
        <w:rPr>
          <w:rFonts w:ascii="Times New Roman" w:eastAsia="方正仿宋_GBK" w:hAnsi="Times New Roman"/>
          <w:snapToGrid w:val="0"/>
          <w:kern w:val="0"/>
          <w:sz w:val="32"/>
          <w:szCs w:val="32"/>
          <w:bdr w:val="none" w:sz="0" w:space="0" w:color="auto"/>
        </w:rPr>
      </w:pPr>
      <w:r>
        <w:rPr>
          <w:rFonts w:ascii="方正楷体_GBK" w:eastAsia="方正楷体_GBK"/>
          <w:b/>
          <w:bCs/>
          <w:snapToGrid w:val="0"/>
          <w:sz w:val="32"/>
          <w:szCs w:val="32"/>
        </w:rPr>
        <w:t>（一）强化组织领导，夯实工作基础。</w:t>
      </w:r>
      <w:r>
        <w:rPr>
          <w:rFonts w:ascii="Times New Roman" w:eastAsia="方正仿宋_GBK" w:hAnsi="Times New Roman"/>
          <w:snapToGrid w:val="0"/>
          <w:kern w:val="0"/>
          <w:sz w:val="32"/>
          <w:szCs w:val="32"/>
          <w:bdr w:val="none" w:sz="0" w:space="0" w:color="auto"/>
        </w:rPr>
        <w:t>组织召开会议</w:t>
      </w:r>
      <w:r>
        <w:rPr>
          <w:rFonts w:ascii="Times New Roman" w:eastAsia="方正仿宋_GBK" w:hAnsi="Times New Roman"/>
          <w:snapToGrid w:val="0"/>
          <w:kern w:val="0"/>
          <w:sz w:val="32"/>
          <w:szCs w:val="32"/>
          <w:bdr w:val="none" w:sz="0" w:space="0" w:color="auto"/>
        </w:rPr>
        <w:t>传达</w:t>
      </w:r>
      <w:r>
        <w:rPr>
          <w:rFonts w:ascii="Times New Roman" w:eastAsia="方正仿宋_GBK" w:hAnsi="Times New Roman"/>
          <w:snapToGrid w:val="0"/>
          <w:kern w:val="0"/>
          <w:sz w:val="32"/>
          <w:szCs w:val="32"/>
          <w:bdr w:val="none" w:sz="0" w:space="0" w:color="auto"/>
        </w:rPr>
        <w:t>学习《中华人民共和国政府信息公开条例》和海关总署</w:t>
      </w:r>
      <w:r>
        <w:rPr>
          <w:rFonts w:ascii="Times New Roman" w:eastAsia="方正仿宋_GBK" w:hAnsi="Times New Roman"/>
          <w:snapToGrid w:val="0"/>
          <w:kern w:val="0"/>
          <w:sz w:val="32"/>
          <w:szCs w:val="32"/>
          <w:bdr w:val="none" w:sz="0" w:space="0" w:color="auto"/>
          <w:lang w:val="en-US" w:eastAsia="zh-CN"/>
        </w:rPr>
        <w:t>、昆明海关</w:t>
      </w:r>
      <w:r>
        <w:rPr>
          <w:rFonts w:ascii="Times New Roman" w:eastAsia="方正仿宋_GBK" w:hAnsi="Times New Roman"/>
          <w:snapToGrid w:val="0"/>
          <w:kern w:val="0"/>
          <w:sz w:val="32"/>
          <w:szCs w:val="32"/>
          <w:bdr w:val="none" w:sz="0" w:space="0" w:color="auto"/>
        </w:rPr>
        <w:t>关于政府信息工作的相关文件精神，</w:t>
      </w:r>
      <w:r>
        <w:rPr>
          <w:rFonts w:ascii="Times New Roman" w:eastAsia="方正仿宋_GBK" w:hAnsi="Times New Roman"/>
          <w:snapToGrid w:val="0"/>
          <w:kern w:val="0"/>
          <w:sz w:val="32"/>
          <w:szCs w:val="32"/>
          <w:bdr w:val="none" w:sz="0" w:space="0" w:color="auto"/>
        </w:rPr>
        <w:t>部署年度信息公开工作，进一步明确责任分工、审核流程和时限要求，聚焦通关监管、基地备案等企业关切，及时、准确回应企业或进出境旅客信息公开诉求。</w:t>
      </w:r>
    </w:p>
    <w:p>
      <w:pPr>
        <w:pStyle w:val="203"/>
        <w:adjustRightInd w:val="0"/>
        <w:snapToGrid w:val="0"/>
        <w:spacing w:line="560" w:lineRule="exact"/>
        <w:ind w:firstLineChars="200" w:firstLine="640"/>
        <w:contextualSpacing w:val="0"/>
        <w:rPr>
          <w:szCs w:val="32"/>
        </w:rPr>
      </w:pPr>
      <w:r>
        <w:rPr>
          <w:rFonts w:ascii="方正楷体_GBK" w:eastAsia="方正楷体_GBK"/>
          <w:b/>
          <w:bCs/>
          <w:szCs w:val="32"/>
          <w:bdr w:val="none" w:sz="0" w:space="0" w:color="auto"/>
        </w:rPr>
        <w:t>（二）严格公开程序，形成工作机制。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严格依照申请公开，按照海关信息公开程序规范工作，</w:t>
      </w:r>
      <w:r>
        <w:rPr>
          <w:szCs w:val="32"/>
        </w:rPr>
        <w:t>规范信息发布审核校对流程，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在各个业务现场公开办事流程，畅通线上线下申请渠道，完善受理、审核、会商、答复、归档全流程管理，</w:t>
      </w:r>
      <w:r>
        <w:rPr>
          <w:szCs w:val="32"/>
        </w:rPr>
        <w:t>通过电子邮件、EMS邮寄等方式确保准时送达，信息回复满意率达到100%，未发生信息公开行政复议和行政诉讼情事。</w:t>
      </w:r>
    </w:p>
    <w:p>
      <w:pPr>
        <w:pStyle w:val="23"/>
        <w:adjustRightInd w:val="0"/>
        <w:snapToGrid w:val="0"/>
        <w:spacing w:line="560" w:lineRule="exact"/>
        <w:ind w:left="0" w:firstLineChars="200" w:firstLine="640"/>
        <w:rPr>
          <w:rFonts w:ascii="方正楷体_GBK" w:eastAsia="方正楷体_GBK"/>
          <w:b/>
          <w:bCs/>
          <w:szCs w:val="32"/>
          <w:bdr w:val="none" w:sz="0" w:space="0" w:color="auto"/>
        </w:rPr>
      </w:pPr>
      <w:r>
        <w:rPr>
          <w:rFonts w:ascii="方正楷体_GBK" w:eastAsia="方正楷体_GBK"/>
          <w:b/>
          <w:bCs/>
          <w:szCs w:val="32"/>
          <w:bdr w:val="none" w:sz="0" w:space="0" w:color="auto"/>
        </w:rPr>
        <w:t>（三）积极主动作为，助力外贸发展。</w:t>
      </w:r>
      <w:r>
        <w:rPr>
          <w:bCs/>
          <w:szCs w:val="32"/>
          <w:bdr w:val="none" w:sz="0" w:space="0" w:color="auto"/>
        </w:rPr>
        <w:t>借力信息公开，</w:t>
      </w:r>
      <w:r>
        <w:rPr>
          <w:szCs w:val="32"/>
        </w:rPr>
        <w:t>乘势宣讲海关政策，告知信息数据获取方式，</w:t>
      </w:r>
      <w:r>
        <w:rPr>
          <w:szCs w:val="32"/>
          <w:bdr w:val="none" w:sz="0" w:space="0" w:color="auto"/>
        </w:rPr>
        <w:t>紧紧围绕服务地方经济发展的工作重点，</w:t>
      </w:r>
      <w:r>
        <w:rPr>
          <w:bCs/>
          <w:szCs w:val="32"/>
          <w:lang w:val="en-US" w:eastAsia="zh-CN"/>
        </w:rPr>
        <w:t>通过召开企业座谈会、上门服</w:t>
      </w:r>
      <w:r>
        <w:rPr>
          <w:rFonts w:ascii="Times New Roman" w:eastAsia="方正仿宋_GBK" w:cs="Times New Roman" w:hAnsi="Times New Roman"/>
          <w:bCs/>
          <w:sz w:val="32"/>
          <w:szCs w:val="32"/>
          <w:lang w:val="en-US" w:eastAsia="zh-CN" w:bidi="ar-SA"/>
        </w:rPr>
        <w:t>务、微信群等方式，积极宣传海关业务改革，</w:t>
      </w:r>
      <w:r>
        <w:rPr>
          <w:rFonts w:ascii="Times New Roman" w:eastAsia="方正仿宋_GBK" w:cs="Times New Roman" w:hAnsi="Times New Roman"/>
          <w:bCs/>
          <w:sz w:val="32"/>
          <w:szCs w:val="32"/>
          <w:lang w:val="en-US" w:eastAsia="zh-CN"/>
        </w:rPr>
        <w:t>重点对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  <w:lang w:val="en-US" w:eastAsia="zh-CN"/>
        </w:rPr>
        <w:t>“</w:t>
      </w:r>
      <w:r>
        <w:rPr>
          <w:rFonts w:ascii="Times New Roman" w:eastAsia="方正仿宋_GBK" w:cs="Times New Roman" w:hAnsi="Times New Roman"/>
          <w:bCs/>
          <w:sz w:val="32"/>
          <w:szCs w:val="32"/>
          <w:lang w:val="en-US" w:eastAsia="zh-CN"/>
        </w:rPr>
        <w:t>税费电子支付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  <w:lang w:val="en-US" w:eastAsia="zh-CN"/>
        </w:rPr>
        <w:t>”“</w:t>
      </w:r>
      <w:r>
        <w:rPr>
          <w:rFonts w:ascii="Times New Roman" w:eastAsia="方正仿宋_GBK" w:cs="Times New Roman" w:hAnsi="Times New Roman"/>
          <w:bCs/>
          <w:sz w:val="32"/>
          <w:szCs w:val="32"/>
          <w:lang w:val="en-US" w:eastAsia="zh-CN"/>
        </w:rPr>
        <w:t>先放后检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  <w:lang w:val="en-US" w:eastAsia="zh-CN"/>
        </w:rPr>
        <w:t>”“</w:t>
      </w:r>
      <w:r>
        <w:rPr>
          <w:rFonts w:ascii="Times New Roman" w:eastAsia="方正仿宋_GBK" w:cs="Times New Roman" w:hAnsi="Times New Roman"/>
          <w:bCs/>
          <w:sz w:val="32"/>
          <w:szCs w:val="32"/>
          <w:lang w:val="en-US" w:eastAsia="zh-CN"/>
        </w:rPr>
        <w:t>增值税税率变化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  <w:lang w:val="en-US" w:eastAsia="zh-CN"/>
        </w:rPr>
        <w:t>”“</w:t>
      </w:r>
      <w:r>
        <w:rPr>
          <w:rFonts w:ascii="Times New Roman" w:eastAsia="方正仿宋_GBK" w:cs="Times New Roman" w:hAnsi="Times New Roman"/>
          <w:bCs/>
          <w:sz w:val="32"/>
          <w:szCs w:val="32"/>
          <w:lang w:val="en-US" w:eastAsia="zh-CN"/>
        </w:rPr>
        <w:t>两步申报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  <w:lang w:val="en-US" w:eastAsia="zh-CN"/>
        </w:rPr>
        <w:t>”</w:t>
      </w:r>
      <w:r>
        <w:rPr>
          <w:rFonts w:ascii="Times New Roman" w:eastAsia="方正仿宋_GBK" w:cs="Times New Roman" w:hAnsi="Times New Roman"/>
          <w:bCs/>
          <w:sz w:val="32"/>
          <w:szCs w:val="32"/>
          <w:lang w:val="en-US" w:eastAsia="zh-CN"/>
        </w:rPr>
        <w:t>等做好讲解宣传，保障辖区企业享受国家政策便利，</w:t>
      </w:r>
      <w:r>
        <w:rPr>
          <w:szCs w:val="32"/>
          <w:bdr w:val="none" w:sz="0" w:space="0" w:color="auto"/>
        </w:rPr>
        <w:t>积极回应外贸企业关切</w:t>
      </w:r>
      <w:r>
        <w:rPr>
          <w:szCs w:val="32"/>
          <w:bdr w:val="none" w:sz="0" w:space="0" w:color="auto"/>
        </w:rPr>
        <w:t>。</w:t>
      </w:r>
    </w:p>
    <w:p>
      <w:pPr>
        <w:pStyle w:val="126"/>
        <w:adjustRightInd w:val="0"/>
        <w:snapToGrid w:val="0"/>
        <w:spacing w:beforeLines="50" w:before="218" w:afterLines="50" w:after="218"/>
        <w:ind w:firstLineChars="200" w:firstLine="624"/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二、主动公开政府信息情况</w:t>
      </w:r>
    </w:p>
    <w:tbl>
      <w:tblPr>
        <w:jc w:val="center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0"/>
        <w:gridCol w:w="2183"/>
        <w:gridCol w:w="1936"/>
        <w:gridCol w:w="2156"/>
      </w:tblGrid>
      <w:tr>
        <w:trPr>
          <w:trHeight w:val="495"/>
        </w:trPr>
        <w:tc>
          <w:tcPr>
            <w:tcW w:w="8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第二十条第（一）项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本年</w:t>
            </w:r>
            <w:r>
              <w:rPr>
                <w:color w:val="auto"/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本年</w:t>
            </w: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废止件</w:t>
            </w:r>
            <w:r>
              <w:rPr>
                <w:color w:val="auto"/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现行有效件数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行政</w:t>
            </w: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435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第二十条第（五）项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8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本</w:t>
            </w: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9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1</w:t>
            </w:r>
          </w:p>
        </w:tc>
      </w:tr>
      <w:tr>
        <w:trPr>
          <w:trHeight w:val="406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第二十条第（六）项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0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本</w:t>
            </w: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0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1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0</w:t>
            </w:r>
          </w:p>
        </w:tc>
      </w:tr>
      <w:tr>
        <w:trPr>
          <w:trHeight w:val="474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第二十条第（八）项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2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本</w:t>
            </w: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年</w:t>
            </w: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收费金额（单位：万元）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adjustRightInd w:val="0"/>
              <w:snapToGrid w:val="0"/>
              <w:spacing w:line="260" w:lineRule="exact"/>
              <w:jc w:val="center"/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0</w:t>
            </w:r>
          </w:p>
        </w:tc>
      </w:tr>
    </w:tbl>
    <w:p>
      <w:pPr>
        <w:pStyle w:val="33"/>
        <w:tabs>
          <w:tab w:val="center" w:pos="4153"/>
          <w:tab w:val="right" w:pos="8306"/>
        </w:tabs>
        <w:adjustRightInd/>
        <w:snapToGrid w:val="0"/>
        <w:contextualSpacing w:val="0"/>
      </w:pPr>
    </w:p>
    <w:p>
      <w:pPr>
        <w:pStyle w:val="92"/>
        <w:widowControl/>
        <w:shd w:val="clear" w:color="auto" w:fill="FFFFFF"/>
        <w:adjustRightInd w:val="0"/>
        <w:snapToGrid w:val="0"/>
        <w:spacing w:beforeAutospacing="0" w:afterLines="50" w:after="218" w:afterAutospacing="0" w:line="560" w:lineRule="exact"/>
        <w:ind w:left="0" w:firstLineChars="200" w:firstLine="640"/>
        <w:jc w:val="both"/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三、收到和处理政府信息公开申请情况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>
        <w:trPr>
          <w:tblHeader/>
        </w:trP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  <w:lang w:bidi="ar-SA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  <w:lang w:bidi="ar-SA"/>
              </w:rPr>
              <w:t>申请人情况</w:t>
            </w:r>
          </w:p>
        </w:tc>
      </w:tr>
      <w:tr>
        <w:trPr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  <w:lang w:bidi="ar-SA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  <w:lang w:bidi="ar-SA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  <w:lang w:bidi="ar-SA"/>
              </w:rPr>
              <w:t>总计</w:t>
            </w:r>
          </w:p>
        </w:tc>
      </w:tr>
      <w:tr>
        <w:trPr>
          <w:trHeight w:val="649"/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  <w:lang w:bidi="ar-SA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  <w:lang w:bidi="ar-SA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  <w:lang w:bidi="ar-SA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  <w:lang w:bidi="ar-SA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  <w:lang w:bidi="ar-SA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27"/>
              <w:widowControl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27"/>
              <w:widowControl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3.危及“三安全一稳定”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（五）不予处理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81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（六）其他处理</w:t>
            </w: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27"/>
              <w:widowControl/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1.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申请人无正当理由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逾期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不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补正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27"/>
              <w:widowControl/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2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申请人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逾期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未按收费通知要求缴纳费用、行政机关不再处理其政府信息公开申请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5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5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5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5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5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5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6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27"/>
              <w:widowControl/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3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.咨询事项，指引咨询渠道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6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6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6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6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6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6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6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27"/>
              <w:widowControl/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4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.申请人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撤销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6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6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7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7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7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7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7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left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</w:tbl>
    <w:p>
      <w:pPr>
        <w:pStyle w:val="92"/>
        <w:widowControl/>
        <w:shd w:val="clear" w:color="auto" w:fill="FFFFFF"/>
        <w:spacing w:beforeLines="50" w:before="218" w:beforeAutospacing="0" w:after="120" w:afterAutospacing="0"/>
        <w:ind w:left="0"/>
        <w:jc w:val="both"/>
        <w:rPr>
          <w:rFonts w:ascii="方正黑体_GBK" w:eastAsia="方正黑体_GBK" w:cs="楷体_GB2312" w:hint="eastAsia"/>
          <w:bCs/>
          <w:color w:val="auto"/>
          <w:sz w:val="32"/>
          <w:szCs w:val="32"/>
          <w:shd w:val="clear" w:color="auto" w:fill="FFFFFF"/>
          <w:lang w:bidi="ar-SA"/>
        </w:rPr>
      </w:pPr>
    </w:p>
    <w:p>
      <w:pPr>
        <w:pStyle w:val="92"/>
        <w:widowControl/>
        <w:shd w:val="clear" w:color="auto" w:fill="FFFFFF"/>
        <w:spacing w:beforeLines="50" w:before="218" w:beforeAutospacing="0" w:after="120" w:afterAutospacing="0"/>
        <w:ind w:firstLineChars="200" w:firstLine="640"/>
        <w:jc w:val="both"/>
        <w:rPr>
          <w:rFonts w:ascii="宋体" w:cs="宋体" w:hint="eastAsia"/>
          <w:color w:val="auto"/>
          <w:szCs w:val="24"/>
          <w:lang w:bidi="ar-SA"/>
        </w:rPr>
      </w:pPr>
      <w:r>
        <w:rPr>
          <w:rFonts w:ascii="方正黑体_GBK" w:eastAsia="方正黑体_GBK" w:cs="楷体_GB2312" w:hint="eastAsia"/>
          <w:bCs/>
          <w:color w:val="auto"/>
          <w:sz w:val="32"/>
          <w:szCs w:val="32"/>
          <w:shd w:val="clear" w:color="auto" w:fill="FFFFFF"/>
          <w:lang w:bidi="ar-SA"/>
        </w:rPr>
        <w:t>四、政府信息公开行政复议、行政诉讼情况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行政诉讼</w:t>
            </w:r>
          </w:p>
        </w:tc>
      </w:tr>
      <w:t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复议后起诉</w:t>
            </w:r>
          </w:p>
        </w:tc>
      </w:tr>
      <w:t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总计</w:t>
            </w:r>
          </w:p>
        </w:tc>
      </w:tr>
      <w:tr>
        <w:trPr>
          <w:trHeight w:val="862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</w:t>
            </w:r>
          </w:p>
        </w:tc>
      </w:tr>
    </w:tbl>
    <w:p>
      <w:pPr>
        <w:pStyle w:val="92"/>
        <w:widowControl/>
        <w:shd w:val="clear" w:color="auto" w:fill="FFFFFF"/>
        <w:spacing w:beforeLines="50" w:before="218"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五、存在的主要问题及改进情况</w:t>
      </w:r>
    </w:p>
    <w:p>
      <w:pPr>
        <w:pStyle w:val="189"/>
        <w:adjustRightInd w:val="0"/>
        <w:snapToGrid w:val="0"/>
        <w:ind w:firstLineChars="200" w:firstLine="624"/>
      </w:pPr>
      <w:r>
        <w:rPr>
          <w:rFonts w:ascii="方正楷体_GBK" w:eastAsia="方正楷体_GBK" w:hint="eastAsia"/>
          <w:b/>
          <w:bCs/>
        </w:rPr>
        <w:t>（一）20</w:t>
      </w:r>
      <w:r>
        <w:rPr>
          <w:rFonts w:ascii="方正楷体_GBK" w:eastAsia="方正楷体_GBK" w:hint="eastAsia"/>
          <w:b/>
          <w:bCs/>
        </w:rPr>
        <w:t>2</w:t>
      </w:r>
      <w:r>
        <w:rPr>
          <w:rFonts w:ascii="方正楷体_GBK" w:eastAsia="方正楷体_GBK"/>
          <w:b/>
          <w:bCs/>
        </w:rPr>
        <w:t>4</w:t>
      </w:r>
      <w:r>
        <w:rPr>
          <w:rFonts w:ascii="方正楷体_GBK" w:eastAsia="方正楷体_GBK" w:hint="eastAsia"/>
          <w:b/>
          <w:bCs/>
        </w:rPr>
        <w:t>年年报</w:t>
      </w:r>
      <w:r>
        <w:rPr>
          <w:rFonts w:ascii="方正楷体_GBK" w:eastAsia="方正楷体_GBK" w:hint="eastAsia"/>
          <w:b/>
          <w:bCs/>
        </w:rPr>
        <w:t>中</w:t>
      </w:r>
      <w:r>
        <w:rPr>
          <w:rFonts w:ascii="方正楷体_GBK" w:eastAsia="方正楷体_GBK" w:hint="eastAsia"/>
          <w:b/>
          <w:bCs/>
        </w:rPr>
        <w:t>所提问题整改情况。</w:t>
      </w:r>
      <w:r>
        <w:rPr>
          <w:bCs/>
        </w:rPr>
        <w:t>2024年报中提出：</w:t>
      </w:r>
      <w:r>
        <w:t>目前我关政务主动公开渠道渠道有限，新媒体媒介运用不强。整改情况：主动探索信息公开渠道，学习新媒体媒介公开规定依据。</w:t>
      </w:r>
      <w:r>
        <w:t>参加</w:t>
      </w:r>
      <w:r>
        <w:t>工作培训2次，及时开展二次培训，保各项工作流程符合规范。</w:t>
      </w:r>
    </w:p>
    <w:p>
      <w:pPr>
        <w:pStyle w:val="190"/>
        <w:adjustRightInd w:val="0"/>
        <w:snapToGrid w:val="0"/>
        <w:ind w:firstLineChars="200" w:firstLine="624"/>
        <w:rPr>
          <w:rFonts w:ascii="方正楷体_GBK" w:eastAsia="方正楷体_GBK"/>
          <w:b/>
          <w:bCs/>
        </w:rPr>
      </w:pPr>
      <w:r>
        <w:rPr>
          <w:rFonts w:ascii="方正楷体_GBK" w:eastAsia="方正楷体_GBK" w:hint="eastAsia"/>
          <w:b/>
          <w:bCs/>
        </w:rPr>
        <w:t>（二）</w:t>
      </w:r>
      <w:r>
        <w:rPr>
          <w:rFonts w:ascii="方正楷体_GBK" w:eastAsia="方正楷体_GBK" w:hint="eastAsia"/>
          <w:b/>
          <w:bCs/>
        </w:rPr>
        <w:t>目前存在</w:t>
      </w:r>
      <w:r>
        <w:rPr>
          <w:rFonts w:ascii="方正楷体_GBK" w:eastAsia="方正楷体_GBK" w:hint="eastAsia"/>
          <w:b/>
          <w:bCs/>
        </w:rPr>
        <w:t>问题。</w:t>
      </w:r>
      <w:r>
        <w:rPr>
          <w:bCs/>
        </w:rPr>
        <w:t>目前信息公开工作主要依照企业或群众申请，主动公开还不够。</w:t>
      </w:r>
      <w:r>
        <w:t>下一步工作中，将继续按照信息公开工作规定，主动公开办事流程</w:t>
      </w:r>
      <w:r>
        <w:t>，靠前服务，助力外贸经济高质量发展</w:t>
      </w:r>
      <w:bookmarkStart w:id="2" w:name="_GoBack"/>
      <w:bookmarkEnd w:id="2"/>
      <w:r>
        <w:t>。</w:t>
      </w:r>
    </w:p>
    <w:p>
      <w:pPr>
        <w:pStyle w:val="92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 w:hint="eastAsia"/>
          <w:bCs/>
          <w:color w:val="auto"/>
          <w:sz w:val="32"/>
          <w:szCs w:val="32"/>
          <w:shd w:val="clear" w:color="auto" w:fill="FFFFFF"/>
          <w:lang w:bidi="ar-SA"/>
        </w:rPr>
      </w:pPr>
      <w:r>
        <w:rPr>
          <w:rFonts w:ascii="方正黑体_GBK" w:eastAsia="方正黑体_GBK" w:cs="楷体_GB2312" w:hint="eastAsia"/>
          <w:bCs/>
          <w:color w:val="auto"/>
          <w:sz w:val="32"/>
          <w:szCs w:val="32"/>
          <w:shd w:val="clear" w:color="auto" w:fill="FFFFFF"/>
          <w:lang w:bidi="ar-SA"/>
        </w:rPr>
        <w:t>六、其他需要报告的事项</w:t>
      </w:r>
      <w:bookmarkEnd w:id="1"/>
    </w:p>
    <w:p>
      <w:pPr>
        <w:pStyle w:val="191"/>
        <w:adjustRightInd w:val="0"/>
        <w:snapToGrid w:val="0"/>
        <w:ind w:firstLineChars="200" w:firstLine="624"/>
      </w:pPr>
      <w:r>
        <w:t>2025年全年无收取信息处理费情况。</w:t>
      </w:r>
    </w:p>
    <w:sectPr>
      <w:footerReference w:type="default" r:id="rId2"/>
      <w:footerReference w:type="even" r:id="rId3"/>
      <w:footerReference w:type="first" r:id="rId4"/>
      <w:pgSz w:w="11906" w:h="16838"/>
      <w:pgMar w:top="2098" w:right="1474" w:bottom="1985" w:left="1588" w:header="851" w:footer="992" w:gutter="0"/>
      <w:pgNumType w:fmt="numberInDash" w:start="1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楷体_GB2312">
    <w:altName w:val="楷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楷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ourier New">
    <w:panose1 w:val="02070409020205090404"/>
    <w:charset w:val="00"/>
    <w:family w:val="auto"/>
    <w:pitch w:val="variable"/>
    <w:sig w:usb0="00007A87" w:usb1="80000000" w:usb2="00000008" w:usb3="00000000" w:csb0="400001FF" w:csb1="FFFF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93"/>
      <w:framePr w:w="0" w:hRule="auto" w:wrap="around" w:vAnchor="text" w:hAnchor="margin" w:xAlign="outside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42"/>
      </w:rPr>
      <w:fldChar w:fldCharType="begin"/>
    </w:r>
    <w:r>
      <w:rPr>
        <w:rStyle w:val="42"/>
      </w:rPr>
      <w:instrText>Page</w:instrText>
    </w:r>
    <w:r>
      <w:rPr>
        <w:rStyle w:val="42"/>
      </w:rPr>
      <w:fldChar w:fldCharType="separate"/>
    </w:r>
    <w:r>
      <w:rPr>
        <w:rStyle w:val="42"/>
      </w:rPr>
      <w:t>- 1 -</w:t>
    </w:r>
    <w:r>
      <w:rPr>
        <w:rStyle w:val="42"/>
      </w:rPr>
      <w:fldChar w:fldCharType="end"/>
    </w:r>
  </w:p>
  <w:p>
    <w:pPr>
      <w:pStyle w:val="193"/>
      <w:tabs>
        <w:tab w:val="center" w:pos="4153"/>
        <w:tab w:val="right" w:pos="8306"/>
      </w:tabs>
      <w:ind w:right="360" w:firstLine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92"/>
      <w:framePr w:w="0" w:hRule="auto" w:wrap="around" w:vAnchor="text" w:hAnchor="margin" w:xAlign="outside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42"/>
      </w:rPr>
      <w:fldChar w:fldCharType="begin"/>
    </w:r>
    <w:r>
      <w:rPr>
        <w:rStyle w:val="42"/>
      </w:rPr>
      <w:instrText>Page</w:instrText>
    </w:r>
    <w:r>
      <w:rPr>
        <w:rStyle w:val="42"/>
      </w:rPr>
      <w:fldChar w:fldCharType="separate"/>
    </w:r>
    <w:r>
      <w:rPr>
        <w:rStyle w:val="42"/>
      </w:rPr>
      <w:t>- 2 -</w:t>
    </w:r>
    <w:r>
      <w:rPr>
        <w:rStyle w:val="42"/>
      </w:rPr>
      <w:fldChar w:fldCharType="end"/>
    </w:r>
  </w:p>
  <w:p>
    <w:pPr>
      <w:pStyle w:val="192"/>
      <w:tabs>
        <w:tab w:val="center" w:pos="4153"/>
        <w:tab w:val="right" w:pos="8306"/>
      </w:tabs>
      <w:ind w:right="360" w:firstLine="360"/>
    </w:pP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94"/>
      <w:tabs>
        <w:tab w:val="center" w:pos="4153"/>
        <w:tab w:val="right" w:pos="8306"/>
      </w:tabs>
      <w:jc w:val="right"/>
    </w:pP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NumPages</w:instrText>
    </w:r>
    <w:r>
      <w:fldChar w:fldCharType="separate"/>
    </w:r>
    <w:r>
      <w:t>2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</w:p>
  <w:p>
    <w:pPr>
      <w:pStyle w:val="194"/>
      <w:tabs>
        <w:tab w:val="center" w:pos="4153"/>
        <w:tab w:val="right" w:pos="8306"/>
      </w:tabs>
    </w:pP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0FFFFF80"/>
    <w:multiLevelType w:val="singleLevel"/>
    <w:tmpl w:val="00000000"/>
    <w:lvl w:ilvl="0">
      <w:start w:val="1"/>
      <w:numFmt w:val="bullet"/>
      <w:lvlRestart w:val="0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1">
    <w:nsid w:val="0FFFFF7D"/>
    <w:multiLevelType w:val="singleLevel"/>
    <w:tmpl w:val="00000000"/>
    <w:lvl w:ilvl="0">
      <w:start w:val="1"/>
      <w:numFmt w:val="decimal"/>
      <w:lvlRestart w:val="0"/>
      <w:lvlText w:val="%1."/>
      <w:lvlJc w:val="left"/>
      <w:pPr>
        <w:tabs>
          <w:tab w:val="num" w:pos="1620"/>
        </w:tabs>
        <w:ind w:left="16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50"/>
  <w:doNotDisplayPageBoundaries/>
  <w:displayBackgroundShape/>
  <w:bordersDoNotSurroundHeader/>
  <w:bordersDoNotSurroundFooter/>
  <w:defaultTabStop w:val="420"/>
  <w:drawingGridHorizontalSpacing w:val="160"/>
  <w:drawingGridVerticalSpacing w:val="217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6">
    <w:name w:val="index 6"/>
    <w:basedOn w:val="0"/>
    <w:autoRedefine/>
    <w:next w:val="0"/>
    <w:pPr>
      <w:ind w:left="2100"/>
    </w:pPr>
  </w:style>
  <w:style w:type="paragraph" w:styleId="23">
    <w:name w:val="toc 4"/>
    <w:basedOn w:val="0"/>
    <w:autoRedefine/>
    <w:next w:val="0"/>
    <w:pPr>
      <w:ind w:left="1260"/>
    </w:pPr>
  </w:style>
  <w:style w:type="paragraph" w:styleId="26">
    <w:name w:val="toc 7"/>
    <w:basedOn w:val="0"/>
    <w:autoRedefine/>
    <w:next w:val="0"/>
    <w:pPr>
      <w:ind w:left="2520"/>
    </w:pPr>
  </w:style>
  <w:style w:type="paragraph" w:styleId="27">
    <w:name w:val="toc 8"/>
    <w:basedOn w:val="0"/>
    <w:autoRedefine/>
    <w:next w:val="0"/>
    <w:pPr>
      <w:ind w:left="2940"/>
    </w:pPr>
  </w:style>
  <w:style w:type="paragraph" w:styleId="30">
    <w:name w:val="footnote text"/>
    <w:basedOn w:val="0"/>
    <w:pPr>
      <w:snapToGrid w:val="0"/>
      <w:jc w:val="left"/>
    </w:pPr>
    <w:rPr>
      <w:sz w:val="18"/>
      <w:szCs w:val="18"/>
    </w:rPr>
  </w:style>
  <w:style w:type="paragraph" w:styleId="31">
    <w:name w:val="annotation text"/>
    <w:basedOn w:val="0"/>
    <w:pPr>
      <w:jc w:val="left"/>
    </w:pPr>
  </w:style>
  <w:style w:type="paragraph" w:styleId="33">
    <w:name w:val="footer"/>
    <w:next w:val="16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方正仿宋_GBK" w:cs="Times New Roman" w:hAnsi="Times New Roman"/>
      <w:kern w:val="2"/>
      <w:sz w:val="18"/>
      <w:szCs w:val="18"/>
      <w:lang w:val="en-US" w:eastAsia="zh-CN" w:bidi="ar-SA"/>
    </w:rPr>
  </w:style>
  <w:style w:type="character" w:styleId="42">
    <w:name w:val="page number"/>
  </w:style>
  <w:style w:type="paragraph" w:styleId="45">
    <w:name w:val="table of authorities"/>
    <w:basedOn w:val="0"/>
    <w:next w:val="0"/>
    <w:pPr>
      <w:ind w:left="420"/>
    </w:pPr>
  </w:style>
  <w:style w:type="paragraph" w:styleId="47">
    <w:name w:val="toa heading"/>
    <w:basedOn w:val="0"/>
    <w:next w:val="0"/>
    <w:pPr>
      <w:spacing w:before="120"/>
    </w:pPr>
    <w:rPr>
      <w:rFonts w:ascii="Arial" w:hAnsi="Arial"/>
      <w:sz w:val="24"/>
      <w:szCs w:val="24"/>
    </w:rPr>
  </w:style>
  <w:style w:type="paragraph" w:styleId="58">
    <w:name w:val="List Bullet 5"/>
    <w:basedOn w:val="0"/>
    <w:pPr>
      <w:numPr>
        <w:ilvl w:val="0"/>
        <w:numId w:val="1"/>
      </w:numPr>
    </w:pPr>
  </w:style>
  <w:style w:type="paragraph" w:styleId="61">
    <w:name w:val="List Number 4"/>
    <w:basedOn w:val="0"/>
    <w:pPr>
      <w:numPr>
        <w:ilvl w:val="0"/>
        <w:numId w:val="2"/>
      </w:numPr>
    </w:pPr>
  </w:style>
  <w:style w:type="paragraph" w:styleId="65">
    <w:name w:val="Signature"/>
    <w:basedOn w:val="0"/>
    <w:pPr>
      <w:ind w:left="4320"/>
    </w:pPr>
  </w:style>
  <w:style w:type="paragraph" w:styleId="66">
    <w:name w:val="Body Text"/>
    <w:basedOn w:val="0"/>
    <w:pPr>
      <w:spacing w:after="120"/>
    </w:pPr>
  </w:style>
  <w:style w:type="paragraph" w:styleId="67">
    <w:name w:val="Body Text Indent"/>
    <w:basedOn w:val="0"/>
    <w:pPr>
      <w:spacing w:after="120"/>
      <w:ind w:left="420"/>
    </w:pPr>
  </w:style>
  <w:style w:type="paragraph" w:styleId="69">
    <w:name w:val="List Continue 2"/>
    <w:basedOn w:val="0"/>
    <w:pPr>
      <w:spacing w:after="120"/>
      <w:ind w:left="840"/>
    </w:pPr>
  </w:style>
  <w:style w:type="paragraph" w:styleId="70">
    <w:name w:val="List Continue 3"/>
    <w:basedOn w:val="0"/>
    <w:pPr>
      <w:spacing w:after="120"/>
      <w:ind w:left="1260"/>
    </w:pPr>
  </w:style>
  <w:style w:type="paragraph" w:styleId="74">
    <w:name w:val="Subtitle"/>
    <w:basedOn w:val="0"/>
    <w:pPr>
      <w:spacing w:before="240" w:after="60" w:line="312" w:lineRule="auto"/>
      <w:jc w:val="center"/>
      <w:outlineLvl w:val="1"/>
    </w:pPr>
    <w:rPr>
      <w:rFonts w:ascii="Arial" w:hAnsi="Arial"/>
      <w:b/>
      <w:bCs/>
      <w:kern w:val="28"/>
      <w:sz w:val="32"/>
      <w:szCs w:val="32"/>
    </w:rPr>
  </w:style>
  <w:style w:type="paragraph" w:styleId="75">
    <w:name w:val="Salutation"/>
    <w:basedOn w:val="0"/>
    <w:next w:val="0"/>
  </w:style>
  <w:style w:type="paragraph" w:styleId="76">
    <w:name w:val="Date"/>
    <w:basedOn w:val="0"/>
    <w:next w:val="0"/>
    <w:pPr>
      <w:ind w:leftChars="2500" w:left="2500"/>
    </w:pPr>
  </w:style>
  <w:style w:type="paragraph" w:styleId="77">
    <w:name w:val="Body Text First Indent"/>
    <w:basedOn w:val="66"/>
    <w:pPr>
      <w:ind w:firstLine="420"/>
    </w:pPr>
  </w:style>
  <w:style w:type="paragraph" w:styleId="78">
    <w:name w:val="Body Text First Indent 2"/>
    <w:basedOn w:val="67"/>
    <w:pPr>
      <w:ind w:firstLine="420"/>
    </w:pPr>
  </w:style>
  <w:style w:type="paragraph" w:styleId="79">
    <w:name w:val="Note Heading"/>
    <w:basedOn w:val="0"/>
    <w:next w:val="0"/>
    <w:pPr>
      <w:jc w:val="center"/>
    </w:pPr>
  </w:style>
  <w:style w:type="paragraph" w:styleId="80">
    <w:name w:val="Body Text 2"/>
    <w:basedOn w:val="0"/>
    <w:pPr>
      <w:spacing w:after="120" w:line="480" w:lineRule="auto"/>
    </w:pPr>
  </w:style>
  <w:style w:type="paragraph" w:styleId="81">
    <w:name w:val="Body Text 3"/>
    <w:basedOn w:val="0"/>
    <w:pPr>
      <w:spacing w:after="120"/>
    </w:pPr>
    <w:rPr>
      <w:sz w:val="16"/>
      <w:szCs w:val="16"/>
    </w:rPr>
  </w:style>
  <w:style w:type="paragraph" w:styleId="82">
    <w:name w:val="Body Text Indent 2"/>
    <w:basedOn w:val="0"/>
    <w:pPr>
      <w:spacing w:after="120" w:line="480" w:lineRule="auto"/>
      <w:ind w:left="420"/>
    </w:pPr>
  </w:style>
  <w:style w:type="paragraph" w:styleId="83">
    <w:name w:val="Body Text Indent 3"/>
    <w:basedOn w:val="0"/>
    <w:pPr>
      <w:spacing w:after="120"/>
      <w:ind w:left="420"/>
    </w:pPr>
    <w:rPr>
      <w:sz w:val="16"/>
      <w:szCs w:val="16"/>
    </w:rPr>
  </w:style>
  <w:style w:type="paragraph" w:styleId="84">
    <w:name w:val="Block Text"/>
    <w:basedOn w:val="0"/>
    <w:pPr>
      <w:spacing w:after="120"/>
      <w:ind w:left="140" w:rightChars="700" w:right="700"/>
    </w:pPr>
  </w:style>
  <w:style w:type="character" w:styleId="85">
    <w:name w:val="Hyperlink"/>
    <w:basedOn w:val="10"/>
    <w:rPr>
      <w:color w:val="0000FF"/>
      <w:u w:val="single"/>
    </w:rPr>
  </w:style>
  <w:style w:type="character" w:styleId="86">
    <w:name w:val="FollowedHyperlink"/>
    <w:basedOn w:val="10"/>
    <w:rPr>
      <w:color w:val="800080"/>
      <w:u w:val="single"/>
    </w:rPr>
  </w:style>
  <w:style w:type="character" w:styleId="87">
    <w:name w:val="Strong"/>
    <w:basedOn w:val="10"/>
    <w:rPr>
      <w:b/>
    </w:rPr>
  </w:style>
  <w:style w:type="character" w:styleId="88">
    <w:name w:val="Emphasis"/>
    <w:basedOn w:val="10"/>
    <w:rPr>
      <w:i/>
    </w:rPr>
  </w:style>
  <w:style w:type="paragraph" w:styleId="89">
    <w:name w:val="Document Map"/>
    <w:basedOn w:val="0"/>
    <w:pPr>
      <w:shd w:val="clear" w:color="auto" w:fill="000080"/>
    </w:pPr>
  </w:style>
  <w:style w:type="paragraph" w:styleId="90">
    <w:name w:val="Plain Text"/>
    <w:basedOn w:val="0"/>
    <w:rPr>
      <w:rFonts w:ascii="Courier New" w:eastAsia="宋体" w:hAnsi="Courier New"/>
    </w:rPr>
  </w:style>
  <w:style w:type="paragraph" w:styleId="91">
    <w:name w:val="E-mail Signature"/>
    <w:basedOn w:val="0"/>
  </w:style>
  <w:style w:type="paragraph" w:styleId="92">
    <w:name w:val="Normal (Web)"/>
    <w:next w:val="16"/>
    <w:pPr>
      <w:widowControl w:val="0"/>
      <w:spacing w:beforeAutospacing="1" w:afterAutospacing="1"/>
      <w:jc w:val="left"/>
    </w:pPr>
    <w:rPr>
      <w:rFonts w:ascii="Times New Roman" w:eastAsia="宋体" w:cs="Times New Roman" w:hAnsi="Times New Roman"/>
      <w:kern w:val="0"/>
      <w:sz w:val="24"/>
      <w:szCs w:val="30"/>
      <w:lang w:val="en-US" w:eastAsia="zh-CN" w:bidi="ar-SA"/>
    </w:rPr>
  </w:style>
  <w:style w:type="character" w:styleId="93">
    <w:name w:val="HTML Acronym"/>
    <w:basedOn w:val="10"/>
  </w:style>
  <w:style w:type="paragraph" w:styleId="94">
    <w:name w:val="HTML Address"/>
    <w:basedOn w:val="0"/>
    <w:rPr>
      <w:i/>
    </w:rPr>
  </w:style>
  <w:style w:type="character" w:styleId="95">
    <w:name w:val="HTML Cite"/>
    <w:basedOn w:val="10"/>
    <w:rPr>
      <w:i/>
    </w:rPr>
  </w:style>
  <w:style w:type="character" w:styleId="96">
    <w:name w:val="HTML Code"/>
    <w:basedOn w:val="10"/>
    <w:rPr>
      <w:rFonts w:ascii="Courier New" w:hAnsi="Courier New"/>
      <w:sz w:val="20"/>
      <w:szCs w:val="20"/>
    </w:rPr>
  </w:style>
  <w:style w:type="character" w:styleId="97">
    <w:name w:val="HTML Definition"/>
    <w:basedOn w:val="10"/>
    <w:rPr>
      <w:i/>
    </w:rPr>
  </w:style>
  <w:style w:type="character" w:styleId="98">
    <w:name w:val="HTML Keyboard"/>
    <w:basedOn w:val="10"/>
    <w:rPr>
      <w:rFonts w:ascii="Courier New" w:hAnsi="Courier New"/>
      <w:sz w:val="20"/>
      <w:szCs w:val="20"/>
    </w:rPr>
  </w:style>
  <w:style w:type="paragraph" w:styleId="99">
    <w:name w:val="HTML Preformatted"/>
    <w:basedOn w:val="0"/>
    <w:rPr>
      <w:rFonts w:ascii="Courier New" w:hAnsi="Courier New"/>
      <w:sz w:val="20"/>
      <w:szCs w:val="20"/>
    </w:rPr>
  </w:style>
  <w:style w:type="character" w:styleId="100">
    <w:name w:val="HTML Sample"/>
    <w:basedOn w:val="10"/>
    <w:rPr>
      <w:rFonts w:ascii="Courier New" w:hAnsi="Courier New"/>
    </w:rPr>
  </w:style>
  <w:style w:type="character" w:styleId="101">
    <w:name w:val="HTML Typewriter"/>
    <w:basedOn w:val="10"/>
    <w:rPr>
      <w:rFonts w:ascii="Courier New" w:hAnsi="Courier New"/>
      <w:sz w:val="20"/>
      <w:szCs w:val="20"/>
    </w:rPr>
  </w:style>
  <w:style w:type="character" w:styleId="102">
    <w:name w:val="HTML Variable"/>
    <w:basedOn w:val="10"/>
    <w:rPr>
      <w:i/>
    </w:rPr>
  </w:style>
  <w:style w:type="paragraph" w:styleId="103">
    <w:name w:val="annotation subject"/>
    <w:basedOn w:val="31"/>
    <w:next w:val="31"/>
    <w:rPr>
      <w:b/>
    </w:rPr>
  </w:style>
  <w:style w:type="paragraph" w:styleId="104">
    <w:name w:val="Balloon Text"/>
    <w:basedOn w:val="0"/>
    <w:next w:val="0"/>
    <w:rPr>
      <w:sz w:val="18"/>
      <w:szCs w:val="18"/>
    </w:rPr>
  </w:style>
  <w:style w:type="paragraph" w:customStyle="1" w:styleId="105">
    <w:name w:val="正文文字"/>
    <w:basedOn w:val="0"/>
    <w:next w:val="0"/>
    <w:pPr>
      <w:spacing w:after="120"/>
    </w:pPr>
  </w:style>
  <w:style w:type="paragraph" w:customStyle="1" w:styleId="106">
    <w:name w:val="正文文字 1"/>
    <w:basedOn w:val="0"/>
    <w:autoRedefine/>
    <w:next w:val="0"/>
    <w:pPr>
      <w:ind w:left="240"/>
    </w:pPr>
    <w:rPr>
      <w:sz w:val="28"/>
      <w:szCs w:val="28"/>
    </w:rPr>
  </w:style>
  <w:style w:type="paragraph" w:customStyle="1" w:styleId="107">
    <w:name w:val="正文文字 2"/>
    <w:basedOn w:val="0"/>
    <w:autoRedefine/>
    <w:next w:val="0"/>
    <w:pPr>
      <w:ind w:left="240"/>
    </w:pPr>
    <w:rPr>
      <w:rFonts w:ascii="Arial" w:hAnsi="Arial"/>
      <w:sz w:val="28"/>
      <w:szCs w:val="28"/>
    </w:rPr>
  </w:style>
  <w:style w:type="paragraph" w:customStyle="1" w:styleId="108">
    <w:name w:val="正文文字 3"/>
    <w:basedOn w:val="0"/>
    <w:autoRedefine/>
    <w:next w:val="0"/>
    <w:pPr>
      <w:ind w:left="240"/>
    </w:pPr>
    <w:rPr>
      <w:sz w:val="28"/>
      <w:szCs w:val="28"/>
    </w:rPr>
  </w:style>
  <w:style w:type="paragraph" w:customStyle="1" w:styleId="109">
    <w:name w:val="正文文字 4"/>
    <w:basedOn w:val="0"/>
    <w:autoRedefine/>
    <w:next w:val="0"/>
    <w:pPr>
      <w:ind w:left="240"/>
    </w:pPr>
    <w:rPr>
      <w:sz w:val="24"/>
      <w:szCs w:val="24"/>
    </w:rPr>
  </w:style>
  <w:style w:type="paragraph" w:customStyle="1" w:styleId="110">
    <w:name w:val="正文文字 5"/>
    <w:basedOn w:val="0"/>
    <w:autoRedefine/>
    <w:next w:val="0"/>
    <w:pPr>
      <w:ind w:left="240"/>
    </w:pPr>
    <w:rPr>
      <w:sz w:val="24"/>
      <w:szCs w:val="24"/>
    </w:rPr>
  </w:style>
  <w:style w:type="paragraph" w:customStyle="1" w:styleId="111">
    <w:name w:val="正文文字 6"/>
    <w:basedOn w:val="0"/>
    <w:autoRedefine/>
    <w:next w:val="0"/>
    <w:pPr>
      <w:ind w:left="240"/>
    </w:pPr>
    <w:rPr>
      <w:sz w:val="20"/>
      <w:szCs w:val="20"/>
    </w:rPr>
  </w:style>
  <w:style w:type="paragraph" w:customStyle="1" w:styleId="112">
    <w:name w:val="正文文字 7"/>
    <w:basedOn w:val="0"/>
    <w:autoRedefine/>
    <w:next w:val="0"/>
    <w:pPr>
      <w:ind w:left="240"/>
    </w:pPr>
    <w:rPr>
      <w:sz w:val="20"/>
      <w:szCs w:val="20"/>
    </w:rPr>
  </w:style>
  <w:style w:type="paragraph" w:customStyle="1" w:styleId="113">
    <w:name w:val="正文文字 8"/>
    <w:basedOn w:val="0"/>
    <w:autoRedefine/>
    <w:next w:val="0"/>
    <w:pPr>
      <w:ind w:left="240"/>
    </w:pPr>
    <w:rPr>
      <w:sz w:val="16"/>
      <w:szCs w:val="16"/>
    </w:rPr>
  </w:style>
  <w:style w:type="paragraph" w:customStyle="1" w:styleId="114">
    <w:name w:val="正文文字 9"/>
    <w:basedOn w:val="0"/>
    <w:autoRedefine/>
    <w:next w:val="0"/>
    <w:pPr>
      <w:ind w:left="240"/>
    </w:pPr>
    <w:rPr>
      <w:sz w:val="16"/>
      <w:szCs w:val="16"/>
    </w:rPr>
  </w:style>
  <w:style w:type="paragraph" w:customStyle="1" w:styleId="115">
    <w:name w:val="公式样式 文本"/>
    <w:autoRedefine/>
    <w:rPr>
      <w:rFonts w:ascii="Times New Roman" w:eastAsia="宋体" w:hAnsi="Times New Roman"/>
      <w:b w:val="0"/>
      <w:i w:val="0"/>
    </w:rPr>
  </w:style>
  <w:style w:type="paragraph" w:customStyle="1" w:styleId="116">
    <w:name w:val="公式样式 函数"/>
    <w:autoRedefine/>
    <w:rPr>
      <w:rFonts w:ascii="Times New Roman" w:eastAsia="宋体" w:hAnsi="Times New Roman"/>
      <w:b w:val="0"/>
      <w:i w:val="0"/>
    </w:rPr>
  </w:style>
  <w:style w:type="paragraph" w:customStyle="1" w:styleId="117">
    <w:name w:val="公式样式 变量"/>
    <w:autoRedefine/>
    <w:rPr>
      <w:rFonts w:ascii="Times New Roman" w:eastAsia="宋体" w:hAnsi="Times New Roman"/>
      <w:b w:val="0"/>
      <w:i/>
    </w:rPr>
  </w:style>
  <w:style w:type="paragraph" w:customStyle="1" w:styleId="118">
    <w:name w:val="公式样式 小写希腊字母"/>
    <w:autoRedefine/>
    <w:rPr>
      <w:rFonts w:ascii="Times New Roman" w:eastAsia="宋体" w:hAnsi="Times New Roman"/>
      <w:b w:val="0"/>
      <w:i/>
    </w:rPr>
  </w:style>
  <w:style w:type="paragraph" w:customStyle="1" w:styleId="119">
    <w:name w:val="公式样式 大写希腊字母"/>
    <w:autoRedefine/>
    <w:rPr>
      <w:rFonts w:ascii="Times New Roman" w:eastAsia="宋体" w:hAnsi="Times New Roman"/>
      <w:b w:val="0"/>
      <w:i w:val="0"/>
    </w:rPr>
  </w:style>
  <w:style w:type="paragraph" w:customStyle="1" w:styleId="120">
    <w:name w:val="公式样式 符号"/>
    <w:autoRedefine/>
    <w:rPr>
      <w:rFonts w:ascii="Times New Roman" w:eastAsia="宋体" w:hAnsi="Times New Roman"/>
      <w:b w:val="0"/>
      <w:i w:val="0"/>
    </w:rPr>
  </w:style>
  <w:style w:type="paragraph" w:customStyle="1" w:styleId="121">
    <w:name w:val="公式样式 矢量矩阵"/>
    <w:autoRedefine/>
    <w:rPr>
      <w:rFonts w:ascii="Times New Roman" w:eastAsia="宋体" w:hAnsi="Times New Roman"/>
      <w:b/>
      <w:i w:val="0"/>
    </w:rPr>
  </w:style>
  <w:style w:type="paragraph" w:customStyle="1" w:styleId="122">
    <w:name w:val="公式样式 数字"/>
    <w:autoRedefine/>
    <w:rPr>
      <w:rFonts w:ascii="Times New Roman" w:eastAsia="宋体" w:hAnsi="Times New Roman"/>
      <w:b w:val="0"/>
      <w:i w:val="0"/>
    </w:rPr>
  </w:style>
  <w:style w:type="paragraph" w:customStyle="1" w:styleId="123">
    <w:name w:val="样式 6 三号"/>
    <w:next w:val="45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560" w:lineRule="exact"/>
      <w:ind w:left="0" w:right="0" w:firstLine="0"/>
      <w:contextualSpacing w:val="0"/>
      <w:jc w:val="both"/>
      <w:textAlignment w:val="auto"/>
      <w:outlineLvl w:val="9"/>
    </w:pPr>
    <w:rPr>
      <w:rFonts w:ascii="Times New Roman" w:eastAsia="方正仿宋_GBK" w:cs="Times New Roman" w:hAnsi="Times New Roman"/>
      <w:snapToGrid/>
      <w:color w:val="auto"/>
      <w:spacing w:val="-4"/>
      <w:w w:val="100"/>
      <w:kern w:val="2"/>
      <w:position w:val="0"/>
      <w:sz w:val="32"/>
      <w:szCs w:val="28"/>
      <w:u w:val="none" w:color="auto"/>
      <w:bdr w:val="none" w:sz="0" w:space="0" w:color="auto"/>
      <w:vertAlign w:val="baseline"/>
      <w:em w:val="none"/>
      <w:lang w:val="en-US" w:eastAsia="zh-CN" w:bidi="ar-SA"/>
    </w:rPr>
  </w:style>
  <w:style w:type="paragraph" w:customStyle="1" w:styleId="124">
    <w:name w:val="样式 1 小四"/>
    <w:next w:val="23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eastAsia="宋体" w:cs="Times New Roman"/>
      <w:snapToGrid/>
      <w:color w:val="auto"/>
      <w:spacing w:val="0"/>
      <w:w w:val="100"/>
      <w:kern w:val="2"/>
      <w:position w:val="0"/>
      <w:sz w:val="24"/>
      <w:szCs w:val="20"/>
      <w:u w:val="none" w:color="auto"/>
      <w:bdr w:val="none" w:sz="0" w:space="0" w:color="auto"/>
      <w:vertAlign w:val="baseline"/>
      <w:em w:val="none"/>
      <w:lang w:val="en-US" w:eastAsia="zh-CN" w:bidi="ar-SA"/>
    </w:rPr>
  </w:style>
  <w:style w:type="paragraph" w:customStyle="1" w:styleId="125">
    <w:name w:val="样式 三号"/>
    <w:next w:val="201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126">
    <w:name w:val="样式 50 三号"/>
    <w:next w:val="26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127">
    <w:name w:val="样式 小三"/>
    <w:next w:val="30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8">
    <w:name w:val="样式 5 小三"/>
    <w:next w:val="58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9">
    <w:name w:val="样式 16 小三"/>
    <w:next w:val="69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0">
    <w:name w:val="样式 8 小三"/>
    <w:next w:val="61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1">
    <w:name w:val="样式 17 小三"/>
    <w:next w:val="70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2">
    <w:name w:val="样式 12 小三"/>
    <w:next w:val="6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3">
    <w:name w:val="样式 21 小三"/>
    <w:next w:val="7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4">
    <w:name w:val="样式 22 小三"/>
    <w:next w:val="7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5">
    <w:name w:val="样式 23 小三"/>
    <w:next w:val="76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6">
    <w:name w:val="样式 24 小三"/>
    <w:next w:val="77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7">
    <w:name w:val="样式 25 小三"/>
    <w:next w:val="78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8">
    <w:name w:val="样式 26 小三"/>
    <w:next w:val="79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9">
    <w:name w:val="样式 27 小三"/>
    <w:next w:val="80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0">
    <w:name w:val="样式 28 小三"/>
    <w:next w:val="81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1">
    <w:name w:val="样式 29 小三"/>
    <w:next w:val="82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2">
    <w:name w:val="样式 30 小三"/>
    <w:next w:val="83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3">
    <w:name w:val="样式 31 小三"/>
    <w:next w:val="8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4">
    <w:name w:val="样式 32 小三"/>
    <w:next w:val="8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5">
    <w:name w:val="样式 33 小三"/>
    <w:next w:val="86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6">
    <w:name w:val="样式 34 小三"/>
    <w:next w:val="87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7">
    <w:name w:val="样式 35 小三"/>
    <w:next w:val="88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8">
    <w:name w:val="样式 36 小三"/>
    <w:next w:val="89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9">
    <w:name w:val="样式 37 小三"/>
    <w:next w:val="90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0">
    <w:name w:val="样式 38 小三"/>
    <w:next w:val="91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1">
    <w:name w:val="样式 39 小三"/>
    <w:next w:val="92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2">
    <w:name w:val="样式 40 小三"/>
    <w:next w:val="93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3">
    <w:name w:val="样式 41 小三"/>
    <w:next w:val="9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4">
    <w:name w:val="样式 42 小三"/>
    <w:next w:val="9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5">
    <w:name w:val="样式 43 小三"/>
    <w:next w:val="96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6">
    <w:name w:val="样式 44 小三"/>
    <w:next w:val="97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7">
    <w:name w:val="样式 45 小三"/>
    <w:next w:val="98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8">
    <w:name w:val="样式 46 小三"/>
    <w:next w:val="99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9">
    <w:name w:val="样式 47 小三"/>
    <w:next w:val="100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0">
    <w:name w:val="样式 48 小三"/>
    <w:next w:val="101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1">
    <w:name w:val="样式 49 小三"/>
    <w:next w:val="102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2">
    <w:name w:val="样式 50 小三"/>
    <w:next w:val="103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3">
    <w:name w:val="样式 51 小三"/>
    <w:next w:val="10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4">
    <w:name w:val="样式 52 小三"/>
    <w:next w:val="10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5">
    <w:name w:val="样式 53 小三"/>
    <w:next w:val="106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6">
    <w:name w:val="样式 54 小三"/>
    <w:next w:val="107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7">
    <w:name w:val="样式 55 小三"/>
    <w:next w:val="108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8">
    <w:name w:val="样式 56 小三"/>
    <w:next w:val="109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9">
    <w:name w:val="样式 57 小三"/>
    <w:next w:val="110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0">
    <w:name w:val="样式 58 小三"/>
    <w:next w:val="111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1">
    <w:name w:val="样式 59 小三"/>
    <w:next w:val="112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2">
    <w:name w:val="样式 60 小三"/>
    <w:next w:val="113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3">
    <w:name w:val="样式 61 小三"/>
    <w:next w:val="11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4">
    <w:name w:val="样式 62 小三"/>
    <w:next w:val="11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5">
    <w:name w:val="样式 63 小三"/>
    <w:next w:val="116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6">
    <w:name w:val="样式 64 小三"/>
    <w:next w:val="117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7">
    <w:name w:val="样式 65 小三"/>
    <w:next w:val="118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8">
    <w:name w:val="样式 66 小三"/>
    <w:next w:val="119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9">
    <w:name w:val="样式 67 小三"/>
    <w:next w:val="120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0">
    <w:name w:val="样式 68 小三"/>
    <w:next w:val="121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1">
    <w:name w:val="样式 69 小三"/>
    <w:next w:val="122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2">
    <w:name w:val="样式 70 小三"/>
    <w:next w:val="123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3">
    <w:name w:val="样式 71 小三"/>
    <w:next w:val="12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4">
    <w:name w:val="样式 72 小三"/>
    <w:next w:val="12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5">
    <w:name w:val="样式 73 小三"/>
    <w:next w:val="126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6">
    <w:name w:val="样式 74 小三"/>
    <w:next w:val="127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7">
    <w:name w:val="样式 75 小三"/>
    <w:next w:val="128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8">
    <w:name w:val="样式 76 小三"/>
    <w:next w:val="129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9">
    <w:name w:val="样式 8 三号"/>
    <w:next w:val="47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190">
    <w:name w:val="样式 13 三号"/>
    <w:next w:val="27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191">
    <w:name w:val="样式 15 三号"/>
    <w:next w:val="132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192">
    <w:name w:val="样式 小五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方正仿宋_GBK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193">
    <w:name w:val="样式 1 小五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方正仿宋_GBK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194">
    <w:name w:val="样式 2 小五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方正仿宋_GBK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196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97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98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99">
    <w:name w:val="样式 144 10 磅"/>
    <w:next w:val="74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00">
    <w:name w:val="样式 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01">
    <w:name w:val="样式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02">
    <w:name w:val="样式 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03">
    <w:name w:val="样式 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04">
    <w:name w:val="样式 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05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6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7">
    <w:name w:val="样式 4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numbering" Target="numbering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89</TotalTime>
  <Application>Yozo_Office</Application>
  <Pages>5</Pages>
  <Words>1772</Words>
  <Characters>1812</Characters>
  <Lines>407</Lines>
  <Paragraphs>301</Paragraphs>
  <CharactersWithSpaces>1812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彭志林</dc:creator>
  <cp:lastModifiedBy>彭志林</cp:lastModifiedBy>
  <cp:revision>1</cp:revision>
  <dcterms:created xsi:type="dcterms:W3CDTF">2026-01-28T08:18:51Z</dcterms:created>
  <dcterms:modified xsi:type="dcterms:W3CDTF">2026-01-28T09:48:10Z</dcterms:modified>
</cp:coreProperties>
</file>