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left="0" w:right="0"/>
        <w:jc w:val="center"/>
        <w:rPr>
          <w:color w:val="545454"/>
          <w:sz w:val="36"/>
          <w:szCs w:val="36"/>
        </w:rPr>
      </w:pPr>
      <w:r>
        <w:rPr>
          <w:rFonts w:hint="eastAsia"/>
          <w:color w:val="545454"/>
          <w:sz w:val="36"/>
          <w:szCs w:val="36"/>
        </w:rPr>
        <w:t>行政复议办事指南</w:t>
      </w:r>
      <w:bookmarkStart w:id="0" w:name="_GoBack"/>
      <w:bookmarkEnd w:id="0"/>
    </w:p>
    <w:p>
      <w:pPr>
        <w:pStyle w:val="2"/>
        <w:keepNext w:val="0"/>
        <w:keepLines w:val="0"/>
        <w:widowControl/>
        <w:suppressLineNumbers w:val="0"/>
        <w:spacing w:before="0" w:beforeAutospacing="0" w:after="0" w:afterAutospacing="0"/>
        <w:ind w:left="0" w:right="0"/>
      </w:pPr>
      <w:r>
        <w:rPr>
          <w:color w:val="545454"/>
        </w:rPr>
        <w:t>一、事项名称：行政复议</w:t>
      </w:r>
    </w:p>
    <w:p>
      <w:pPr>
        <w:pStyle w:val="2"/>
        <w:keepNext w:val="0"/>
        <w:keepLines w:val="0"/>
        <w:widowControl/>
        <w:suppressLineNumbers w:val="0"/>
        <w:spacing w:before="0" w:beforeAutospacing="0" w:after="0" w:afterAutospacing="0"/>
        <w:ind w:left="0" w:right="0"/>
      </w:pPr>
      <w:r>
        <w:rPr>
          <w:color w:val="545454"/>
        </w:rPr>
        <w:t>　　二、事项类型：行政复议</w:t>
      </w:r>
    </w:p>
    <w:p>
      <w:pPr>
        <w:pStyle w:val="2"/>
        <w:keepNext w:val="0"/>
        <w:keepLines w:val="0"/>
        <w:widowControl/>
        <w:suppressLineNumbers w:val="0"/>
        <w:spacing w:before="0" w:beforeAutospacing="0" w:after="0" w:afterAutospacing="0"/>
        <w:ind w:left="0" w:right="0"/>
      </w:pPr>
      <w:r>
        <w:rPr>
          <w:color w:val="545454"/>
        </w:rPr>
        <w:t>　　三、设立依据：</w:t>
      </w:r>
    </w:p>
    <w:p>
      <w:pPr>
        <w:pStyle w:val="2"/>
        <w:keepNext w:val="0"/>
        <w:keepLines w:val="0"/>
        <w:widowControl/>
        <w:suppressLineNumbers w:val="0"/>
        <w:spacing w:before="0" w:beforeAutospacing="0" w:after="0" w:afterAutospacing="0"/>
        <w:ind w:left="0" w:right="0"/>
      </w:pPr>
      <w:r>
        <w:rPr>
          <w:color w:val="545454"/>
        </w:rPr>
        <w:t>　　（一）《中华人民共和国行政复议法》</w:t>
      </w:r>
    </w:p>
    <w:p>
      <w:pPr>
        <w:pStyle w:val="2"/>
        <w:keepNext w:val="0"/>
        <w:keepLines w:val="0"/>
        <w:widowControl/>
        <w:suppressLineNumbers w:val="0"/>
        <w:spacing w:before="0" w:beforeAutospacing="0" w:after="0" w:afterAutospacing="0"/>
        <w:ind w:left="0" w:right="0"/>
      </w:pPr>
      <w:r>
        <w:rPr>
          <w:color w:val="545454"/>
        </w:rPr>
        <w:t>　　第二条 公民、法人或者其他组织认为具体行政行为侵犯其合法权益，向行政机关提出行政复议申请，行政机关受理行政复议申请、作出行政复议决定，适用本法。</w:t>
      </w:r>
    </w:p>
    <w:p>
      <w:pPr>
        <w:pStyle w:val="2"/>
        <w:keepNext w:val="0"/>
        <w:keepLines w:val="0"/>
        <w:widowControl/>
        <w:suppressLineNumbers w:val="0"/>
        <w:spacing w:before="0" w:beforeAutospacing="0" w:after="0" w:afterAutospacing="0"/>
        <w:ind w:left="0" w:right="0"/>
      </w:pPr>
      <w:r>
        <w:rPr>
          <w:color w:val="545454"/>
        </w:rPr>
        <w:t>　　（二）《中华人民共和国行政复议法实施条例》</w:t>
      </w:r>
    </w:p>
    <w:p>
      <w:pPr>
        <w:pStyle w:val="2"/>
        <w:keepNext w:val="0"/>
        <w:keepLines w:val="0"/>
        <w:widowControl/>
        <w:suppressLineNumbers w:val="0"/>
        <w:spacing w:before="0" w:beforeAutospacing="0" w:after="0" w:afterAutospacing="0"/>
        <w:ind w:left="0" w:right="0"/>
      </w:pPr>
      <w:r>
        <w:rPr>
          <w:color w:val="545454"/>
        </w:rPr>
        <w:t>　　第二条 各级行政复议机关应当认真履行行政复议职责，领导并支持本机关负责法制工作的机构（以下简称行政复议机构）依法办理行政复议事项，并依照有关规定配备、充实、调剂专职行政复议人员，保证行政复议机构的办案能力与工作任务相适应。</w:t>
      </w:r>
    </w:p>
    <w:p>
      <w:pPr>
        <w:pStyle w:val="2"/>
        <w:keepNext w:val="0"/>
        <w:keepLines w:val="0"/>
        <w:widowControl/>
        <w:suppressLineNumbers w:val="0"/>
        <w:spacing w:before="0" w:beforeAutospacing="0" w:after="0" w:afterAutospacing="0"/>
        <w:ind w:left="0" w:right="0"/>
      </w:pPr>
      <w:r>
        <w:rPr>
          <w:color w:val="545454"/>
        </w:rPr>
        <w:t>　　（三）《中华人民共和国海关行政复议办法》</w:t>
      </w:r>
    </w:p>
    <w:p>
      <w:pPr>
        <w:pStyle w:val="2"/>
        <w:keepNext w:val="0"/>
        <w:keepLines w:val="0"/>
        <w:widowControl/>
        <w:suppressLineNumbers w:val="0"/>
        <w:spacing w:before="0" w:beforeAutospacing="0" w:after="0" w:afterAutospacing="0"/>
        <w:ind w:left="0" w:right="0"/>
      </w:pPr>
      <w:r>
        <w:rPr>
          <w:color w:val="545454"/>
        </w:rPr>
        <w:t>　　第二条 公民、法人或者其他组织认为海关具体行政行为侵犯其合法权益向海关提出行政复议申请，海关办理行政复议事项，适用本办法。</w:t>
      </w:r>
    </w:p>
    <w:p>
      <w:pPr>
        <w:pStyle w:val="2"/>
        <w:keepNext w:val="0"/>
        <w:keepLines w:val="0"/>
        <w:widowControl/>
        <w:suppressLineNumbers w:val="0"/>
        <w:spacing w:before="0" w:beforeAutospacing="0" w:after="0" w:afterAutospacing="0"/>
        <w:ind w:left="0" w:right="0"/>
      </w:pPr>
      <w:r>
        <w:rPr>
          <w:color w:val="545454"/>
        </w:rPr>
        <w:t>　　四、实施机构：海关总署、各直属海关</w:t>
      </w:r>
    </w:p>
    <w:p>
      <w:pPr>
        <w:pStyle w:val="2"/>
        <w:keepNext w:val="0"/>
        <w:keepLines w:val="0"/>
        <w:widowControl/>
        <w:suppressLineNumbers w:val="0"/>
        <w:spacing w:before="0" w:beforeAutospacing="0" w:after="0" w:afterAutospacing="0"/>
        <w:ind w:left="0" w:right="0"/>
      </w:pPr>
      <w:r>
        <w:rPr>
          <w:color w:val="545454"/>
        </w:rPr>
        <w:t>　　五、法定办结时限：行政复议机关应当自受理申请之日起六十日内作出行政复议决定；但是法律规定的行政复议期限少于六十日的除外。情况复杂，不能在规定期限内作出行政复议决定的，经行政复议机关的负责人批准，可以适当延长，并告知申请人和被申请人；但是延长期限最多不超过三十日。</w:t>
      </w:r>
    </w:p>
    <w:p>
      <w:pPr>
        <w:pStyle w:val="2"/>
        <w:keepNext w:val="0"/>
        <w:keepLines w:val="0"/>
        <w:widowControl/>
        <w:suppressLineNumbers w:val="0"/>
        <w:spacing w:before="0" w:beforeAutospacing="0" w:after="0" w:afterAutospacing="0"/>
        <w:ind w:left="0" w:right="0"/>
      </w:pPr>
      <w:r>
        <w:rPr>
          <w:color w:val="545454"/>
        </w:rPr>
        <w:t>　　六、承诺办结时限：无</w:t>
      </w:r>
    </w:p>
    <w:p>
      <w:pPr>
        <w:pStyle w:val="2"/>
        <w:keepNext w:val="0"/>
        <w:keepLines w:val="0"/>
        <w:widowControl/>
        <w:suppressLineNumbers w:val="0"/>
        <w:spacing w:before="0" w:beforeAutospacing="0" w:after="0" w:afterAutospacing="0"/>
        <w:ind w:left="0" w:right="0"/>
      </w:pPr>
      <w:r>
        <w:rPr>
          <w:color w:val="545454"/>
        </w:rPr>
        <w:t>　　七、结果名称：《中华人民共和国昆明海关行政复议申请不予受理决定书》、《中华人民共和国昆明海关行政复议决定书》、《中华人民共和国昆明海关行政复议终止决定书》。</w:t>
      </w:r>
    </w:p>
    <w:p>
      <w:pPr>
        <w:pStyle w:val="2"/>
        <w:keepNext w:val="0"/>
        <w:keepLines w:val="0"/>
        <w:widowControl/>
        <w:suppressLineNumbers w:val="0"/>
        <w:spacing w:before="0" w:beforeAutospacing="0" w:after="0" w:afterAutospacing="0"/>
        <w:ind w:left="0" w:right="0"/>
      </w:pPr>
      <w:r>
        <w:rPr>
          <w:color w:val="545454"/>
        </w:rPr>
        <w:t>　　八、结果样本：</w:t>
      </w:r>
    </w:p>
    <w:p>
      <w:pPr>
        <w:pStyle w:val="2"/>
        <w:keepNext w:val="0"/>
        <w:keepLines w:val="0"/>
        <w:widowControl/>
        <w:suppressLineNumbers w:val="0"/>
        <w:spacing w:before="0" w:beforeAutospacing="0" w:after="0" w:afterAutospacing="0"/>
        <w:ind w:left="0" w:right="0"/>
      </w:pPr>
      <w:r>
        <w:rPr>
          <w:color w:val="545454"/>
        </w:rPr>
        <w:t>　　（一）《中华人民共和国昆明海关行政复议申请不予受理决定书》（见附件1）；</w:t>
      </w:r>
    </w:p>
    <w:p>
      <w:pPr>
        <w:pStyle w:val="2"/>
        <w:keepNext w:val="0"/>
        <w:keepLines w:val="0"/>
        <w:widowControl/>
        <w:suppressLineNumbers w:val="0"/>
        <w:spacing w:before="0" w:beforeAutospacing="0" w:after="0" w:afterAutospacing="0"/>
        <w:ind w:left="0" w:right="0"/>
      </w:pPr>
      <w:r>
        <w:rPr>
          <w:color w:val="545454"/>
        </w:rPr>
        <w:t>　　（二）《中华人民共和国昆明海关行政复议决定书》（见附件2）。</w:t>
      </w:r>
    </w:p>
    <w:p>
      <w:pPr>
        <w:pStyle w:val="2"/>
        <w:keepNext w:val="0"/>
        <w:keepLines w:val="0"/>
        <w:widowControl/>
        <w:suppressLineNumbers w:val="0"/>
        <w:spacing w:before="0" w:beforeAutospacing="0" w:after="0" w:afterAutospacing="0"/>
        <w:ind w:left="0" w:right="0"/>
      </w:pPr>
      <w:r>
        <w:rPr>
          <w:color w:val="545454"/>
        </w:rPr>
        <w:t>　　（三）《中华人民共和国昆明海关行政复议终止决定书》（见附件3）</w:t>
      </w:r>
    </w:p>
    <w:p>
      <w:pPr>
        <w:pStyle w:val="2"/>
        <w:keepNext w:val="0"/>
        <w:keepLines w:val="0"/>
        <w:widowControl/>
        <w:suppressLineNumbers w:val="0"/>
        <w:spacing w:before="0" w:beforeAutospacing="0" w:after="0" w:afterAutospacing="0"/>
        <w:ind w:left="0" w:right="0"/>
      </w:pPr>
      <w:r>
        <w:rPr>
          <w:color w:val="545454"/>
        </w:rPr>
        <w:t>　　九：收费标准：不收费</w:t>
      </w:r>
    </w:p>
    <w:p>
      <w:pPr>
        <w:pStyle w:val="2"/>
        <w:keepNext w:val="0"/>
        <w:keepLines w:val="0"/>
        <w:widowControl/>
        <w:suppressLineNumbers w:val="0"/>
        <w:spacing w:before="0" w:beforeAutospacing="0" w:after="0" w:afterAutospacing="0"/>
        <w:ind w:left="0" w:right="0"/>
      </w:pPr>
      <w:r>
        <w:rPr>
          <w:color w:val="545454"/>
        </w:rPr>
        <w:t>　　十、收费依据：无</w:t>
      </w:r>
    </w:p>
    <w:p>
      <w:pPr>
        <w:pStyle w:val="2"/>
        <w:keepNext w:val="0"/>
        <w:keepLines w:val="0"/>
        <w:widowControl/>
        <w:suppressLineNumbers w:val="0"/>
        <w:spacing w:before="0" w:beforeAutospacing="0" w:after="0" w:afterAutospacing="0"/>
        <w:ind w:left="0" w:right="0"/>
      </w:pPr>
      <w:r>
        <w:rPr>
          <w:color w:val="545454"/>
        </w:rPr>
        <w:t>　　十一、申请条件：</w:t>
      </w:r>
    </w:p>
    <w:p>
      <w:pPr>
        <w:pStyle w:val="2"/>
        <w:keepNext w:val="0"/>
        <w:keepLines w:val="0"/>
        <w:widowControl/>
        <w:suppressLineNumbers w:val="0"/>
        <w:spacing w:before="0" w:beforeAutospacing="0" w:after="0" w:afterAutospacing="0"/>
        <w:ind w:left="0" w:right="0"/>
      </w:pPr>
      <w:r>
        <w:rPr>
          <w:color w:val="545454"/>
        </w:rPr>
        <w:t>　　公民、法人或者其他组织认为海关具体行政行为侵犯其合法权益。</w:t>
      </w:r>
    </w:p>
    <w:p>
      <w:pPr>
        <w:pStyle w:val="2"/>
        <w:keepNext w:val="0"/>
        <w:keepLines w:val="0"/>
        <w:widowControl/>
        <w:suppressLineNumbers w:val="0"/>
        <w:spacing w:before="0" w:beforeAutospacing="0" w:after="0" w:afterAutospacing="0"/>
        <w:ind w:left="0" w:right="0"/>
      </w:pPr>
      <w:r>
        <w:rPr>
          <w:color w:val="545454"/>
        </w:rPr>
        <w:t>　　十二、申请材料：</w:t>
      </w:r>
    </w:p>
    <w:p>
      <w:pPr>
        <w:pStyle w:val="2"/>
        <w:keepNext w:val="0"/>
        <w:keepLines w:val="0"/>
        <w:widowControl/>
        <w:suppressLineNumbers w:val="0"/>
        <w:spacing w:before="0" w:beforeAutospacing="0" w:after="0" w:afterAutospacing="0"/>
        <w:ind w:left="0" w:right="0"/>
      </w:pPr>
      <w:r>
        <w:rPr>
          <w:color w:val="545454"/>
        </w:rPr>
        <w:t>　　（一）申请材料目录</w:t>
      </w:r>
    </w:p>
    <w:p>
      <w:pPr>
        <w:pStyle w:val="2"/>
        <w:keepNext w:val="0"/>
        <w:keepLines w:val="0"/>
        <w:widowControl/>
        <w:suppressLineNumbers w:val="0"/>
        <w:spacing w:before="0" w:beforeAutospacing="0" w:after="0" w:afterAutospacing="0"/>
        <w:ind w:left="0" w:right="0"/>
      </w:pPr>
      <w:r>
        <w:rPr>
          <w:color w:val="545454"/>
        </w:rPr>
        <w:t>　　 </w:t>
      </w:r>
    </w:p>
    <w:tbl>
      <w:tblPr>
        <w:tblStyle w:val="3"/>
        <w:tblW w:w="924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69"/>
        <w:gridCol w:w="2351"/>
        <w:gridCol w:w="1138"/>
        <w:gridCol w:w="1333"/>
        <w:gridCol w:w="1602"/>
        <w:gridCol w:w="194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jc w:val="center"/>
        </w:trPr>
        <w:tc>
          <w:tcPr>
            <w:tcW w:w="87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jc w:val="center"/>
            </w:pPr>
            <w:r>
              <w:rPr>
                <w:rFonts w:hint="eastAsia" w:ascii="宋体" w:hAnsi="宋体" w:eastAsia="宋体" w:cs="宋体"/>
                <w:b/>
                <w:color w:val="auto"/>
                <w:sz w:val="28"/>
                <w:szCs w:val="28"/>
              </w:rPr>
              <w:t>序号</w:t>
            </w:r>
          </w:p>
        </w:tc>
        <w:tc>
          <w:tcPr>
            <w:tcW w:w="235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jc w:val="center"/>
            </w:pPr>
            <w:r>
              <w:rPr>
                <w:rFonts w:hint="eastAsia" w:ascii="宋体" w:hAnsi="宋体" w:eastAsia="宋体" w:cs="宋体"/>
                <w:b/>
                <w:color w:val="auto"/>
                <w:sz w:val="28"/>
                <w:szCs w:val="28"/>
              </w:rPr>
              <w:t>提交材料名称</w:t>
            </w:r>
          </w:p>
        </w:tc>
        <w:tc>
          <w:tcPr>
            <w:tcW w:w="114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jc w:val="center"/>
            </w:pPr>
            <w:r>
              <w:rPr>
                <w:rFonts w:hint="eastAsia" w:ascii="宋体" w:hAnsi="宋体" w:eastAsia="宋体" w:cs="宋体"/>
                <w:b/>
                <w:color w:val="auto"/>
                <w:sz w:val="28"/>
                <w:szCs w:val="28"/>
              </w:rPr>
              <w:t>原件/复印件</w:t>
            </w:r>
          </w:p>
        </w:tc>
        <w:tc>
          <w:tcPr>
            <w:tcW w:w="133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jc w:val="center"/>
            </w:pPr>
            <w:r>
              <w:rPr>
                <w:rFonts w:hint="eastAsia" w:ascii="宋体" w:hAnsi="宋体" w:eastAsia="宋体" w:cs="宋体"/>
                <w:b/>
                <w:color w:val="auto"/>
                <w:sz w:val="28"/>
                <w:szCs w:val="28"/>
              </w:rPr>
              <w:t>份数</w:t>
            </w:r>
          </w:p>
        </w:tc>
        <w:tc>
          <w:tcPr>
            <w:tcW w:w="160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jc w:val="center"/>
            </w:pPr>
            <w:r>
              <w:rPr>
                <w:rFonts w:hint="eastAsia" w:ascii="宋体" w:hAnsi="宋体" w:eastAsia="宋体" w:cs="宋体"/>
                <w:b/>
                <w:color w:val="auto"/>
                <w:sz w:val="28"/>
                <w:szCs w:val="28"/>
              </w:rPr>
              <w:t>纸质/电子</w:t>
            </w:r>
          </w:p>
        </w:tc>
        <w:tc>
          <w:tcPr>
            <w:tcW w:w="195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jc w:val="center"/>
            </w:pPr>
            <w:r>
              <w:rPr>
                <w:rFonts w:hint="eastAsia" w:ascii="宋体" w:hAnsi="宋体" w:eastAsia="宋体" w:cs="宋体"/>
                <w:b/>
                <w:color w:val="auto"/>
                <w:sz w:val="28"/>
                <w:szCs w:val="28"/>
              </w:rPr>
              <w:t>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7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1</w:t>
            </w:r>
          </w:p>
        </w:tc>
        <w:tc>
          <w:tcPr>
            <w:tcW w:w="235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pPr>
            <w:r>
              <w:rPr>
                <w:rFonts w:hint="eastAsia" w:ascii="宋体" w:hAnsi="宋体" w:eastAsia="宋体" w:cs="宋体"/>
                <w:color w:val="auto"/>
                <w:sz w:val="28"/>
                <w:szCs w:val="28"/>
              </w:rPr>
              <w:t>行政复议申请书（见附件4）</w:t>
            </w:r>
          </w:p>
        </w:tc>
        <w:tc>
          <w:tcPr>
            <w:tcW w:w="114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原件</w:t>
            </w:r>
          </w:p>
        </w:tc>
        <w:tc>
          <w:tcPr>
            <w:tcW w:w="133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按照被申请人数量加1份</w:t>
            </w:r>
          </w:p>
        </w:tc>
        <w:tc>
          <w:tcPr>
            <w:tcW w:w="160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纸质或电子</w:t>
            </w:r>
          </w:p>
        </w:tc>
        <w:tc>
          <w:tcPr>
            <w:tcW w:w="195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申请人为自然人的手写签名；申请人为法人或者其他组织的加盖公章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7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2</w:t>
            </w:r>
          </w:p>
        </w:tc>
        <w:tc>
          <w:tcPr>
            <w:tcW w:w="235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pPr>
            <w:r>
              <w:rPr>
                <w:rFonts w:hint="eastAsia" w:ascii="宋体" w:hAnsi="宋体" w:eastAsia="宋体" w:cs="宋体"/>
                <w:color w:val="auto"/>
                <w:sz w:val="28"/>
                <w:szCs w:val="28"/>
              </w:rPr>
              <w:t>行政复议申请相关证据材料</w:t>
            </w:r>
          </w:p>
        </w:tc>
        <w:tc>
          <w:tcPr>
            <w:tcW w:w="1140"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复印件</w:t>
            </w:r>
          </w:p>
        </w:tc>
        <w:tc>
          <w:tcPr>
            <w:tcW w:w="133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按照被申请人数量加1份</w:t>
            </w:r>
          </w:p>
        </w:tc>
        <w:tc>
          <w:tcPr>
            <w:tcW w:w="160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2"/>
              <w:keepNext w:val="0"/>
              <w:keepLines w:val="0"/>
              <w:widowControl/>
              <w:suppressLineNumbers w:val="0"/>
              <w:ind w:left="48"/>
            </w:pPr>
            <w:r>
              <w:rPr>
                <w:rFonts w:hint="eastAsia" w:ascii="宋体" w:hAnsi="宋体" w:eastAsia="宋体" w:cs="宋体"/>
                <w:color w:val="auto"/>
                <w:sz w:val="28"/>
                <w:szCs w:val="28"/>
              </w:rPr>
              <w:t>纸质或电子</w:t>
            </w:r>
          </w:p>
        </w:tc>
        <w:tc>
          <w:tcPr>
            <w:tcW w:w="1950" w:type="dxa"/>
            <w:tcBorders>
              <w:top w:val="single" w:color="auto" w:sz="6" w:space="0"/>
              <w:left w:val="single" w:color="auto" w:sz="6" w:space="0"/>
              <w:bottom w:val="single" w:color="auto" w:sz="6" w:space="0"/>
              <w:right w:val="single" w:color="auto" w:sz="6" w:space="0"/>
            </w:tcBorders>
            <w:shd w:val="clear" w:color="auto" w:fill="auto"/>
            <w:vAlign w:val="center"/>
          </w:tcPr>
          <w:p>
            <w:pPr>
              <w:rPr>
                <w:rFonts w:hint="eastAsia" w:ascii="微软雅黑" w:hAnsi="微软雅黑" w:eastAsia="微软雅黑" w:cs="微软雅黑"/>
                <w:color w:val="545454"/>
                <w:sz w:val="21"/>
                <w:szCs w:val="21"/>
              </w:rPr>
            </w:pPr>
          </w:p>
        </w:tc>
      </w:tr>
    </w:tbl>
    <w:p>
      <w:pPr>
        <w:pStyle w:val="2"/>
        <w:keepNext w:val="0"/>
        <w:keepLines w:val="0"/>
        <w:widowControl/>
        <w:suppressLineNumbers w:val="0"/>
        <w:spacing w:before="0" w:beforeAutospacing="0" w:after="0" w:afterAutospacing="0"/>
        <w:ind w:left="0" w:right="0"/>
      </w:pPr>
      <w:r>
        <w:rPr>
          <w:color w:val="545454"/>
        </w:rPr>
        <w:t>　　（二）申请材料提交</w:t>
      </w:r>
    </w:p>
    <w:p>
      <w:pPr>
        <w:pStyle w:val="2"/>
        <w:keepNext w:val="0"/>
        <w:keepLines w:val="0"/>
        <w:widowControl/>
        <w:suppressLineNumbers w:val="0"/>
        <w:spacing w:before="0" w:beforeAutospacing="0" w:after="0" w:afterAutospacing="0"/>
        <w:ind w:left="0" w:right="0"/>
      </w:pPr>
      <w:r>
        <w:rPr>
          <w:color w:val="545454"/>
        </w:rPr>
        <w:t>　　申请人到昆明海关法规处复议应诉科现场办理或将申请材料邮寄到昆明海关法规处复议应诉科或将申请材料电子版发到</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"mailto:kmhg_xzfy@customs.gov.cn"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kmhg_xzfy@customs.gov.cn</w:t>
      </w:r>
      <w:r>
        <w:rPr>
          <w:rFonts w:hint="eastAsia" w:ascii="微软雅黑" w:hAnsi="微软雅黑" w:eastAsia="微软雅黑" w:cs="微软雅黑"/>
          <w:color w:val="333333"/>
          <w:sz w:val="21"/>
          <w:szCs w:val="21"/>
          <w:u w:val="none"/>
        </w:rPr>
        <w:fldChar w:fldCharType="end"/>
      </w:r>
      <w:r>
        <w:rPr>
          <w:color w:val="545454"/>
        </w:rPr>
        <w:t>。</w:t>
      </w:r>
    </w:p>
    <w:p>
      <w:pPr>
        <w:pStyle w:val="2"/>
        <w:keepNext w:val="0"/>
        <w:keepLines w:val="0"/>
        <w:widowControl/>
        <w:suppressLineNumbers w:val="0"/>
        <w:spacing w:before="0" w:beforeAutospacing="0" w:after="0" w:afterAutospacing="0"/>
        <w:ind w:left="0" w:right="0"/>
      </w:pPr>
      <w:r>
        <w:rPr>
          <w:color w:val="545454"/>
        </w:rPr>
        <w:t>　　十三、办理流程：详见（附件5）</w:t>
      </w:r>
    </w:p>
    <w:p>
      <w:pPr>
        <w:pStyle w:val="2"/>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545454"/>
          <w:sz w:val="21"/>
          <w:szCs w:val="21"/>
        </w:rPr>
        <w:drawing>
          <wp:inline distT="0" distB="0" distL="114300" distR="114300">
            <wp:extent cx="5507990" cy="7560310"/>
            <wp:effectExtent l="0" t="0" r="16510" b="2540"/>
            <wp:docPr id="1" name="图片 1" descr="附件5"/>
            <wp:cNvGraphicFramePr/>
            <a:graphic xmlns:a="http://schemas.openxmlformats.org/drawingml/2006/main">
              <a:graphicData uri="http://schemas.openxmlformats.org/drawingml/2006/picture">
                <pic:pic xmlns:pic="http://schemas.openxmlformats.org/drawingml/2006/picture">
                  <pic:nvPicPr>
                    <pic:cNvPr id="1" name="图片 1" descr="附件5"/>
                    <pic:cNvPicPr/>
                  </pic:nvPicPr>
                  <pic:blipFill>
                    <a:blip r:embed="rId4"/>
                    <a:srcRect/>
                    <a:stretch>
                      <a:fillRect/>
                    </a:stretch>
                  </pic:blipFill>
                  <pic:spPr>
                    <a:xfrm>
                      <a:off x="0" y="0"/>
                      <a:ext cx="5507990" cy="7560310"/>
                    </a:xfrm>
                    <a:prstGeom prst="rect">
                      <a:avLst/>
                    </a:prstGeom>
                  </pic:spPr>
                </pic:pic>
              </a:graphicData>
            </a:graphic>
          </wp:inline>
        </w:drawing>
      </w:r>
    </w:p>
    <w:p>
      <w:pPr>
        <w:pStyle w:val="2"/>
        <w:keepNext w:val="0"/>
        <w:keepLines w:val="0"/>
        <w:widowControl/>
        <w:suppressLineNumbers w:val="0"/>
        <w:spacing w:before="0" w:beforeAutospacing="0" w:after="0" w:afterAutospacing="0"/>
        <w:ind w:left="0" w:right="0"/>
      </w:pPr>
      <w:r>
        <w:rPr>
          <w:color w:val="545454"/>
        </w:rPr>
        <w:t>　　十四、办理形式：书面审查、实地调查核实和听证。</w:t>
      </w:r>
    </w:p>
    <w:p>
      <w:pPr>
        <w:pStyle w:val="2"/>
        <w:keepNext w:val="0"/>
        <w:keepLines w:val="0"/>
        <w:widowControl/>
        <w:suppressLineNumbers w:val="0"/>
        <w:spacing w:before="0" w:beforeAutospacing="0" w:after="0" w:afterAutospacing="0"/>
        <w:ind w:left="0" w:right="0"/>
      </w:pPr>
      <w:r>
        <w:rPr>
          <w:color w:val="545454"/>
        </w:rPr>
        <w:t>　　十五、到办理现场次数：不限。</w:t>
      </w:r>
    </w:p>
    <w:p>
      <w:pPr>
        <w:pStyle w:val="2"/>
        <w:keepNext w:val="0"/>
        <w:keepLines w:val="0"/>
        <w:widowControl/>
        <w:suppressLineNumbers w:val="0"/>
        <w:spacing w:before="0" w:beforeAutospacing="0" w:after="0" w:afterAutospacing="0"/>
        <w:ind w:left="0" w:right="0"/>
      </w:pPr>
      <w:r>
        <w:rPr>
          <w:color w:val="545454"/>
        </w:rPr>
        <w:t>　　十六、审查标准：</w:t>
      </w:r>
    </w:p>
    <w:p>
      <w:pPr>
        <w:pStyle w:val="2"/>
        <w:keepNext w:val="0"/>
        <w:keepLines w:val="0"/>
        <w:widowControl/>
        <w:suppressLineNumbers w:val="0"/>
        <w:spacing w:before="0" w:beforeAutospacing="0" w:after="0" w:afterAutospacing="0"/>
        <w:ind w:left="0" w:right="0"/>
      </w:pPr>
      <w:r>
        <w:rPr>
          <w:color w:val="545454"/>
        </w:rPr>
        <w:t>　　申请材料填写准确、完整、真实、有效。</w:t>
      </w:r>
    </w:p>
    <w:p>
      <w:pPr>
        <w:pStyle w:val="2"/>
        <w:keepNext w:val="0"/>
        <w:keepLines w:val="0"/>
        <w:widowControl/>
        <w:suppressLineNumbers w:val="0"/>
        <w:spacing w:before="0" w:beforeAutospacing="0" w:after="0" w:afterAutospacing="0"/>
        <w:ind w:left="0" w:right="0"/>
      </w:pPr>
      <w:r>
        <w:rPr>
          <w:color w:val="545454"/>
        </w:rPr>
        <w:t>　　十七、通办范围：否</w:t>
      </w:r>
    </w:p>
    <w:p>
      <w:pPr>
        <w:pStyle w:val="2"/>
        <w:keepNext w:val="0"/>
        <w:keepLines w:val="0"/>
        <w:widowControl/>
        <w:suppressLineNumbers w:val="0"/>
        <w:spacing w:before="0" w:beforeAutospacing="0" w:after="0" w:afterAutospacing="0"/>
        <w:ind w:left="0" w:right="0"/>
      </w:pPr>
      <w:r>
        <w:rPr>
          <w:color w:val="545454"/>
        </w:rPr>
        <w:t>　　十八、预约办理：否</w:t>
      </w:r>
    </w:p>
    <w:p>
      <w:pPr>
        <w:pStyle w:val="2"/>
        <w:keepNext w:val="0"/>
        <w:keepLines w:val="0"/>
        <w:widowControl/>
        <w:suppressLineNumbers w:val="0"/>
        <w:spacing w:before="0" w:beforeAutospacing="0" w:after="0" w:afterAutospacing="0"/>
        <w:ind w:left="0" w:right="0"/>
      </w:pPr>
      <w:r>
        <w:rPr>
          <w:color w:val="545454"/>
        </w:rPr>
        <w:t>　　十九、网上支付：否</w:t>
      </w:r>
    </w:p>
    <w:p>
      <w:pPr>
        <w:pStyle w:val="2"/>
        <w:keepNext w:val="0"/>
        <w:keepLines w:val="0"/>
        <w:widowControl/>
        <w:suppressLineNumbers w:val="0"/>
        <w:spacing w:before="0" w:beforeAutospacing="0" w:after="0" w:afterAutospacing="0"/>
        <w:ind w:left="0" w:right="0"/>
      </w:pPr>
      <w:r>
        <w:rPr>
          <w:color w:val="545454"/>
        </w:rPr>
        <w:t>　　二十、物流快递：否</w:t>
      </w:r>
    </w:p>
    <w:p>
      <w:pPr>
        <w:pStyle w:val="2"/>
        <w:keepNext w:val="0"/>
        <w:keepLines w:val="0"/>
        <w:widowControl/>
        <w:suppressLineNumbers w:val="0"/>
        <w:spacing w:before="0" w:beforeAutospacing="0" w:after="0" w:afterAutospacing="0"/>
        <w:ind w:left="0" w:right="0"/>
      </w:pPr>
      <w:r>
        <w:rPr>
          <w:color w:val="545454"/>
        </w:rPr>
        <w:t>　　二十一、办理地点：</w:t>
      </w:r>
    </w:p>
    <w:p>
      <w:pPr>
        <w:pStyle w:val="2"/>
        <w:keepNext w:val="0"/>
        <w:keepLines w:val="0"/>
        <w:widowControl/>
        <w:suppressLineNumbers w:val="0"/>
        <w:spacing w:before="0" w:beforeAutospacing="0" w:after="0" w:afterAutospacing="0"/>
        <w:ind w:left="0" w:right="0"/>
      </w:pPr>
      <w:r>
        <w:rPr>
          <w:color w:val="545454"/>
        </w:rPr>
        <w:t>　　云南省昆明市盘龙区北京路618号昆明海关法规处复议应诉科。</w:t>
      </w:r>
    </w:p>
    <w:p>
      <w:pPr>
        <w:pStyle w:val="2"/>
        <w:keepNext w:val="0"/>
        <w:keepLines w:val="0"/>
        <w:widowControl/>
        <w:suppressLineNumbers w:val="0"/>
        <w:spacing w:before="0" w:beforeAutospacing="0" w:after="0" w:afterAutospacing="0"/>
        <w:ind w:left="0" w:right="0"/>
      </w:pPr>
      <w:r>
        <w:rPr>
          <w:color w:val="545454"/>
        </w:rPr>
        <w:t>　　二十二、办理时间：</w:t>
      </w:r>
    </w:p>
    <w:p>
      <w:pPr>
        <w:pStyle w:val="2"/>
        <w:keepNext w:val="0"/>
        <w:keepLines w:val="0"/>
        <w:widowControl/>
        <w:suppressLineNumbers w:val="0"/>
        <w:spacing w:before="0" w:beforeAutospacing="0" w:after="0" w:afterAutospacing="0"/>
        <w:ind w:left="0" w:right="0"/>
      </w:pPr>
      <w:r>
        <w:rPr>
          <w:color w:val="545454"/>
        </w:rPr>
        <w:t>　　周一至周五，工作日，上午8:30-11：30，下午14:00-17:30。</w:t>
      </w:r>
    </w:p>
    <w:p>
      <w:pPr>
        <w:pStyle w:val="2"/>
        <w:keepNext w:val="0"/>
        <w:keepLines w:val="0"/>
        <w:widowControl/>
        <w:suppressLineNumbers w:val="0"/>
        <w:spacing w:before="0" w:beforeAutospacing="0" w:after="0" w:afterAutospacing="0"/>
        <w:ind w:left="0" w:right="0"/>
      </w:pPr>
      <w:r>
        <w:rPr>
          <w:color w:val="545454"/>
        </w:rPr>
        <w:t>　　二十三、咨询电话：昆明海关门户网站查询网址</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"http://kunming.customs.gov.cn/kunming_customs/611293/611297/611298/index.html"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http://kunming.customs.gov.cn/kunming_customs/611293/611297/611298/index.html</w:t>
      </w:r>
      <w:r>
        <w:rPr>
          <w:rFonts w:hint="eastAsia" w:ascii="微软雅黑" w:hAnsi="微软雅黑" w:eastAsia="微软雅黑" w:cs="微软雅黑"/>
          <w:color w:val="333333"/>
          <w:sz w:val="21"/>
          <w:szCs w:val="21"/>
          <w:u w:val="none"/>
        </w:rPr>
        <w:fldChar w:fldCharType="end"/>
      </w:r>
      <w:r>
        <w:rPr>
          <w:color w:val="545454"/>
        </w:rPr>
        <w:t> 或12360海关服务热线。</w:t>
      </w:r>
    </w:p>
    <w:p>
      <w:pPr>
        <w:pStyle w:val="2"/>
        <w:keepNext w:val="0"/>
        <w:keepLines w:val="0"/>
        <w:widowControl/>
        <w:suppressLineNumbers w:val="0"/>
        <w:spacing w:before="0" w:beforeAutospacing="0" w:after="0" w:afterAutospacing="0"/>
        <w:ind w:left="0" w:right="0"/>
      </w:pPr>
      <w:r>
        <w:rPr>
          <w:color w:val="545454"/>
        </w:rPr>
        <w:t>　　二十四、监督电话：昆明海关门户网站查询网址</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"http://kunming.customs.gov.cn/kunming_customs/611293/611297/611298/index.html"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http://kunming.customs.gov.cn/kunming_customs/611293/611297/611298/index.html</w:t>
      </w:r>
      <w:r>
        <w:rPr>
          <w:rFonts w:hint="eastAsia" w:ascii="微软雅黑" w:hAnsi="微软雅黑" w:eastAsia="微软雅黑" w:cs="微软雅黑"/>
          <w:color w:val="333333"/>
          <w:sz w:val="21"/>
          <w:szCs w:val="21"/>
          <w:u w:val="none"/>
        </w:rPr>
        <w:fldChar w:fldCharType="end"/>
      </w:r>
      <w:r>
        <w:rPr>
          <w:color w:val="545454"/>
        </w:rPr>
        <w:t> 或12360海关服务热线。</w:t>
      </w:r>
    </w:p>
    <w:p>
      <w:pPr>
        <w:pStyle w:val="2"/>
        <w:keepNext w:val="0"/>
        <w:keepLines w:val="0"/>
        <w:widowControl/>
        <w:suppressLineNumbers w:val="0"/>
        <w:spacing w:before="0" w:beforeAutospacing="0" w:after="0" w:afterAutospacing="0"/>
        <w:ind w:left="0" w:right="0"/>
      </w:pPr>
      <w:r>
        <w:rPr>
          <w:color w:val="545454"/>
        </w:rPr>
        <w:t>      附件：</w:t>
      </w:r>
    </w:p>
    <w:p>
      <w:pPr>
        <w:pStyle w:val="2"/>
        <w:keepNext w:val="0"/>
        <w:keepLines w:val="0"/>
        <w:widowControl/>
        <w:suppressLineNumbers w:val="0"/>
        <w:spacing w:before="0" w:beforeAutospacing="0" w:after="0" w:afterAutospacing="0"/>
        <w:ind w:left="0" w:right="0"/>
      </w:pP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"http://kunming.customs.gov.cn/kunming_customs/611352/611353/611362/2698249/附件1中华人民共和国昆明海关行政复议申请不予受理决定书.docx"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附件1中华人民共和国昆明海关行政复议申请不予受理决定书.docx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"http://kunming.customs.gov.cn/kunming_customs/611352/611353/611362/2698249/附件2中华人民共和国昆明海关行政复议决定书.docx"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附件2中华人民共和国昆明海关行政复议决定书.docx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"http://kunming.customs.gov.cn/kunming_customs/611352/611353/611362/2698249/附件3中华人民共和国昆明海关行政复议终止决定书.docx"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附件3中华人民共和国昆明海关行政复议终止决定书.docx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"http://kunming.customs.gov.cn/kunming_customs/611352/611353/611362/2698249/附件4行政复议申请书.docx"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附件4行政复议申请书.docx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"http://kunming.customs.gov.cn/kunming_customs/611352/611353/611362/2698249/附件5.jpg"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附件5.jpg</w:t>
      </w:r>
      <w:r>
        <w:rPr>
          <w:rFonts w:hint="eastAsia" w:ascii="微软雅黑" w:hAnsi="微软雅黑" w:eastAsia="微软雅黑" w:cs="微软雅黑"/>
          <w:color w:val="333333"/>
          <w:sz w:val="21"/>
          <w:szCs w:val="21"/>
          <w:u w:val="none"/>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E3143"/>
    <w:rsid w:val="4A011A12"/>
    <w:rsid w:val="707E3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1"/>
      <w:szCs w:val="21"/>
      <w:lang w:val="en-US" w:eastAsia="zh-CN" w:bidi="ar"/>
    </w:rPr>
  </w:style>
  <w:style w:type="character" w:styleId="5">
    <w:name w:val="FollowedHyperlink"/>
    <w:basedOn w:val="4"/>
    <w:uiPriority w:val="0"/>
    <w:rPr>
      <w:rFonts w:hint="eastAsia" w:ascii="微软雅黑" w:hAnsi="微软雅黑" w:eastAsia="微软雅黑" w:cs="微软雅黑"/>
      <w:color w:val="333333"/>
      <w:sz w:val="21"/>
      <w:szCs w:val="21"/>
      <w:u w:val="none"/>
    </w:rPr>
  </w:style>
  <w:style w:type="character" w:styleId="6">
    <w:name w:val="Hyperlink"/>
    <w:basedOn w:val="4"/>
    <w:qFormat/>
    <w:uiPriority w:val="0"/>
    <w:rPr>
      <w:rFonts w:hint="eastAsia" w:ascii="微软雅黑" w:hAnsi="微软雅黑" w:eastAsia="微软雅黑" w:cs="微软雅黑"/>
      <w:color w:val="333333"/>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1260</Words>
  <Characters>1482</Characters>
  <Lines>0</Lines>
  <Paragraphs>0</Paragraphs>
  <TotalTime>9</TotalTime>
  <ScaleCrop>false</ScaleCrop>
  <LinksUpToDate>false</LinksUpToDate>
  <CharactersWithSpaces>1574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2020-07-06T01:39:00Z</dcterms:created>
  <dc:creator>杨坤</dc:creator>
  <cp:lastModifiedBy>杨坤</cp:lastModifiedBy>
  <dcterms:modified xsi:type="dcterms:W3CDTF">2020-07-06T02:18:14Z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